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127000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8"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September 27, 2025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4"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08" w:lineRule="exact"/>
        <w:rPr>
          <w:sz w:val="24"/>
          <w:szCs w:val="24"/>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-1270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-1270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40" w:type="dxa"/>
            <w:vAlign w:val="bottom"/>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153"/>
        </w:trPr>
        <w:tc>
          <w:tcPr>
            <w:tcW w:w="48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0" w:type="dxa"/>
            <w:vAlign w:val="bottom"/>
          </w:tcPr>
          <w:p>
            <w:pPr>
              <w:spacing w:after="0"/>
              <w:rPr>
                <w:sz w:val="13"/>
                <w:szCs w:val="13"/>
                <w:color w:val="auto"/>
              </w:rPr>
            </w:pPr>
          </w:p>
        </w:tc>
        <w:tc>
          <w:tcPr>
            <w:tcW w:w="48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40" w:type="dxa"/>
            <w:vAlign w:val="bottom"/>
          </w:tcPr>
          <w:p>
            <w:pPr>
              <w:spacing w:after="0"/>
              <w:rPr>
                <w:sz w:val="16"/>
                <w:szCs w:val="16"/>
                <w:color w:val="auto"/>
              </w:rPr>
            </w:pPr>
          </w:p>
        </w:tc>
      </w:tr>
      <w:tr>
        <w:trPr>
          <w:trHeight w:val="369"/>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4840" w:type="dxa"/>
            <w:vAlign w:val="bottom"/>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187"/>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0" w:type="dxa"/>
            <w:vAlign w:val="bottom"/>
          </w:tcPr>
          <w:p>
            <w:pPr>
              <w:spacing w:after="0"/>
              <w:rPr>
                <w:sz w:val="16"/>
                <w:szCs w:val="16"/>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88"/>
        </w:trPr>
        <w:tc>
          <w:tcPr>
            <w:tcW w:w="392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8"/>
        </w:trPr>
        <w:tc>
          <w:tcPr>
            <w:tcW w:w="39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SWIM</w:t>
            </w:r>
          </w:p>
        </w:tc>
        <w:tc>
          <w:tcPr>
            <w:tcW w:w="35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3" w:lineRule="exact"/>
        <w:rPr>
          <w:sz w:val="24"/>
          <w:szCs w:val="24"/>
          <w:color w:val="auto"/>
        </w:rPr>
      </w:pPr>
    </w:p>
    <w:p>
      <w:pPr>
        <w:ind w:right="46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30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100"/>
        <w:spacing w:after="0" w:line="161" w:lineRule="exact"/>
        <w:tabs>
          <w:tab w:leader="none" w:pos="1780" w:val="left"/>
          <w:tab w:leader="none" w:pos="2120" w:val="left"/>
          <w:tab w:leader="none" w:pos="3380" w:val="left"/>
          <w:tab w:leader="none" w:pos="3700" w:val="left"/>
          <w:tab w:leader="none" w:pos="5220" w:val="left"/>
          <w:tab w:leader="none" w:pos="5560" w:val="left"/>
          <w:tab w:leader="none" w:pos="7460" w:val="left"/>
          <w:tab w:leader="none" w:pos="7800" w:val="left"/>
          <w:tab w:leader="none" w:pos="96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21" w:lineRule="exact"/>
        <w:rPr>
          <w:sz w:val="24"/>
          <w:szCs w:val="24"/>
          <w:color w:val="auto"/>
        </w:rPr>
      </w:pPr>
    </w:p>
    <w:p>
      <w:pPr>
        <w:ind w:right="4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31, 2025, 116,655,775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495300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 Quantitative and Qualitative Disclosures About Market Risk</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00" w:type="dxa"/>
            <w:vAlign w:val="bottom"/>
            <w:tcBorders>
              <w:top w:val="single" w:sz="8" w:color="0000EE"/>
            </w:tcBorders>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4.</w:t>
            </w:r>
          </w:p>
        </w:tc>
        <w:tc>
          <w:tcPr>
            <w:tcW w:w="68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1.</w:t>
            </w:r>
          </w:p>
        </w:tc>
        <w:tc>
          <w:tcPr>
            <w:tcW w:w="68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5.</w:t>
            </w:r>
          </w:p>
        </w:tc>
        <w:tc>
          <w:tcPr>
            <w:tcW w:w="68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6.</w:t>
            </w:r>
          </w:p>
        </w:tc>
        <w:tc>
          <w:tcPr>
            <w:tcW w:w="684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2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7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40" w:type="dxa"/>
            <w:vAlign w:val="bottom"/>
            <w:shd w:val="clear" w:color="auto" w:fill="CCEEFF"/>
          </w:tcPr>
          <w:p>
            <w:pPr>
              <w:spacing w:after="0"/>
              <w:rPr>
                <w:sz w:val="19"/>
                <w:szCs w:val="19"/>
                <w:color w:val="auto"/>
              </w:rPr>
            </w:pPr>
          </w:p>
        </w:tc>
      </w:tr>
      <w:tr>
        <w:trPr>
          <w:trHeight w:val="22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178,298</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40" w:type="dxa"/>
            <w:vAlign w:val="bottom"/>
            <w:shd w:val="clear" w:color="auto" w:fill="CCEEFF"/>
          </w:tcPr>
          <w:p>
            <w:pPr>
              <w:spacing w:after="0"/>
              <w:rPr>
                <w:sz w:val="19"/>
                <w:szCs w:val="19"/>
                <w:color w:val="auto"/>
              </w:rPr>
            </w:pPr>
          </w:p>
        </w:tc>
      </w:tr>
      <w:tr>
        <w:trPr>
          <w:trHeight w:val="26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844,422</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40" w:type="dxa"/>
            <w:vAlign w:val="bottom"/>
            <w:tcBorders>
              <w:bottom w:val="single" w:sz="8" w:color="CCEEFF"/>
            </w:tcBorders>
          </w:tcPr>
          <w:p>
            <w:pPr>
              <w:spacing w:after="0"/>
              <w:rPr>
                <w:sz w:val="22"/>
                <w:szCs w:val="22"/>
                <w:color w:val="auto"/>
              </w:rPr>
            </w:pPr>
          </w:p>
        </w:tc>
      </w:tr>
      <w:tr>
        <w:trPr>
          <w:trHeight w:val="210"/>
        </w:trPr>
        <w:tc>
          <w:tcPr>
            <w:tcW w:w="7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40" w:type="dxa"/>
            <w:vAlign w:val="bottom"/>
            <w:tcBorders>
              <w:bottom w:val="single" w:sz="8" w:color="CCEEFF"/>
            </w:tcBorders>
          </w:tcPr>
          <w:p>
            <w:pPr>
              <w:spacing w:after="0"/>
              <w:rPr>
                <w:sz w:val="19"/>
                <w:szCs w:val="19"/>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70,977</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40" w:type="dxa"/>
            <w:vAlign w:val="bottom"/>
            <w:shd w:val="clear" w:color="auto" w:fill="CCEEFF"/>
          </w:tcPr>
          <w:p>
            <w:pPr>
              <w:spacing w:after="0"/>
              <w:rPr>
                <w:sz w:val="19"/>
                <w:szCs w:val="19"/>
                <w:color w:val="auto"/>
              </w:rPr>
            </w:pPr>
          </w:p>
        </w:tc>
      </w:tr>
      <w:tr>
        <w:trPr>
          <w:trHeight w:val="223"/>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436,065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406,985</w:t>
            </w:r>
          </w:p>
        </w:tc>
        <w:tc>
          <w:tcPr>
            <w:tcW w:w="40" w:type="dxa"/>
            <w:vAlign w:val="bottom"/>
            <w:tcBorders>
              <w:bottom w:val="single" w:sz="8" w:color="CCEEFF"/>
            </w:tcBorders>
          </w:tcPr>
          <w:p>
            <w:pPr>
              <w:spacing w:after="0"/>
              <w:rPr>
                <w:sz w:val="19"/>
                <w:szCs w:val="19"/>
                <w:color w:val="auto"/>
              </w:rPr>
            </w:pP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1"/>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as of both September 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December 31, 2024; no shares issued and outstanding as of both September 27, 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900,000,000 shares authorized as of September 27, 2025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116,655,775 and 115,764,839 shares issued and outstanding, as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September 27, 2025 and December 31, 2024,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r>
      <w:tr>
        <w:trPr>
          <w:trHeight w:val="24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40" w:type="dxa"/>
            <w:vAlign w:val="bottom"/>
            <w:shd w:val="clear" w:color="auto" w:fill="CCEEFF"/>
          </w:tcPr>
          <w:p>
            <w:pPr>
              <w:spacing w:after="0"/>
              <w:rPr>
                <w:sz w:val="21"/>
                <w:szCs w:val="2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0" w:type="dxa"/>
            <w:vAlign w:val="bottom"/>
            <w:shd w:val="clear" w:color="auto" w:fill="CCEEFF"/>
          </w:tcPr>
          <w:p>
            <w:pPr>
              <w:spacing w:after="0"/>
              <w:rPr>
                <w:sz w:val="19"/>
                <w:szCs w:val="19"/>
                <w:color w:val="auto"/>
              </w:rPr>
            </w:pPr>
          </w:p>
        </w:tc>
      </w:tr>
      <w:tr>
        <w:trPr>
          <w:trHeight w:val="22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408,357</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4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844,422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3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291,811</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288,948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480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116,603,331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116,323,609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115,358,274</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119,907,619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118,445,235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119,720,706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117,130,609</w:t>
            </w:r>
          </w:p>
        </w:tc>
        <w:tc>
          <w:tcPr>
            <w:tcW w:w="20" w:type="dxa"/>
            <w:vAlign w:val="bottom"/>
          </w:tcPr>
          <w:p>
            <w:pPr>
              <w:spacing w:after="0"/>
              <w:rPr>
                <w:sz w:val="20"/>
                <w:szCs w:val="20"/>
                <w:color w:val="auto"/>
              </w:rPr>
            </w:pPr>
          </w:p>
        </w:tc>
      </w:tr>
    </w:tbl>
    <w:p>
      <w:pPr>
        <w:spacing w:after="0" w:line="3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120"/>
          </w:cols>
          <w:pgMar w:left="980" w:top="661"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0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r>
      <w:tr>
        <w:trPr>
          <w:trHeight w:val="20"/>
        </w:trPr>
        <w:tc>
          <w:tcPr>
            <w:tcW w:w="4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$ 459,684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115,389,689</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$ 460,927</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June 29,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115,577,103</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$ 463,027</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28,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115,592,865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$ 464,871</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115,764,839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$ 467,076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for taxes on restricted stock</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29,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116,362,977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$ 466,741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withheld for taxes on restricted stock</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June 28,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116,536,129</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$ 468,065</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for taxes on restricted stock</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27,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116,655,775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$ 469,731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Pr>
          <w:p>
            <w:pPr>
              <w:spacing w:after="0"/>
              <w:rPr>
                <w:sz w:val="12"/>
                <w:szCs w:val="12"/>
                <w:color w:val="auto"/>
              </w:rPr>
            </w:pPr>
          </w:p>
        </w:tc>
      </w:tr>
      <w:tr>
        <w:trPr>
          <w:trHeight w:val="176"/>
        </w:trPr>
        <w:tc>
          <w:tcPr>
            <w:tcW w:w="59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5"/>
                <w:szCs w:val="15"/>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18,135</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11,310</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32,291</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Unrealized foreign currency (gain) loss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Non-cash lease expense</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 in fair value of interest rate swap</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5,187</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Bad debt expense</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non-cash, net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Earnings from equity method investment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Trade receivables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(50,352)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(35,639)</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Inventories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25,518</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Income tax receivable</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10,385</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20" w:type="dxa"/>
            <w:vAlign w:val="bottom"/>
            <w:tcBorders>
              <w:bottom w:val="single" w:sz="8" w:color="CCEEFF"/>
            </w:tcBorders>
          </w:tcPr>
          <w:p>
            <w:pPr>
              <w:spacing w:after="0"/>
              <w:rPr>
                <w:sz w:val="14"/>
                <w:szCs w:val="14"/>
                <w:color w:val="auto"/>
              </w:rPr>
            </w:pPr>
          </w:p>
        </w:tc>
      </w:tr>
      <w:tr>
        <w:trPr>
          <w:trHeight w:val="155"/>
        </w:trPr>
        <w:tc>
          <w:tcPr>
            <w:tcW w:w="594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4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40,121</w:t>
            </w: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55,150</w:t>
            </w:r>
          </w:p>
        </w:tc>
        <w:tc>
          <w:tcPr>
            <w:tcW w:w="20" w:type="dxa"/>
            <w:vAlign w:val="bottom"/>
            <w:shd w:val="clear" w:color="auto" w:fill="CCEEFF"/>
          </w:tcPr>
          <w:p>
            <w:pPr>
              <w:spacing w:after="0"/>
              <w:rPr>
                <w:sz w:val="13"/>
                <w:szCs w:val="13"/>
                <w:color w:val="auto"/>
              </w:rPr>
            </w:pPr>
          </w:p>
        </w:tc>
      </w:tr>
      <w:tr>
        <w:trPr>
          <w:trHeight w:val="146"/>
        </w:trPr>
        <w:tc>
          <w:tcPr>
            <w:tcW w:w="594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(13,861)</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(64,046)</w:t>
            </w:r>
          </w:p>
        </w:tc>
        <w:tc>
          <w:tcPr>
            <w:tcW w:w="20" w:type="dxa"/>
            <w:vAlign w:val="bottom"/>
            <w:tcBorders>
              <w:bottom w:val="single" w:sz="8" w:color="CCEEFF"/>
            </w:tcBorders>
          </w:tcPr>
          <w:p>
            <w:pPr>
              <w:spacing w:after="0"/>
              <w:rPr>
                <w:sz w:val="14"/>
                <w:szCs w:val="14"/>
                <w:color w:val="auto"/>
              </w:rPr>
            </w:pPr>
          </w:p>
        </w:tc>
      </w:tr>
      <w:tr>
        <w:trPr>
          <w:trHeight w:val="155"/>
        </w:trPr>
        <w:tc>
          <w:tcPr>
            <w:tcW w:w="594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(21,094)</w:t>
            </w: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(77,907)</w:t>
            </w:r>
          </w:p>
        </w:tc>
        <w:tc>
          <w:tcPr>
            <w:tcW w:w="20" w:type="dxa"/>
            <w:vAlign w:val="bottom"/>
            <w:shd w:val="clear" w:color="auto" w:fill="CCEEFF"/>
          </w:tcPr>
          <w:p>
            <w:pPr>
              <w:spacing w:after="0"/>
              <w:rPr>
                <w:sz w:val="13"/>
                <w:szCs w:val="13"/>
                <w:color w:val="auto"/>
              </w:rPr>
            </w:pPr>
          </w:p>
        </w:tc>
      </w:tr>
      <w:tr>
        <w:trPr>
          <w:trHeight w:val="146"/>
        </w:trPr>
        <w:tc>
          <w:tcPr>
            <w:tcW w:w="594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on long-term debt borrowings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(19,625)</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on revolving credit facilities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finance lease obligations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withheld for taxes on restricted stock units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5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(4,918)</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(20,198)</w:t>
            </w:r>
          </w:p>
        </w:tc>
        <w:tc>
          <w:tcPr>
            <w:tcW w:w="20" w:type="dxa"/>
            <w:vAlign w:val="bottom"/>
          </w:tcPr>
          <w:p>
            <w:pPr>
              <w:spacing w:after="0"/>
              <w:rPr>
                <w:sz w:val="13"/>
                <w:szCs w:val="13"/>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1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shd w:val="clear" w:color="auto" w:fill="CCEEFF"/>
          </w:tcPr>
          <w:p>
            <w:pPr>
              <w:spacing w:after="0"/>
              <w:rPr>
                <w:sz w:val="14"/>
                <w:szCs w:val="14"/>
                <w:color w:val="auto"/>
              </w:rPr>
            </w:pPr>
          </w:p>
        </w:tc>
      </w:tr>
      <w:tr>
        <w:trPr>
          <w:trHeight w:val="155"/>
        </w:trPr>
        <w:tc>
          <w:tcPr>
            <w:tcW w:w="594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increase (decrease) in cash</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(42,901)</w:t>
            </w:r>
          </w:p>
        </w:tc>
        <w:tc>
          <w:tcPr>
            <w:tcW w:w="20" w:type="dxa"/>
            <w:vAlign w:val="bottom"/>
          </w:tcPr>
          <w:p>
            <w:pPr>
              <w:spacing w:after="0"/>
              <w:rPr>
                <w:sz w:val="13"/>
                <w:szCs w:val="13"/>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1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56,398</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102,763</w:t>
            </w:r>
          </w:p>
        </w:tc>
        <w:tc>
          <w:tcPr>
            <w:tcW w:w="20" w:type="dxa"/>
            <w:vAlign w:val="bottom"/>
            <w:shd w:val="clear" w:color="auto" w:fill="CCEEFF"/>
          </w:tcPr>
          <w:p>
            <w:pPr>
              <w:spacing w:after="0"/>
              <w:rPr>
                <w:sz w:val="14"/>
                <w:szCs w:val="14"/>
                <w:color w:val="auto"/>
              </w:rPr>
            </w:pPr>
          </w:p>
        </w:tc>
      </w:tr>
      <w:tr>
        <w:trPr>
          <w:trHeight w:val="195"/>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at end of period</w:t>
            </w:r>
          </w:p>
        </w:tc>
        <w:tc>
          <w:tcPr>
            <w:tcW w:w="14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70,518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59,862</w:t>
            </w:r>
          </w:p>
        </w:tc>
        <w:tc>
          <w:tcPr>
            <w:tcW w:w="20" w:type="dxa"/>
            <w:vAlign w:val="bottom"/>
            <w:tcBorders>
              <w:bottom w:val="single" w:sz="8" w:color="CCEEFF"/>
            </w:tcBorders>
          </w:tcPr>
          <w:p>
            <w:pPr>
              <w:spacing w:after="0"/>
              <w:rPr>
                <w:sz w:val="17"/>
                <w:szCs w:val="17"/>
                <w:color w:val="auto"/>
              </w:rPr>
            </w:pPr>
          </w:p>
        </w:tc>
      </w:tr>
      <w:tr>
        <w:trPr>
          <w:trHeight w:val="143"/>
        </w:trPr>
        <w:tc>
          <w:tcPr>
            <w:tcW w:w="59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20,735</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20,481</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 net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8,919</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3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20" w:type="dxa"/>
            <w:vAlign w:val="bottom"/>
            <w:shd w:val="clear" w:color="auto" w:fill="CCEEFF"/>
          </w:tcPr>
          <w:p>
            <w:pPr>
              <w:spacing w:after="0"/>
              <w:rPr>
                <w:sz w:val="14"/>
                <w:szCs w:val="14"/>
                <w:color w:val="auto"/>
              </w:rPr>
            </w:pPr>
          </w:p>
        </w:tc>
      </w:tr>
      <w:tr>
        <w:trPr>
          <w:trHeight w:val="164"/>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20" w:type="dxa"/>
            <w:vAlign w:val="bottom"/>
          </w:tcPr>
          <w:p>
            <w:pPr>
              <w:spacing w:after="0"/>
              <w:rPr>
                <w:sz w:val="14"/>
                <w:szCs w:val="14"/>
                <w:color w:val="auto"/>
              </w:rPr>
            </w:pPr>
          </w:p>
        </w:tc>
      </w:tr>
    </w:tbl>
    <w:p>
      <w:pPr>
        <w:spacing w:after="0" w:line="19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2024 was derived from audited financial statements but does not include all disclosures required by GAAP. The accompanying unaudited condensed consolidated financial statements as of September 27, 2025 and for the fiscal quarter and three fiscal quarters ended September 27, 2025 and September 28, 2024,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2024 included in the Company’s 2024 Annual Report on Form 10-K, filed with the SEC on March 5, 2025 (the “Annual Report”). In the opinion of management, all adjustments, consisting only of normal recurring adjustments necessary for a fair statement of these condensed consolidated financial statements, have been included. The Company’s results of operations for the fiscal quarter and three fiscal quarters ended September 27, 2025 are not necessarily indicative of the results of operations that may be expected for the fiscal year ending December 31, 2025 or other interim periods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w:t>
      </w:r>
    </w:p>
    <w:p>
      <w:pPr>
        <w:spacing w:after="0" w:line="2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2023-09”), in an effort to enhance the transparency and decision usefulness of income tax disclosures. For all entities, ASU 2023-09 is effective for fiscal years beginning after December 15, 2024, and interim periods within fiscal years beginning after December 15, 2025. The amendments should be applied prospectively with retrospective application permitted. Early adoption is also permitted. The Company is currently evaluating ASU 2023-09 and its potential impact on the notes to the condensed consolidated financial statements.</w:t>
      </w:r>
    </w:p>
    <w:p>
      <w:pPr>
        <w:spacing w:after="0" w:line="19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(“ASU 2024-03”), which improves disclosures to provide more detailed information about a business entity’s expenses. ASU 2024-03 is effective for public business entities for fiscal years beginning after December 15, 2026. The amendments should be applied retrospectively to all prior periods presented in the financial statements, with early adoption permitted. The Company is currently evaluating ASU 2024-03 and its potential impact on the condensed consolidated financial statements.</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(“ASU 2025-05”), which offers a practical expedient for public companies valuing their current expected credit losses. ASU 2025-05 is effective for public business entities for fiscal years beginning after December 15, 2025 and interim reporting periods within those annual reporting periods. The amendments should be applied prospectively. The Company is currently evaluating ASU 2025-05 and its potential impact on the condensed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14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Coverstar Central, LLC</w:t>
      </w:r>
    </w:p>
    <w:p>
      <w:pPr>
        <w:spacing w:after="0" w:line="216"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On August 2, 2024 (the “Acquisition Date”), Latham Pool Products acquired Coverstar Central, LLC (“Coverstar Central”) for total consideration of $71.5 million (the “Coverstar Central Acquisition”). The total consideration included $66.5 million in cash (including a net working capital adjustment of $1.2 million) and a non-cash settlement of preexisting obligations of $4.9 million. Preexisting relationships are effectively settled since such a relationship becomes intercompany upon the acquisition and is eliminated in post-combination financial statements. The cash consideration was funded with cash on hand. The Company incurred $0.9 million in transaction costs. The results of Coverstar Central’s operations have been included in the condensed consolidated financial statements since that date. Coverstar Central is an automatic safety cover dealer based in the United States. The acquisition allows for vertical integration of the Company’s automatic safety cover product category. Additionally, the acquisition provides the Company with an increase in dealer and franchise relationships.</w:t>
      </w:r>
    </w:p>
    <w:p>
      <w:pPr>
        <w:spacing w:after="0" w:line="19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accounted for the Coverstar Central Acquisition using the acquisition method of accounting in accordance with FASB ASC 805, Business Combinations. This requires that the assets acquired and liabilities assumed be measured at fair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Inventories were valued using the comparative sales method. Specific to intangible assets, backlog and customer relationships were valued using the multi-period excess earnings method. The Company recorded the assets acquired and liabilities assumed at their respective fair values as of the Acquisition Date. These fair value estimates were evaluated during the measurement period of up to one year from the Acquisition Date, and are no longer subject to change.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purchase price allocation for the Company’s acquisition of Coverstar Central: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August 2, 2024</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71,516</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Allocation: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excluding goodwill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3"/>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fair value of net assets acquired, excluding goodwill</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excess of the total consideration over the fair value of the identifiable assets acquired and the liabilities assumed in the acquisition was allocated to goodwill in the amount of $22.0 million. Goodwill resulting from the acquisition was attributable to vertical integration, the expanded market share and broader geographical footprint. The goodwill recognized is deductible for tax purposes.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allocated a portion of the total consideration to specific intangible asset categories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4"/>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2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statements of operations of the Company with Coverstar Central as if the acquisition occurred on January 1, 2024. The pro forma results do not include any anticipated synergies, cost savings or other expected benefits of the acquisition. The pro forma financial information is not necessarily indicative of what the financial results would have been had the acquisition been completed on January 1, 2024 and is not necessarily indicative of the Company’s future financial results.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76"/>
        </w:trPr>
        <w:tc>
          <w:tcPr>
            <w:tcW w:w="28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98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433,522</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r>
      <w:tr>
        <w:trPr>
          <w:trHeight w:val="846"/>
        </w:trPr>
        <w:tc>
          <w:tcPr>
            <w:tcW w:w="2880" w:type="dxa"/>
            <w:vAlign w:val="bottom"/>
          </w:tcPr>
          <w:p>
            <w:pPr>
              <w:spacing w:after="0"/>
              <w:rPr>
                <w:sz w:val="24"/>
                <w:szCs w:val="24"/>
                <w:color w:val="auto"/>
              </w:rPr>
            </w:pPr>
          </w:p>
        </w:tc>
        <w:tc>
          <w:tcPr>
            <w:tcW w:w="39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61"/>
        </w:trPr>
        <w:tc>
          <w:tcPr>
            <w:tcW w:w="28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7"/>
          <w:szCs w:val="17"/>
          <w:color w:val="auto"/>
        </w:rPr>
        <w:t>The pro forma financial information presented above reflects the effects as a result of the acquisition, including the amortization expense from acquired intangible assets, the additional cost of sales from acquired inventory, the elimination of intercompany transactions and the removal of certain costs (primarily payroll costs) that would not have occurred and any related tax effects. Transaction costs for Coverstar Central are reflected within pro forma net income for the three fiscal quarters ended September 28,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29, 2025, the Company completed the acquisition of two autocover dealers located in New York and Tennessee that qualified as a business combination. This transaction resulted in an increase to goodwill and intangibles, but was not material to our condensed consolidated financial statements, and as a result, additional business combination disclosures for this acquisition have been omitted.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1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4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three fiscal quarters ended September 27, 2025 or September 28,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620"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6"/>
        </w:trPr>
        <w:tc>
          <w:tcPr>
            <w:tcW w:w="4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5"/>
                <w:szCs w:val="15"/>
                <w:color w:val="auto"/>
              </w:rPr>
            </w:pPr>
          </w:p>
        </w:tc>
      </w:tr>
      <w:tr>
        <w:trPr>
          <w:trHeight w:val="194"/>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279,669</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w:t>
            </w:r>
          </w:p>
        </w:tc>
        <w:tc>
          <w:tcPr>
            <w:tcW w:w="60" w:type="dxa"/>
            <w:vAlign w:val="bottom"/>
            <w:tcBorders>
              <w:top w:val="single" w:sz="8" w:color="CCEEFF"/>
            </w:tcBorders>
            <w:shd w:val="clear" w:color="auto" w:fill="CCEEFF"/>
          </w:tcPr>
          <w:p>
            <w:pPr>
              <w:spacing w:after="0"/>
              <w:rPr>
                <w:sz w:val="19"/>
                <w:szCs w:val="19"/>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September 27, 2025 and December 31, 2024, the Company’s interest rate swap was a liability of $1.0 million and $0.4 million, respectively, which were recorded within other long-term liabilities on the condensed consolidated balance sheets. See Note 7 for further detail.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September 27, 2025 and as of December 31, 2024 was $155.0 million and $152.6 million, respectively. The change in the carrying value during the three fiscal quarters ended September 27, 2025 was primarily driven by acquisitions made in the first fiscal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September 27, 2025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4"/>
        </w:trPr>
        <w:tc>
          <w:tcPr>
            <w:tcW w:w="418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$ 106,751</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8,910</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145,064</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$ 435,088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$ 275,118</w:t>
            </w: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$7.2 million and $21.7 million of amortization expense related to intangible assets during the fiscal quarter and three fiscal quarters ended September 27, 2025, respectively. The Company recognized $7.0 million and $19.8 million of amortization expense related to intangible assets during the fiscal quarter and three fiscal quarters ended September 28, 2024, respectively.</w:t>
      </w:r>
    </w:p>
    <w:p>
      <w:pPr>
        <w:spacing w:after="0" w:line="180" w:lineRule="exact"/>
        <w:rPr>
          <w:sz w:val="20"/>
          <w:szCs w:val="20"/>
          <w:color w:val="auto"/>
        </w:rPr>
      </w:pPr>
    </w:p>
    <w:p>
      <w:pPr>
        <w:ind w:right="700" w:firstLine="324"/>
        <w:spacing w:after="0" w:line="266" w:lineRule="auto"/>
        <w:rPr>
          <w:sz w:val="20"/>
          <w:szCs w:val="20"/>
          <w:color w:val="auto"/>
        </w:rPr>
      </w:pPr>
      <w:r>
        <w:rPr>
          <w:rFonts w:ascii="Times New Roman" w:cs="Times New Roman" w:eastAsia="Times New Roman" w:hAnsi="Times New Roman"/>
          <w:sz w:val="18"/>
          <w:szCs w:val="18"/>
          <w:color w:val="auto"/>
        </w:rPr>
        <w:t>The change in the carrying value of dealer relationships is driven by the acquisitions made in the three fiscal quarters ended September 27,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as of December 31, 2024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4"/>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111,325</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155,776</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$ 431,713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292,913</w:t>
            </w: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Future</w:t>
            </w:r>
          </w:p>
        </w:tc>
      </w:tr>
      <w:tr>
        <w:trPr>
          <w:trHeight w:val="189"/>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4"/>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29"/>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28,719</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27,760</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r>
      <w:tr>
        <w:trPr>
          <w:trHeight w:val="22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160,349</w:t>
            </w:r>
          </w:p>
        </w:tc>
      </w:tr>
      <w:tr>
        <w:trPr>
          <w:trHeight w:val="223"/>
        </w:trPr>
        <w:tc>
          <w:tcPr>
            <w:tcW w:w="8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275,118</w:t>
            </w:r>
          </w:p>
        </w:tc>
      </w:tr>
      <w:tr>
        <w:trPr>
          <w:trHeight w:val="20"/>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50,210</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w:t>
            </w:r>
          </w:p>
        </w:tc>
        <w:tc>
          <w:tcPr>
            <w:tcW w:w="60" w:type="dxa"/>
            <w:vAlign w:val="bottom"/>
            <w:tcBorders>
              <w:top w:val="single" w:sz="8" w:color="CCEEFF"/>
            </w:tcBorders>
            <w:shd w:val="clear" w:color="auto" w:fill="CCEEFF"/>
          </w:tcPr>
          <w:p>
            <w:pPr>
              <w:spacing w:after="0"/>
              <w:rPr>
                <w:sz w:val="19"/>
                <w:szCs w:val="19"/>
                <w:color w:val="auto"/>
              </w:rPr>
            </w:pPr>
          </w:p>
        </w:tc>
      </w:tr>
      <w:tr>
        <w:trPr>
          <w:trHeight w:val="229"/>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60" w:type="dxa"/>
            <w:vAlign w:val="bottom"/>
            <w:tcBorders>
              <w:bottom w:val="single" w:sz="8" w:color="CCEEFF"/>
            </w:tcBorders>
          </w:tcPr>
          <w:p>
            <w:pPr>
              <w:spacing w:after="0"/>
              <w:rPr>
                <w:sz w:val="19"/>
                <w:szCs w:val="19"/>
                <w:color w:val="auto"/>
              </w:rPr>
            </w:pPr>
          </w:p>
        </w:tc>
      </w:tr>
      <w:tr>
        <w:trPr>
          <w:trHeight w:val="223"/>
        </w:trPr>
        <w:tc>
          <w:tcPr>
            <w:tcW w:w="35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70,316</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288,063</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6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60" w:type="dxa"/>
            <w:vAlign w:val="bottom"/>
          </w:tcPr>
          <w:p>
            <w:pPr>
              <w:spacing w:after="0"/>
              <w:rPr>
                <w:sz w:val="19"/>
                <w:szCs w:val="19"/>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6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February 23, 2022, Latham Pool Products and certain subsidiary guarantors entered into a credit and guaranty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pacing w:after="0" w:line="16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ind w:right="100"/>
        <w:spacing w:after="0" w:line="243"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Borrowings under the Revolving Credit Facility are not subject to amortization and are due at maturity.</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and are being amortized over the life of the Revolving Credit Facility.</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fiscal quarters ended September 27, 2025, the Company repaid the $25.0 million of outstanding borrowings on the Revolving Credit Facility. As of September 27, 2025, there were no outstanding borrowings on the Revolving Credit Facility and $75.0 million was available for future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Pursuant to the Credit Agreement, Latham Pool Products borrowed $325.0 million in term loans. 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net cash proceeds from the incurrence of indebtedness not otherwise permitted to be incurred by the covenants, asset sales, and casualty and condemnation events, in each case, subject to customary exceptions.</w:t>
      </w:r>
    </w:p>
    <w:p>
      <w:pPr>
        <w:spacing w:after="0" w:line="162" w:lineRule="exact"/>
        <w:rPr>
          <w:sz w:val="20"/>
          <w:szCs w:val="20"/>
          <w:color w:val="auto"/>
        </w:rPr>
      </w:pPr>
    </w:p>
    <w:p>
      <w:pPr>
        <w:jc w:val="both"/>
        <w:ind w:right="3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fiscal quarters ended September 28, 2024, the Company made a pre-payment of $18.0 million in addition to the required annual payments of $3.3 million. No additional pre-payments are required to be made during the year ending December 31,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borrowings as of September 27, 2025 were $281.1 million, net of unamortized discount and debt issuance costs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million. In connection with the Term Loan, the Company is subject to various negative, reporting, financial, and other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maintaining specific liquidity measurements.</w:t>
      </w:r>
    </w:p>
    <w:p>
      <w:pPr>
        <w:spacing w:after="0" w:line="207"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As of September 27, 2025, the unamortized debt issuance costs and discount on the Term Loan were $3.0 million and $2.4 million, respectively. The effective interest rate was 9.22% at September 27, 2025, including the impact of the Company’s interest rate swap.</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interest rate swap that was executed on March 10, 2023 (the “2023 Interest Rate Swap”). The 2023 Interest Rate Swap had an effective date of May 18, 2023 and a termination date of May 18, 2026. Under the terms of the 2023 Interest Rate Swap, the Company fixed its SOFR borrowing rate at 4.3725% on a notional amount of $161.0 million. The 2023 Interest Rate Swap was not designated as a hedging instrument for accounting purposes (see Note 4).</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entered into a new interest rate swap that was executed on June 4, 2025 (the “2025 Interest Rate Swap”). As part of the 2025 Interest Rate Swap, the Company terminated the 2023 Interest Rate Swap prior to its May 18, 2026 termination date. The 2025 Interest Rate Swap became effective on May 19, 2025 and has a termination date of May 18, 2027. Under the terms of the 2025 Interest Rate Swap, the Company fixed its SOFR borrowing rate at 3.92% on a notional amount of $140.0 million. The 2025 Interest Rate Swap is not designated as a hedging instrument for accounting purposes (see Note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levels, are as follows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275,062</w:t>
            </w:r>
          </w:p>
        </w:tc>
      </w:tr>
      <w:tr>
        <w:trPr>
          <w:trHeight w:val="228"/>
        </w:trPr>
        <w:tc>
          <w:tcPr>
            <w:tcW w:w="50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-2540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-125095</wp:posOffset>
            </wp:positionV>
            <wp:extent cx="1294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6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5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Pr>
          <w:p>
            <w:pPr>
              <w:spacing w:after="0"/>
              <w:rPr>
                <w:sz w:val="16"/>
                <w:szCs w:val="16"/>
                <w:color w:val="auto"/>
              </w:rPr>
            </w:pPr>
          </w:p>
        </w:tc>
      </w:tr>
      <w:tr>
        <w:trPr>
          <w:trHeight w:val="223"/>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60" w:type="dxa"/>
            <w:vAlign w:val="bottom"/>
            <w:tcBorders>
              <w:top w:val="single" w:sz="8" w:color="CCEEFF"/>
            </w:tcBorders>
            <w:shd w:val="clear" w:color="auto" w:fill="CCEEFF"/>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reserve</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60" w:type="dxa"/>
            <w:vAlign w:val="bottom"/>
          </w:tcPr>
          <w:p>
            <w:pPr>
              <w:spacing w:after="0"/>
              <w:rPr>
                <w:sz w:val="19"/>
                <w:szCs w:val="19"/>
                <w:color w:val="auto"/>
              </w:rPr>
            </w:pP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60" w:type="dxa"/>
            <w:vAlign w:val="bottom"/>
            <w:shd w:val="clear" w:color="auto" w:fill="CCEEFF"/>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components of lease expense for the fiscal quarter and three fiscal quarters ended September 27, 2025 and September 28, 2024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380" w:type="dxa"/>
            <w:vAlign w:val="bottom"/>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6"/>
                <w:szCs w:val="16"/>
                <w:color w:val="auto"/>
              </w:rPr>
            </w:pPr>
          </w:p>
        </w:tc>
        <w:tc>
          <w:tcPr>
            <w:tcW w:w="1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6"/>
                <w:szCs w:val="16"/>
                <w:color w:val="auto"/>
              </w:rPr>
            </w:pPr>
          </w:p>
        </w:tc>
      </w:tr>
      <w:tr>
        <w:trPr>
          <w:trHeight w:val="223"/>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60" w:type="dxa"/>
            <w:vAlign w:val="bottom"/>
            <w:tcBorders>
              <w:top w:val="single" w:sz="8" w:color="CCEEFF"/>
            </w:tcBorders>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9"/>
                <w:szCs w:val="19"/>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60" w:type="dxa"/>
            <w:vAlign w:val="bottom"/>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September 27, 2025 and December 31, 2024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3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liabilities:</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September 27, 2025 and December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r>
      <w:tr>
        <w:trPr>
          <w:trHeight w:val="230"/>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r>
      <w:tr>
        <w:trPr>
          <w:trHeight w:val="229"/>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6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Borders>
              <w:bottom w:val="single" w:sz="8" w:color="CCEEFF"/>
            </w:tcBorders>
          </w:tcPr>
          <w:p>
            <w:pPr>
              <w:spacing w:after="0"/>
              <w:rPr>
                <w:sz w:val="16"/>
                <w:szCs w:val="16"/>
                <w:color w:val="auto"/>
              </w:rPr>
            </w:pPr>
          </w:p>
        </w:tc>
      </w:tr>
      <w:tr>
        <w:trPr>
          <w:trHeight w:val="22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0" w:type="dxa"/>
            <w:vAlign w:val="bottom"/>
          </w:tcPr>
          <w:p>
            <w:pPr>
              <w:spacing w:after="0"/>
              <w:rPr>
                <w:sz w:val="20"/>
                <w:szCs w:val="20"/>
                <w:color w:val="auto"/>
              </w:rPr>
            </w:pPr>
          </w:p>
        </w:tc>
      </w:tr>
    </w:tbl>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September 27, 2025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r>
      <w:tr>
        <w:trPr>
          <w:trHeight w:val="25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r>
      <w:tr>
        <w:trPr>
          <w:trHeight w:val="25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43"/>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38,680</w:t>
            </w:r>
          </w:p>
        </w:tc>
      </w:tr>
      <w:tr>
        <w:trPr>
          <w:trHeight w:val="25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r>
      <w:tr>
        <w:trPr>
          <w:trHeight w:val="230"/>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30,401</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w:t>
            </w:r>
          </w:p>
        </w:tc>
      </w:tr>
      <w:tr>
        <w:trPr>
          <w:trHeight w:val="20"/>
        </w:trPr>
        <w:tc>
          <w:tcPr>
            <w:tcW w:w="4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7"/>
        </w:trPr>
        <w:tc>
          <w:tcPr>
            <w:tcW w:w="2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tcPr>
          <w:p>
            <w:pPr>
              <w:spacing w:after="0"/>
              <w:rPr>
                <w:sz w:val="16"/>
                <w:szCs w:val="16"/>
                <w:color w:val="auto"/>
              </w:rPr>
            </w:pPr>
          </w:p>
        </w:tc>
        <w:tc>
          <w:tcPr>
            <w:tcW w:w="15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40" w:type="dxa"/>
            <w:vAlign w:val="bottom"/>
          </w:tcPr>
          <w:p>
            <w:pPr>
              <w:spacing w:after="0"/>
              <w:rPr>
                <w:sz w:val="16"/>
                <w:szCs w:val="16"/>
                <w:color w:val="auto"/>
              </w:rPr>
            </w:pPr>
          </w:p>
        </w:tc>
      </w:tr>
      <w:tr>
        <w:trPr>
          <w:trHeight w:val="223"/>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8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2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74,785</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211,711</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215,575</w:t>
            </w:r>
          </w:p>
        </w:tc>
        <w:tc>
          <w:tcPr>
            <w:tcW w:w="40" w:type="dxa"/>
            <w:vAlign w:val="bottom"/>
            <w:tcBorders>
              <w:top w:val="single" w:sz="8" w:color="CCEEFF"/>
            </w:tcBorders>
            <w:shd w:val="clear" w:color="auto" w:fill="CCEEFF"/>
          </w:tcPr>
          <w:p>
            <w:pPr>
              <w:spacing w:after="0"/>
              <w:rPr>
                <w:sz w:val="19"/>
                <w:szCs w:val="19"/>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54,893</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100,126</w:t>
            </w:r>
          </w:p>
        </w:tc>
        <w:tc>
          <w:tcPr>
            <w:tcW w:w="40" w:type="dxa"/>
            <w:vAlign w:val="bottom"/>
          </w:tcPr>
          <w:p>
            <w:pPr>
              <w:spacing w:after="0"/>
              <w:rPr>
                <w:sz w:val="19"/>
                <w:szCs w:val="19"/>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8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105,546</w:t>
            </w:r>
          </w:p>
        </w:tc>
        <w:tc>
          <w:tcPr>
            <w:tcW w:w="40" w:type="dxa"/>
            <w:vAlign w:val="bottom"/>
            <w:shd w:val="clear" w:color="auto" w:fill="CCEEFF"/>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4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fiscal quarter and the three fiscal quarters ended September 27, 2025 was 47.9% and 32.0%, respectively, compared to (0.7)% and 7.6% for the fiscal quarter and the three fiscal quarters ended September 28, 2024. The differences between the U.S. federal statutory income tax rate and the Company's effective income tax rates for the fiscal quarter ended September 27, 2025 and the fiscal quarter ended September 28, 2024 were primarily attributable to the discrete impact of stock-based compensation expense for which there is no associated tax benefit and the effects of branch accounting for Latham Canada.</w:t>
      </w:r>
    </w:p>
    <w:p>
      <w:pPr>
        <w:spacing w:after="0" w:line="17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new provisions did not have a material impact on the Company’s 2025 effective tax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April 12, 2021, the Company’s stockholders approved the Latham Group, Inc. 2021 Omnibus Equity Incentive Plan (the “2021 Omnibus Equity Plan”), which became effective on April 22, 2021. The 2021 Omnibus Equity Plan provides for the issuance of incentive stock options, non-qualified stock options, stock appreciation rights, restricted stock, restricted stock units, performance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2, 2023, at the 2023 annual meeting of stockholders of the Company, the stockholders approved the first amendment (the “Equity Plan First Amendment”) to the 2021 Omnibus Equity Plan, which was previously approved by the Board of Directors of the Company (the “Board”). The Equity Plan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spacing w:after="0" w:line="192"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Except as amended by the Equity Plan First Amendment, the other terms of the 2021 Omnibus Equity Plan remain in full force and effect. Subsequent to the Equity Plan First Amendment, the maximum aggregate number of shares reserved for issuance under the 2021 Omnibus Equity Plan is 21,170,212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7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760" w:type="dxa"/>
            <w:vAlign w:val="bottom"/>
          </w:tcPr>
          <w:p>
            <w:pPr>
              <w:spacing w:after="0"/>
              <w:rPr>
                <w:sz w:val="16"/>
                <w:szCs w:val="16"/>
                <w:color w:val="auto"/>
              </w:rPr>
            </w:pP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27, 2025  September 28, 2024September 27, 2025</w:t>
            </w:r>
          </w:p>
        </w:tc>
        <w:tc>
          <w:tcPr>
            <w:tcW w:w="14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3"/>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1,844 $</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September 27, 2025, total unrecognized stock-based compensation expense related to all unvested stock-based awards was $10.3 million, which is expected to be recognized over a weighted-average period of 1.9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three fiscal quarters ended September 27,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7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4"/>
        </w:trPr>
        <w:tc>
          <w:tcPr>
            <w:tcW w:w="7420" w:type="dxa"/>
            <w:vAlign w:val="bottom"/>
          </w:tcPr>
          <w:p>
            <w:pPr>
              <w:spacing w:after="0"/>
              <w:rPr>
                <w:sz w:val="16"/>
                <w:szCs w:val="16"/>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29"/>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4,200,759</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(1,231,008)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(394,117)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27,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3,476,470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options activity during the three fiscal quarters ended September 27,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(198,307)</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September 27,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1,150,712</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September 27,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1,150,712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September 27, 2025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949,712</w:t>
            </w:r>
          </w:p>
        </w:tc>
        <w:tc>
          <w:tcPr>
            <w:tcW w:w="1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three fiscal quarters ended September 27,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16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27,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September 27, 2025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514,503</w:t>
            </w:r>
          </w:p>
        </w:tc>
        <w:tc>
          <w:tcPr>
            <w:tcW w:w="1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 exercisable at September 27,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fiscal quarters ended September 27, 2025, the Compensation Committee of the Board approved the grant of performance stock units (“PSUs”) as a portion of the annual equity award to the Company’s executive officers.</w:t>
      </w:r>
    </w:p>
    <w:p>
      <w:pPr>
        <w:spacing w:after="0" w:line="14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Thirty-three percent of the target number of PSUs awarded on the grant date will be earned annually at 0% to 200% of the target number of PSUs based on the Company’s achievement of Adjusted EBITDA (with 100% of PSUs being earned at target performance, and linear interpolation between threshold and target and maximum performance) as defined in the award agreement, for each year of the three-year performance period beginning January 1, 2025 and ending December 31, 2027.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was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three fiscal quarters ended September 27, 2025:</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23" w:lineRule="auto"/>
        <w:rPr>
          <w:sz w:val="20"/>
          <w:szCs w:val="20"/>
          <w:color w:val="auto"/>
        </w:rPr>
      </w:pPr>
      <w:r>
        <w:rPr>
          <w:rFonts w:ascii="Times New Roman" w:cs="Times New Roman" w:eastAsia="Times New Roman" w:hAnsi="Times New Roman"/>
          <w:sz w:val="17"/>
          <w:szCs w:val="17"/>
          <w:color w:val="auto"/>
        </w:rPr>
        <w:t xml:space="preserve">Adjustment for performance achievement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at September 27, 2025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89"/>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5"/>
        </w:trPr>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9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807,771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(182,521)</w:t>
            </w:r>
          </w:p>
        </w:tc>
        <w:tc>
          <w:tcPr>
            <w:tcW w:w="3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950,863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6700" w:space="720"/>
            <w:col w:w="2500"/>
          </w:cols>
          <w:pgMar w:left="980" w:top="661" w:right="99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32"/>
        <w:spacing w:after="0" w:line="282"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expectations as of the end of each respective fiscal year.</w:t>
      </w:r>
    </w:p>
    <w:p>
      <w:pPr>
        <w:spacing w:after="0" w:line="161" w:lineRule="exact"/>
        <w:rPr>
          <w:rFonts w:ascii="Times New Roman" w:cs="Times New Roman" w:eastAsia="Times New Roman" w:hAnsi="Times New Roman"/>
          <w:sz w:val="18"/>
          <w:szCs w:val="18"/>
          <w:color w:val="auto"/>
        </w:rPr>
      </w:pPr>
    </w:p>
    <w:p>
      <w:pPr>
        <w:ind w:right="240" w:firstLine="332"/>
        <w:spacing w:after="0" w:line="266" w:lineRule="auto"/>
        <w:tabs>
          <w:tab w:leader="none" w:pos="6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292,870 PSUs could potentially be included if the maximum performance level of 200% is earned for all PSUs granted on or after January 1, 2025 and outstanding as of September 27, 2025.</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income per share attributable to common stockholders was calculated as follows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120" w:type="dxa"/>
            <w:vAlign w:val="bottom"/>
          </w:tcPr>
          <w:p>
            <w:pPr>
              <w:spacing w:after="0"/>
              <w:rPr>
                <w:sz w:val="16"/>
                <w:szCs w:val="16"/>
                <w:color w:val="auto"/>
              </w:rPr>
            </w:pP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2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40" w:type="dxa"/>
            <w:vAlign w:val="bottom"/>
          </w:tcPr>
          <w:p>
            <w:pPr>
              <w:spacing w:after="0"/>
              <w:rPr>
                <w:sz w:val="19"/>
                <w:szCs w:val="19"/>
                <w:color w:val="auto"/>
              </w:rPr>
            </w:pP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116,603,331</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115,564,382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116,323,609</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115,358,274</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119,907,619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118,445,235</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119,720,706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117,130,609</w:t>
            </w:r>
          </w:p>
        </w:tc>
        <w:tc>
          <w:tcPr>
            <w:tcW w:w="40" w:type="dxa"/>
            <w:vAlign w:val="bottom"/>
            <w:tcBorders>
              <w:bottom w:val="single" w:sz="8" w:color="auto"/>
            </w:tcBorders>
          </w:tcPr>
          <w:p>
            <w:pPr>
              <w:spacing w:after="0"/>
              <w:rPr>
                <w:sz w:val="19"/>
                <w:szCs w:val="19"/>
                <w:color w:val="auto"/>
              </w:rPr>
            </w:pPr>
          </w:p>
        </w:tc>
      </w:tr>
      <w:tr>
        <w:trPr>
          <w:trHeight w:val="191"/>
        </w:trPr>
        <w:tc>
          <w:tcPr>
            <w:tcW w:w="4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 to common</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4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9"/>
                <w:szCs w:val="19"/>
                <w:color w:val="auto"/>
              </w:rPr>
            </w:pPr>
          </w:p>
        </w:tc>
      </w:tr>
      <w:tr>
        <w:trPr>
          <w:trHeight w:val="243"/>
        </w:trPr>
        <w:tc>
          <w:tcPr>
            <w:tcW w:w="41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6272530</wp:posOffset>
            </wp:positionH>
            <wp:positionV relativeFrom="paragraph">
              <wp:posOffset>-16510</wp:posOffset>
            </wp:positionV>
            <wp:extent cx="25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91"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As of September 27, 2025 and December 31, 2024, 116,655,775 and 115,764,839 shares of common stock were issued and outstanding, respectively.</w:t>
      </w:r>
    </w:p>
    <w:p>
      <w:pPr>
        <w:spacing w:after="0" w:line="14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income per share because the effect was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9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7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280" w:type="dxa"/>
            <w:vAlign w:val="bottom"/>
          </w:tcPr>
          <w:p>
            <w:pPr>
              <w:spacing w:after="0"/>
              <w:rPr>
                <w:sz w:val="16"/>
                <w:szCs w:val="16"/>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6"/>
                <w:szCs w:val="16"/>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0" w:type="dxa"/>
            <w:vAlign w:val="bottom"/>
            <w:tcBorders>
              <w:top w:val="single" w:sz="8" w:color="CCEEFF"/>
            </w:tcBorders>
            <w:shd w:val="clear" w:color="auto" w:fill="CCEEFF"/>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240,049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1,031,911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1,402,036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1,221,363</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1,451,745</w:t>
            </w:r>
          </w:p>
        </w:tc>
        <w:tc>
          <w:tcPr>
            <w:tcW w:w="20" w:type="dxa"/>
            <w:vAlign w:val="bottom"/>
            <w:shd w:val="clear" w:color="auto" w:fill="CCEEFF"/>
          </w:tcPr>
          <w:p>
            <w:pPr>
              <w:spacing w:after="0"/>
              <w:rPr>
                <w:sz w:val="19"/>
                <w:szCs w:val="19"/>
                <w:color w:val="auto"/>
              </w:rPr>
            </w:pP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435,194</w:t>
            </w:r>
          </w:p>
        </w:tc>
        <w:tc>
          <w:tcPr>
            <w:tcW w:w="20" w:type="dxa"/>
            <w:vAlign w:val="bottom"/>
          </w:tcPr>
          <w:p>
            <w:pPr>
              <w:spacing w:after="0"/>
              <w:rPr>
                <w:sz w:val="21"/>
                <w:szCs w:val="21"/>
                <w:color w:val="auto"/>
              </w:rPr>
            </w:pP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132,414</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2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w:t>
      </w:r>
    </w:p>
    <w:p>
      <w:pPr>
        <w:spacing w:after="0" w:line="16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reports consolidated net income (loss), as management believes that is the measure most consistent with the measurement principles in the Company’s condensed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Operations of the Company’s single segment consisted of the following (in thousands):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237"/>
        </w:trPr>
        <w:tc>
          <w:tcPr>
            <w:tcW w:w="38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2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42"/>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2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2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2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421,247</w:t>
            </w:r>
          </w:p>
        </w:tc>
      </w:tr>
      <w:tr>
        <w:trPr>
          <w:trHeight w:val="256"/>
        </w:trPr>
        <w:tc>
          <w:tcPr>
            <w:tcW w:w="3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 cost of sales</w:t>
            </w:r>
            <w:r>
              <w:rPr>
                <w:rFonts w:ascii="Times New Roman" w:cs="Times New Roman" w:eastAsia="Times New Roman" w:hAnsi="Times New Roman"/>
                <w:sz w:val="26"/>
                <w:szCs w:val="26"/>
                <w:color w:val="auto"/>
                <w:vertAlign w:val="superscript"/>
              </w:rPr>
              <w:t>(1)</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100,174</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279,229</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277,109</w:t>
            </w: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selling, general and administrative expense</w:t>
            </w:r>
            <w:r>
              <w:rPr>
                <w:rFonts w:ascii="Times New Roman" w:cs="Times New Roman" w:eastAsia="Times New Roman" w:hAnsi="Times New Roman"/>
                <w:sz w:val="26"/>
                <w:szCs w:val="26"/>
                <w:color w:val="auto"/>
                <w:vertAlign w:val="superscript"/>
              </w:rPr>
              <w:t>(2)</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79,427</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69,875</w:t>
            </w:r>
          </w:p>
        </w:tc>
      </w:tr>
      <w:tr>
        <w:trPr>
          <w:trHeight w:val="25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r>
      <w:tr>
        <w:trPr>
          <w:trHeight w:val="263"/>
        </w:trPr>
        <w:tc>
          <w:tcPr>
            <w:tcW w:w="380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6"/>
                <w:szCs w:val="26"/>
                <w:color w:val="auto"/>
                <w:vertAlign w:val="superscript"/>
              </w:rPr>
              <w:t>(3)</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20,458</w:t>
            </w:r>
          </w:p>
        </w:tc>
      </w:tr>
      <w:tr>
        <w:trPr>
          <w:trHeight w:val="25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63"/>
        </w:trPr>
        <w:tc>
          <w:tcPr>
            <w:tcW w:w="380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6"/>
                <w:szCs w:val="26"/>
                <w:color w:val="auto"/>
                <w:vertAlign w:val="superscript"/>
              </w:rPr>
              <w:t>(4)</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57"/>
        </w:trPr>
        <w:tc>
          <w:tcPr>
            <w:tcW w:w="3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6"/>
                <w:szCs w:val="26"/>
                <w:color w:val="auto"/>
                <w:vertAlign w:val="superscript"/>
              </w:rPr>
              <w:t>(5)</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6"/>
                <w:szCs w:val="26"/>
                <w:color w:val="auto"/>
                <w:vertAlign w:val="superscript"/>
              </w:rPr>
              <w:t>(6)</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5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w:t>
            </w:r>
          </w:p>
        </w:tc>
      </w:tr>
      <w:tr>
        <w:trPr>
          <w:trHeight w:val="26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5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6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6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w:t>
            </w:r>
          </w:p>
        </w:tc>
      </w:tr>
      <w:tr>
        <w:trPr>
          <w:trHeight w:val="20"/>
        </w:trPr>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260" w:hanging="8"/>
        <w:spacing w:after="0" w:line="266" w:lineRule="auto"/>
        <w:tabs>
          <w:tab w:leader="none" w:pos="5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sales includes total cost of sales (as presented in the condensed consolidated statements of operations) excluding depreciation, stock-based compensation, restructuring charges, and strategic initiative costs.</w:t>
      </w:r>
    </w:p>
    <w:p>
      <w:pPr>
        <w:spacing w:after="0" w:line="175" w:lineRule="exact"/>
        <w:rPr>
          <w:rFonts w:ascii="Times New Roman" w:cs="Times New Roman" w:eastAsia="Times New Roman" w:hAnsi="Times New Roman"/>
          <w:sz w:val="18"/>
          <w:szCs w:val="18"/>
          <w:color w:val="auto"/>
        </w:rPr>
      </w:pPr>
    </w:p>
    <w:p>
      <w:pPr>
        <w:ind w:left="340" w:right="180" w:hanging="8"/>
        <w:spacing w:after="0" w:line="266" w:lineRule="auto"/>
        <w:tabs>
          <w:tab w:leader="none" w:pos="5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 includes total selling, general and administrative expense (as presented in the condensed consolidated statements of operations) excluding depreciation, amortization, stock-based compensation, strategic initiative costs and acquisition and integration related costs.</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finance lease amortization.</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21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executive management changes.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2024 Annual Report on Form 10-K filed with the Securities and Exchange Commission, (“SEC”) on March 5, 2025 (the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changes in U.S. trade priorities, policies, regulations and tariffs, the implementation of our cost reduction plans and expected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20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covers, and pool liners.</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provide high quality, purchase-ready consumer leads to our dealer partners.</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and co-branded marketing programs.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operations consist of approximately 1,850 employees across about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September 27, 2025</w:t>
      </w:r>
    </w:p>
    <w:p>
      <w:pPr>
        <w:spacing w:after="0" w:line="162" w:lineRule="exact"/>
        <w:rPr>
          <w:sz w:val="20"/>
          <w:szCs w:val="20"/>
          <w:color w:val="auto"/>
        </w:rPr>
      </w:pPr>
    </w:p>
    <w:p>
      <w:pPr>
        <w:ind w:left="680" w:right="1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7.6%, or $11.4 million, to $161.9 million for the fiscal quarter ended September 27, 2025, compared to $150.5 million for the fiscal quarter ended September 28, 2024.</w:t>
      </w:r>
    </w:p>
    <w:p>
      <w:pPr>
        <w:spacing w:after="0" w:line="161" w:lineRule="exact"/>
        <w:rPr>
          <w:rFonts w:ascii="Times New Roman" w:cs="Times New Roman" w:eastAsia="Times New Roman" w:hAnsi="Times New Roman"/>
          <w:sz w:val="18"/>
          <w:szCs w:val="18"/>
          <w:color w:val="auto"/>
        </w:rPr>
      </w:pPr>
    </w:p>
    <w:p>
      <w:pPr>
        <w:jc w:val="both"/>
        <w:ind w:left="680" w:right="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$2.2 million to a net income of $8.1 million and representing a 5.0% net income margin for the fiscal quarter ended September 27, 2025, compared to net income of $5.9 million and representing a 3.9% net income margin for the fiscal quarter ended September 28, 2024.</w:t>
      </w:r>
    </w:p>
    <w:p>
      <w:pPr>
        <w:spacing w:after="0" w:line="175" w:lineRule="exact"/>
        <w:rPr>
          <w:rFonts w:ascii="Times New Roman" w:cs="Times New Roman" w:eastAsia="Times New Roman" w:hAnsi="Times New Roman"/>
          <w:sz w:val="18"/>
          <w:szCs w:val="18"/>
          <w:color w:val="auto"/>
        </w:rPr>
      </w:pPr>
    </w:p>
    <w:p>
      <w:pPr>
        <w:jc w:val="both"/>
        <w:ind w:left="680" w:right="26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(as defined below) of $8.5 million to $38.3 million for the fiscal quarter ended September 27, 2025, compared to $29.8 million for the fiscal quarter ended September 28, 2024. Adjusted EBITDA margin increased from 19.8% to 23.7%.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three fiscal quarters ended September 27, 2025</w:t>
      </w:r>
    </w:p>
    <w:p>
      <w:pPr>
        <w:spacing w:after="0" w:line="175" w:lineRule="exact"/>
        <w:rPr>
          <w:sz w:val="20"/>
          <w:szCs w:val="20"/>
          <w:color w:val="auto"/>
        </w:rPr>
      </w:pPr>
    </w:p>
    <w:p>
      <w:pPr>
        <w:ind w:left="680" w:right="5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5.9%, or $24.8 million, to $446.0 million for the three fiscal quarters ended September 27, 2025, compared to $421.2 million for the three fiscal quarters ended September 28, 2024.</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$6.8 million to a net income of $18.1 million and representing a 4.1% net income margin for the three fiscal quarters ended September 27, 2025, compared to net income of $11.3 million and representing a 2.7% net income margin for the three fiscal quarters ended September 28, 2024.</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of $12.8 million to $89.4 million for the three fiscal quarters ended September 27, 2025, compared to $76.6 million for the three fiscal quarters ended September 28, 2024. Adjusted EBITDA margin improved from 18.2% to 20.0%.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current business results reflect a strong third quarter sales growth despite challenging market conditions and our results of operations for the three fiscal quarters ended September 27, 2025 were aligned with our expectations. These results were primarily driven by category share gains in autocovers, along with contributions from the Coverstar Central, LLC (“Coverstar Central”) acquisition in August 2024 and the early 2025 acquisitions of two of our smaller autocover dealers. Liners also saw growth, reflecting success in our Measure by Latham tool. Based on sales for three fiscal quarters and current business trends and market conditions, we currently project 2025 new pool starts to be flat to slightly down from 2024 levels. We are closely monitoring the potential impact of current macroeconomic and geopolitical conditions, as well as general reduced consumer confidence and increased economic uncertainty. Additionally, we recently implemented targeted price increases on certain products to help further mitigate the potential impact of tariffs.</w:t>
      </w:r>
    </w:p>
    <w:p>
      <w:pPr>
        <w:spacing w:after="0" w:line="19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product innovation, facility upgrades and technology and systems. Due to greater-than-expected efficiency of certain projects, we have reduced our capital expenditure estimate for 2025. These initiatives complement continued investment in our sales, marketing, engineering and research and development efforts that are designed to accelerate conversion to fiberglass pool products and ongoing digital transformation programs.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August 2, 2024, we completed a stock acquisition of Coverstar Central, our exclusive dealer of automatic safety covers in 29 states – mainly in the center of the U.S. Coverstar Central has been our trusted partner since 2006, and this acquisition represented a valuable strategic opportunity that we benefited from in multiple ways. First, the vertical integration of our automatic safety cover product line in the acquired geographies increased margins. Second, as one company with a fully integrated sales and marketing strategy, we were able to accelerate the sales growth of this product line. Finally, we leveraged Coverstar Central’s long-standing relationships with pool builders in its markets to increase the awareness of, and conversion to, fiberglass pools. During the three fiscal quarters ended September 27, 2025, we further strengthened our position in this growing category by acquiring two of our smaller autocover dealers located in Tennessee and New York.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method that compares the cost of cumulative work-in-process to date to the most current estimates for the entire cost of the performance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1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16"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7"/>
          <w:szCs w:val="17"/>
          <w:color w:val="auto"/>
        </w:rPr>
        <w:t>Adjusted EBITDA and Adjusted EBITDA margin are key metrics used by management and our Board of Directors of the Company (the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w:t>
      </w:r>
    </w:p>
    <w:p>
      <w:pPr>
        <w:spacing w:after="0" w:line="6" w:lineRule="exact"/>
        <w:rPr>
          <w:sz w:val="20"/>
          <w:szCs w:val="20"/>
          <w:color w:val="auto"/>
        </w:rPr>
      </w:pPr>
    </w:p>
    <w:p>
      <w:pPr>
        <w:ind w:right="20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(vi) stock-based compensation expense, (vii) unrealized losses (gains) on foreign currency transactions, (viii) strategic initiative costs, (ix) acquisition and integration related costs and (x) other.</w:t>
      </w:r>
    </w:p>
    <w:p>
      <w:pPr>
        <w:spacing w:after="0" w:line="181"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September 27, 2025 Compared to Fiscal Quarter Ended September 28, 2024</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September 27, 2025 and September 28, 2024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6"/>
                <w:szCs w:val="16"/>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16"/>
                <w:szCs w:val="16"/>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9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104,596</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101,807</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57,307</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9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40" w:type="dxa"/>
            <w:vAlign w:val="bottom"/>
          </w:tcPr>
          <w:p>
            <w:pPr>
              <w:spacing w:after="0"/>
              <w:rPr>
                <w:sz w:val="19"/>
                <w:szCs w:val="19"/>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9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9"/>
                <w:szCs w:val="19"/>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40" w:type="dxa"/>
            <w:vAlign w:val="bottom"/>
            <w:vMerge w:val="continue"/>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9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9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4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2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40" w:type="dxa"/>
            <w:vAlign w:val="bottom"/>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7" w:lineRule="exact"/>
        <w:rPr>
          <w:sz w:val="20"/>
          <w:szCs w:val="20"/>
          <w:color w:val="auto"/>
        </w:rPr>
      </w:pPr>
    </w:p>
    <w:p>
      <w:pPr>
        <w:ind w:right="100" w:firstLine="332"/>
        <w:spacing w:after="0" w:line="282"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60" w:firstLine="324"/>
        <w:spacing w:after="0" w:line="254" w:lineRule="auto"/>
        <w:rPr>
          <w:sz w:val="20"/>
          <w:szCs w:val="20"/>
          <w:color w:val="auto"/>
        </w:rPr>
      </w:pPr>
      <w:r>
        <w:rPr>
          <w:rFonts w:ascii="Times New Roman" w:cs="Times New Roman" w:eastAsia="Times New Roman" w:hAnsi="Times New Roman"/>
          <w:sz w:val="18"/>
          <w:szCs w:val="18"/>
          <w:color w:val="auto"/>
        </w:rPr>
        <w:t>Net sales were $161.9 million for the fiscal quarter ended September 27, 2025, compared to $150.5 million for the fiscal quarter ended September 28, 2024. The $11.4 million, or 7.6%, increase in net sales was due to a $8.4 million increase in sales volume and a $3.0 million increase from higher pricing. The sales volume increase was primarily driven by organic- and acquisition-related growth. The increase in net sales of $11.4 million across our product lines consisted of an increase of $7.1 million for covers, $3.7 million for liners and a $0.6 million increase for in-ground swimming pools.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Cost of sales was $104.6 million for the fiscal quarter ended September 27, 2025, compared to $101.8 million for the fiscal quarter ended September 28, 2024. Gross margin increased by 3.0%, to 35.4% of net sales for the fiscal quarter ended September 27, 2025, compared to 32.4% of net sales for the fiscal quarter ended September 28, 2024. The $2.8 million, or 2.7%, increase in cost of sales was primarily the result of the increase in sales volume, partially offset by the impact of production efficiencies resulting from lean manufacturing and value engineering programs. The 3.0% increase in gross margin was primarily driven by the accretive benefit of the three Coverstar acquisitions, lean manufacturing and value engineering initiatives and production efficiencies.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$28.6 million for the fiscal quarter ended September 27, 2025, compared to $28.3 million for the fiscal quarter ended September 28, 2024. The $0.3 million, or 0.9%, increase in selling, general, and administrative expense was primarily driven by increased marketing and personnel investment tied to our Sand States strategy and</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investments in new enterprise resource planning (“ERP”) infrastructure, partially offset by the timing of performance 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Amortization was $7.2 million for the fiscal quarter ended September 27, 2025, compared to $7.0 million for the fiscal quarter ended September 28, 2024. The $0.2 million, or 3.3%, increase in amortization was driven by the three Coverstar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$6.1 million for the fiscal quarter ended September 27, 2025, compared to $9.2 million for the fiscal quarter ended September 28, 2024. The $3.1 million, or 33.7%, decrease in interest expense, net was primarily the result of the change in the fair value of our interest rate swap, compared to the fiscal quarter ended September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16"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Other expense, net was $1.2 million for the fiscal quarter ended September 27, 2025, compared to other income, net of $ (0.7) million for fiscal quarter ended September 28, 2024. The $1.9 million increase in other expense, net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$1.3 million for the fiscal quarter ended September 27, 2025, compared to $0.9 million for the fiscal quarter ended September 28, 2024, due to the financial performance of Premier Pools &amp; Spa.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was $7.5 million for the fiscal quarter ended September 27, 2025, compared to income tax benefit of less than $0.1 million for the fiscal quarter ended September 28, 2024. Our effective tax rate was 47.9% for the fiscal quarter ended September 27, 2025, compared to (0.7)% for the fiscal quarter ended September 28, 2024. The difference between the U.S. federal statutory income tax rate and our effective income tax rate for both the fiscal quarters ended September 27, 2025 and September 28, 2024 was primarily attributable to the discrete impact of stock-based compensation expense for which there is no associated tax benefit and the effects of branch accounting for Latham Canada.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Net income was $8.1 million for the fiscal quarter ended September 27, 2025, compared to $5.9 million for the fiscal quarter ended September 28, 2024. The $2.2 million, or 37.7%, increase in net income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Net income margin was 5.0% for the fiscal quarter ended September 27, 2025, compared to 3.9% for the fiscal quarter ended September 28, 2024. The 1.1% increase in net income margin was driven by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Adjusted EBITDA was $38.3 million for the fiscal quarter ended September 27, 2025, compared to $29.8 million for the fiscal</w:t>
      </w:r>
    </w:p>
    <w:p>
      <w:pPr>
        <w:spacing w:after="0" w:line="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quarter ended September 28, 2024. The $8.5 million, or 28.5%, increase in Adjusted EBITDA was primarily because of the gross profit growth from increase in net sales, as well as the other factors described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Adjusted EBITDA margin was 23.7% for the fiscal quarter ended September 27, 2025, compared to 19.8% for the fiscal quarter ended September 28, 2024. The 3.9% increase in Adjusted EBITDA margin was primarily because of a $8.5 million increase in Adjusted EBITDA, compared to the fiscal quarter ended September 28, 2024, which was impacted by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Fiscal Quarters Ended September 27, 2025 Compared to Three Fiscal Quarters Ended September 28, 2024</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fiscal quarters ended September 27, 2025 and September 28,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Change in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6"/>
                <w:szCs w:val="16"/>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16"/>
                <w:szCs w:val="16"/>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89"/>
              </w:rPr>
              <w:t>(dollars in thousands)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288,948</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154,151</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91,146</w:t>
            </w: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40" w:type="dxa"/>
            <w:vAlign w:val="bottom"/>
          </w:tcPr>
          <w:p>
            <w:pPr>
              <w:spacing w:after="0"/>
              <w:rPr>
                <w:sz w:val="19"/>
                <w:szCs w:val="19"/>
                <w:color w:val="auto"/>
              </w:rPr>
            </w:pPr>
          </w:p>
        </w:tc>
        <w:tc>
          <w:tcPr>
            <w:tcW w:w="8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4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tcPr>
          <w:p>
            <w:pPr>
              <w:spacing w:after="0"/>
              <w:rPr>
                <w:sz w:val="19"/>
                <w:szCs w:val="19"/>
                <w:color w:val="auto"/>
              </w:rPr>
            </w:pPr>
          </w:p>
        </w:tc>
        <w:tc>
          <w:tcPr>
            <w:tcW w:w="8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2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3420" w:type="dxa"/>
            <w:vAlign w:val="bottom"/>
            <w:gridSpan w:val="3"/>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89,354</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76,598</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20" w:firstLine="8"/>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Net sales were $446.0 million for the three fiscal quarters ended September 27, 2025, compared to $421.2 million for the three fiscal quarters ended September 28, 2024. The $24.8 million, or 5.9%, increase in net sales was due to a $22.8 million increase in sales volume and a $2.0 million increase from higher pricing. The sales volume increase was primarily driven by both organic- and acquisition-related growth. The increase in net sales across our product lines consisted of an increase of $23.6 million for covers and $5.0 million for liners, partially offset by a decrease of $3.9 million for in-ground swimming pools.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Cost of sales was $291.8 million for the three fiscal quarters ended September 27, 2025, compared to $288.9 million for the three fiscal quarters ended September 28, 2024. Gross margin increased by 3.2%, to 34.6% of net sales for the three fiscal quarters ended September 27, 2025, compared to 31.4% of net sales for the three fiscal quarters ended September 28, 2024. The $2.9 million increase in cost of sales was primarily the result of the increase in sales volume, partially offset by the impact of production efficiencies resulting from lean manufacturing and value engineering programs. The 3.2% increase in gross margin was primarily driven by higher volumes, lean manufacturing and value engineering initiatives, and a margin benefit from the three Coverstar acquisitions.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was $91.1 million for the three fiscal quarters ended September 27, 2025, compared to $81.2 million for the three fiscal quarters ended September 28, 2024. The $9.9 million, or 12.3%, increase in selling, general, and administrative expense was primarily driven by increased marketing and personnel investment tied to our Sand State strategy, investments in new ERP infrastructure and the inclusion of Coverstar Central.</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Amortization was $21.7 million for the three fiscal quarters ended September 27, 2025, compared to $19.8 million for the three fiscal quarters ended September 28, 2024. The $1.9 million, or 9.5%, increase in amortization was driven by the three Coverstar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was $19.6 million for the three fiscal quarters ended September 27, 2025, compared to $20.2 million for the three fiscal quarters ended September 28, 2024. The $0.6 million, or 2.8%, decrease in interest expense, net was the result of the change in the fair value of our interest rate swap and a decrease in the outstanding balance of long-term debt, compared to the three fiscal quarters ended September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$2.2 million for the three fiscal quarters ended September 27, 2025, compared to other expense, net of $1.7 million for the three fiscal quarters ended September 28, 2024. The $3.9 million increase in other income, net was primarily driven by a 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$2.8 million for the three fiscal quarters ended September 27, 2025, largely unchanged from the three fiscal quarters ended September 28, 2024, due to the financial performance of Premier Pools &amp; Spa.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was $8.5 million for the three fiscal quarters ended September 27, 2025, compared to income tax expense of $0.9 million for the three fiscal quarters ended September 28, 2024. Our effective tax rate was 32.0% for the three fiscal quarters ended September 27, 2025, compared to 7.6% for the three fiscal quarters ended September 28, 2024. The difference between the U.S. federal statutory income tax rate and our effective income tax rate for both the three fiscal quarters ended September 27, 2025 and September 28, 2024 was primarily attributable to the discrete impact of stock-based compensation expense for which there is no associated tax benefit and the effects of branch accounting for Latham Canada.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income was $18.1 million for the three fiscal quarters ended September 27, 2025, compared to $11.3 million for the three fiscal quarters ended September 28, 2024. The $6.8 million, or 60.3%, increase in net income was primarily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income margin was 4.1% for the three fiscal quarters ended September 27, 2025, compared to 2.7% for the three fiscal quarters ended September 28, 2024. The 1.4% increase in net income margin was driven by a $6.8 million increase in net income, compared to the three fiscal quarters ended September 28, 2024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was $89.4 million for the three fiscal quarters ended September 27, 2025, compared to $76.6 million for the three fiscal quarters ended September 28, 2024. The $12.8 million, or 16.7%, increase in Adjusted EBITDA was primarily because of the increase in net sales that more than offset higher selling, general and administrative expense, as well as the other factors described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Adjusted EBITDA margin was 20.0% for the three fiscal quarters ended September 27, 2025, compared to 18.2% for the three fiscal quarters ended September 28, 2024. The 1.8% increase in Adjusted EBITDA margin was primarily because of the $12.8 million increase in Adjusted EBITDA, compared to the three fiscal quarters ended September 28, 2024, which was impacted by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losses (gains) on foreign currency transactions, (viii) strategic initiative costs, (ix) acquisition and integration related costs and (x) other.</w:t>
      </w:r>
    </w:p>
    <w:p>
      <w:pPr>
        <w:spacing w:after="0" w:line="194"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expense (benefit),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to Adjusted EBITDA for the periods presented and the calculation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gridSpan w:val="2"/>
            <w:vMerge w:val="continue"/>
          </w:tcPr>
          <w:p>
            <w:pPr>
              <w:spacing w:after="0"/>
              <w:rPr>
                <w:sz w:val="14"/>
                <w:szCs w:val="14"/>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and disposal of property and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6"/>
                <w:szCs w:val="26"/>
                <w:color w:val="auto"/>
                <w:vertAlign w:val="superscript"/>
              </w:rPr>
              <w:t>(a)</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6"/>
                <w:szCs w:val="26"/>
                <w:color w:val="auto"/>
                <w:vertAlign w:val="superscript"/>
              </w:rPr>
              <w:t>(b)</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Unrealized losses (gains) on foreign currency</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6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26"/>
                <w:szCs w:val="26"/>
                <w:color w:val="auto"/>
                <w:vertAlign w:val="superscript"/>
              </w:rPr>
              <w:t>(c)</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6"/>
                <w:szCs w:val="26"/>
                <w:color w:val="auto"/>
                <w:vertAlign w:val="superscript"/>
              </w:rPr>
              <w:t>(d)</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6"/>
                <w:szCs w:val="26"/>
                <w:color w:val="auto"/>
                <w:vertAlign w:val="superscript"/>
              </w:rPr>
              <w:t>(e)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6"/>
                <w:szCs w:val="26"/>
                <w:color w:val="auto"/>
                <w:vertAlign w:val="superscript"/>
              </w:rPr>
              <w:t>(f)</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89,354</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76,598</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150,496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23.7 %</w:t>
            </w: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8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executive management changes.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(gains) associated with our international subsidiaries.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9" w:lineRule="exact"/>
        <w:rPr>
          <w:rFonts w:ascii="Times New Roman" w:cs="Times New Roman" w:eastAsia="Times New Roman" w:hAnsi="Times New Roman"/>
          <w:sz w:val="18"/>
          <w:szCs w:val="18"/>
          <w:color w:val="auto"/>
        </w:rPr>
      </w:pPr>
    </w:p>
    <w:p>
      <w:pPr>
        <w:ind w:right="340" w:firstLine="8"/>
        <w:spacing w:after="0" w:line="260"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existing cash on hand,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September 27, 2025, we had $70.5 million of cash, $281.1 million of outstanding indebtedness and an additional $75.0 million of borrowing availability under our Revolving Credit Facility.</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investments in lean manufacturing and value engineering, including production capacity, diversifying our product offerings, storage, and delivery equipment. We are in the midst of a multi-year capital plan to invest in our facilities, technology, and systems.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and certain subsidiary guarantors entered into a credit and guaranty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w:t>
      </w:r>
    </w:p>
    <w:p>
      <w:pPr>
        <w:spacing w:after="0" w:line="180"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meet certain financial covenants, including maintain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us, declare dividends and make restricted payments and other distributions.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27, 2025, we were in compliance with all covenants under the Credit Agreement.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Credit Facility. The commitment fee is due and payable quarterly in arrears, and initially was 0.375% per annum and thereafter accrues at a rate per annum ranging from 0.25% to 0.50%, depending on the First Lien Net Leverage Ratio (as defined in the Credit Agreement). Borrowings under the Revolving Credit Facility are not subject to amortization and are due at maturity.</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fiscal quarters ended September 27, 2025, we repaid the $25.0 million of outstanding borrowings on the Revolving Credit Facility. As of September 27, 2025, we had no outstanding borrowings under the Revolving Credit Facility and $75.0 million was available for future borrowing.</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27, 2025, we had $281.1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May 10, 2022, our Board approved a stock repurchase program (the “Repurchase Program”), which authorized us to repurchase up to $100 million of our shares of common stock by May 2025. We did not repurchase any shares of our common stock during the three fiscal quarters ended September 27, 2025, and our Repurchase Program expired on May 10, 2025. We do not have an effective stock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Pr>
          <w:p>
            <w:pPr>
              <w:spacing w:after="0"/>
              <w:rPr>
                <w:sz w:val="16"/>
                <w:szCs w:val="16"/>
                <w:color w:val="auto"/>
              </w:rPr>
            </w:pPr>
          </w:p>
        </w:tc>
      </w:tr>
      <w:tr>
        <w:trPr>
          <w:trHeight w:val="200"/>
        </w:trPr>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55,150</w:t>
            </w:r>
          </w:p>
        </w:tc>
        <w:tc>
          <w:tcPr>
            <w:tcW w:w="60" w:type="dxa"/>
            <w:vAlign w:val="bottom"/>
            <w:shd w:val="clear" w:color="auto" w:fill="CCEEFF"/>
          </w:tcPr>
          <w:p>
            <w:pPr>
              <w:spacing w:after="0"/>
              <w:rPr>
                <w:sz w:val="20"/>
                <w:szCs w:val="20"/>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(77,907)</w:t>
            </w:r>
          </w:p>
        </w:tc>
        <w:tc>
          <w:tcPr>
            <w:tcW w:w="60" w:type="dxa"/>
            <w:vAlign w:val="bottom"/>
          </w:tcPr>
          <w:p>
            <w:pPr>
              <w:spacing w:after="0"/>
              <w:rPr>
                <w:sz w:val="19"/>
                <w:szCs w:val="19"/>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6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CCEEFF"/>
            </w:tcBorders>
          </w:tcPr>
          <w:p>
            <w:pPr>
              <w:spacing w:after="0"/>
              <w:rPr>
                <w:sz w:val="19"/>
                <w:szCs w:val="19"/>
                <w:color w:val="auto"/>
              </w:rPr>
            </w:pPr>
          </w:p>
        </w:tc>
      </w:tr>
      <w:tr>
        <w:trPr>
          <w:trHeight w:val="223"/>
        </w:trPr>
        <w:tc>
          <w:tcPr>
            <w:tcW w:w="4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(42,901)</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60" w:firstLine="324"/>
        <w:spacing w:after="0" w:line="252" w:lineRule="auto"/>
        <w:rPr>
          <w:sz w:val="20"/>
          <w:szCs w:val="20"/>
          <w:color w:val="auto"/>
        </w:rPr>
      </w:pPr>
      <w:r>
        <w:rPr>
          <w:rFonts w:ascii="Times New Roman" w:cs="Times New Roman" w:eastAsia="Times New Roman" w:hAnsi="Times New Roman"/>
          <w:sz w:val="18"/>
          <w:szCs w:val="18"/>
          <w:color w:val="auto"/>
        </w:rPr>
        <w:t>During the three fiscal quarters ended September 27, 2025, operating activities provided $40.1 million of cash. Net income, after adjustments for non-cash items, provided cash of $67.3 million. Cash provided by operating activities was partially reduced by changes in our operating assets and liabilities, which used $27.1 million. Net cash used by changes in our operating assets and liabilities for the three fiscal quarters ended September 27, 2025 consisted primarily of a $50.4 million increase in trade receivables, a $5.6 million increase in income tax receivable, a $0.8 million increase in prepaid expenses and other current assets, a $0.5 million decrease in other long-term liabilities and a $0.2 million increase in other assets, partially offset by a $16.3 million increase in accounts payable, a $7.3 million decrease in inventories and a $6.7 million increase in accrued expenses and other current liabilities. The change in trade receivables was primarily driven by the increase and timing of net sales and the change in accounts payable were primarily driven by volume of purchases and timing of payments.</w:t>
      </w:r>
    </w:p>
    <w:p>
      <w:pPr>
        <w:spacing w:after="0" w:line="19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the three fiscal quarters ended September 28, 2024, operating activities provided $55.2 million of cash. Net income, after adjustments for non-cash items, provided cash of $60.3 million. Cash provided by operating activities was further impacted by changes in our operating assets and liabilities, which used $5.2 million. Net cash used by changes in our operating assets and liabilities for the three fiscal quarters ended September 28, 2024 consisted primarily of a $35.6 million increase in trade receivables, a $6.6</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million increase in income tax receivable, a $2.3 million increase in prepaid expenses and other current assets and a $0.6 million increase in other long-term liabilities, partially offset by a $25.5 million decrease in inventories, a $10.4 million increase in accounts payable, a $3.4 million increase in accrued expenses and other current liabilities, and a $0.6 million decrease in other assets. The change in trade receivables was primarily driven by the timing of net sales, the change in inventories was driven by efforts to meet a reduced demand outlook while maintaining lead times and service levels and the changes in accounts payable were primarily driven by volume of purchases and timing of payments.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During the three fiscal quarters ended September 27, 2025, investing activities used $21.1 million of cash, consisting of purchases of property and equipment for $16.2 million and the acquisition of two of our autocover dealers of $4.9 million. The purchase of property and equipment was primarily to expand capacity for production and diversify offerings, especially for fiberglass pools, as well as on-going strategic initiatives such as digital transformation.</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three fiscal quarters ended September 28, 2024, investing activities used $77.9 million of cash, consisting of our acquisition of Coverstar Central for cash consideration of $64.0 million, net of cash acquired, and purchases of property and equipment for $13.9 million. The purchase of property and equipment was primarily to expand capacity for production and diversify offerings, especially for fiberglass pools, the majority of which related to finishing up carryover projects from the prior fiscal year.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fiscal quarters ended September 27, 2025, financing activities used $4.9 million of cash, primarily consisting of common stock withheld for taxes on restricted stock units of $2.7 million, Term Loan payments of $1.6 million and repayments of finance lease obligations of $0.6 million.</w:t>
      </w:r>
    </w:p>
    <w:p>
      <w:pPr>
        <w:spacing w:after="0" w:line="183" w:lineRule="exact"/>
        <w:rPr>
          <w:sz w:val="20"/>
          <w:szCs w:val="20"/>
          <w:color w:val="auto"/>
        </w:rPr>
      </w:pPr>
    </w:p>
    <w:p>
      <w:pPr>
        <w:ind w:right="240" w:firstLine="324"/>
        <w:spacing w:after="0" w:line="297" w:lineRule="auto"/>
        <w:rPr>
          <w:sz w:val="20"/>
          <w:szCs w:val="20"/>
          <w:color w:val="auto"/>
        </w:rPr>
      </w:pPr>
      <w:r>
        <w:rPr>
          <w:rFonts w:ascii="Times New Roman" w:cs="Times New Roman" w:eastAsia="Times New Roman" w:hAnsi="Times New Roman"/>
          <w:sz w:val="18"/>
          <w:szCs w:val="18"/>
          <w:color w:val="auto"/>
        </w:rPr>
        <w:t>During the three fiscal quarters ended September 28, 2024, financing activities used $20.2 million of cash, primarily consisting of repayments on long-term debt borrowings of $19.6 million and repayments of finance lease obligations of $0.6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three fiscal quarters ended September 27, 2025 from those described under the heading “Management’s Discussion and Analysis of Financial Condition and Results of Operations—Contractual Obligations” in our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and notes to such financial statements, is disclosed in Note 2 to our condensed consolidated financial statements in this Quarterly Report on Form 10-Q.</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7"/>
          <w:szCs w:val="17"/>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Changes in these rates may have an impact on future cash flow and earnings. We manage these risks through normal operating and financing activities.</w:t>
      </w:r>
    </w:p>
    <w:p>
      <w:pPr>
        <w:spacing w:after="0" w:line="181"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During the three fiscal quarters ended September 27, 2025,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entered into an interest rate swap that was executed on March 10, 2023 (the “2023 Interest Rate Swap”). The 2023 Interest Rate Swap had an effective date of May 18, 2023 and a termination date of May 18, 2026. Under the terms of the 2023 Interest Rate Swap, we fixed our SOFR borrowing rate on a notional amount of $161.0 million. The 2023 Interest Rate Swap was not designated as a hedging instrument for accounting purposes.</w:t>
      </w:r>
    </w:p>
    <w:p>
      <w:pPr>
        <w:spacing w:after="0" w:line="16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Additionally, we entered into a new interest rate swap that was executed on June 4, 2025 (the “2025 Interest Rate Swap”). As part of the 2025 Interest Rate Swap, we terminated the 2023 Interest Rate Swap prior to its May 18, 2026 termination date. The 2025 Interest Rate Swap became effective on May 19, 2025 and has a termination date of May 18, 2027. Under the terms of the 2025 Interest Rate Swap, we fixed our SOFR borrowing rate on a notional amount of $140.0 million. The 2025 Interest Rate Swap is not designated as a hedging instrument for accounting purposes.</w:t>
      </w:r>
    </w:p>
    <w:p>
      <w:pPr>
        <w:spacing w:after="0" w:line="18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September 27, 2025, would cause an increase or decrease to annual interest expense, net of approximately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27, 2025. Based upon their evaluation, our Chief Executive Officer and Chief Financial Officer concluded that our disclosure controls and procedures were effective at a reasonable assurance level as of September 27,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an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8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fiscal quarter ended September 27, 2025. However, the results of any current or future legal proceedings cannot be predicted with certainty and, regardless of the outcome, we may incur significant costs and experience a diversion of management resources as a result of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and other subsequent reports we file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 dispositions, joint ventures or investments we may undertake. Any of these known or emerging factors may materially adversely affect our business, financial condition, and operating results, as well as the trading price of our common stock.</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During the fiscal quarter ended September 27, 2025, none of the Company’s directors or Section 16 officers adopted or terminated</w:t>
      </w:r>
    </w:p>
    <w:p>
      <w:pPr>
        <w:spacing w:after="0" w:line="39" w:lineRule="exact"/>
        <w:rPr>
          <w:sz w:val="20"/>
          <w:szCs w:val="20"/>
          <w:color w:val="auto"/>
        </w:rPr>
      </w:pPr>
    </w:p>
    <w:p>
      <w:pPr>
        <w:ind w:right="160" w:firstLine="8"/>
        <w:spacing w:after="0" w:line="29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661" w:right="1199"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vMerge w:val="continue"/>
          </w:tcPr>
          <w:p>
            <w:pPr>
              <w:spacing w:after="0"/>
              <w:rPr>
                <w:sz w:val="14"/>
                <w:szCs w:val="14"/>
                <w:color w:val="auto"/>
              </w:rPr>
            </w:pPr>
          </w:p>
        </w:tc>
        <w:tc>
          <w:tcPr>
            <w:tcW w:w="8760" w:type="dxa"/>
            <w:vAlign w:val="bottom"/>
            <w:gridSpan w:val="17"/>
          </w:tcPr>
          <w:p>
            <w:pPr>
              <w:spacing w:after="0" w:line="169"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Certificate of Incorporation of Latham Group, Inc. (incorporated by reference to Exhibit 3.1 to</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Latham Group, Inc.’s Quarterly Report on Form 10-Q filed with the SEC on June 3, 2021 (File No. 001-40358))</w:t>
              </w:r>
            </w:hyperlink>
          </w:p>
        </w:tc>
        <w:tc>
          <w:tcPr>
            <w:tcW w:w="420" w:type="dxa"/>
            <w:vAlign w:val="bottom"/>
            <w:tcBorders>
              <w:top w:val="single" w:sz="8" w:color="0000EE"/>
            </w:tcBorders>
            <w:gridSpan w:val="3"/>
          </w:tcPr>
          <w:p>
            <w:pPr>
              <w:spacing w:after="0"/>
              <w:rPr>
                <w:sz w:val="18"/>
                <w:szCs w:val="18"/>
                <w:color w:val="auto"/>
              </w:rPr>
            </w:pPr>
          </w:p>
        </w:tc>
        <w:tc>
          <w:tcPr>
            <w:tcW w:w="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6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Amended and Restated Bylaws of Latham Group, Inc. (incorporated by reference to Exhibit 3.2 to Latham Group, Inc.’s</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Quarterly Report on Form 10-Q filed with the SEC on June 3, 2021 (File No. 001-40358))</w:t>
              </w:r>
            </w:hyperlink>
          </w:p>
        </w:tc>
        <w:tc>
          <w:tcPr>
            <w:tcW w:w="22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Latham Group, Inc. Amended and Restated Non-Employee Director Compensation Plan</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gridSpan w:val="3"/>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w:t>
            </w:r>
          </w:p>
        </w:tc>
        <w:tc>
          <w:tcPr>
            <w:tcW w:w="6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First Amended Latham Pool Products, Inc. Officer Severance Plan, dated August 1, 2025</w:t>
            </w:r>
          </w:p>
        </w:tc>
        <w:tc>
          <w:tcPr>
            <w:tcW w:w="2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8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of Nonqualified Option Award Agreement under the 2021 Omnibus Equity Incentive Plan dated October 2025</w:t>
            </w:r>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8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Performance Stock Unit Award Agreement under the 2021 Omnibus Equity Incentive Plan dated October 2025</w:t>
            </w:r>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Restricted Stock Award Agreement under the 2021 Omnibus Equity Incentive Plan dated October 2025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gridSpan w:val="3"/>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Restricted Stock Unit Award Agreement under the 2021 Omnibus Equity Incentive Plan dated October 2025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gridSpan w:val="3"/>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10.7*†</w:t>
            </w:r>
          </w:p>
        </w:tc>
        <w:tc>
          <w:tcPr>
            <w:tcW w:w="87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Form of Stock Appreciation Right Award Agreement under the 2021 Omnibus Equity Incentive Plan dated October 2025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Certification of CEO, pursuant to SEC Rule 13a-14(a) and 15d-14(a)</w:t>
            </w:r>
          </w:p>
        </w:tc>
        <w:tc>
          <w:tcPr>
            <w:tcW w:w="3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CFO, pursuant to SEC Rule 13a-14(a) and 15d-14(a)</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7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Act of 2002</w:t>
            </w:r>
          </w:p>
        </w:tc>
        <w:tc>
          <w:tcPr>
            <w:tcW w:w="79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by the CFO, pursuant to 18 U.S.C. Section 1350, as adopted pursuant to Section 906 of the Sarbanes-Oxley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Act of 2002</w:t>
            </w:r>
          </w:p>
        </w:tc>
        <w:tc>
          <w:tcPr>
            <w:tcW w:w="7820" w:type="dxa"/>
            <w:vAlign w:val="bottom"/>
            <w:tcBorders>
              <w:top w:val="single" w:sz="8" w:color="0000EE"/>
            </w:tcBorders>
            <w:gridSpan w:val="13"/>
          </w:tcPr>
          <w:p>
            <w:pPr>
              <w:spacing w:after="0"/>
              <w:rPr>
                <w:sz w:val="18"/>
                <w:szCs w:val="18"/>
                <w:color w:val="auto"/>
              </w:rPr>
            </w:pP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274320</wp:posOffset>
            </wp:positionV>
            <wp:extent cx="15684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20" w:hanging="1151"/>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1220" w:hanging="1151"/>
        <w:spacing w:after="0"/>
        <w:tabs>
          <w:tab w:leader="none" w:pos="1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71" w:lineRule="exact"/>
        <w:rPr>
          <w:rFonts w:ascii="Times New Roman" w:cs="Times New Roman" w:eastAsia="Times New Roman" w:hAnsi="Times New Roman"/>
          <w:sz w:val="18"/>
          <w:szCs w:val="18"/>
          <w:color w:val="auto"/>
        </w:rPr>
      </w:pPr>
    </w:p>
    <w:p>
      <w:pPr>
        <w:ind w:left="1180" w:hanging="1112"/>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ectPr>
          <w:pgSz w:w="11900" w:h="16838" w:orient="portrait"/>
          <w:cols w:equalWidth="0" w:num="1">
            <w:col w:w="10040"/>
          </w:cols>
          <w:pgMar w:left="920" w:top="661" w:right="9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351790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40"/>
          </w:cols>
          <w:pgMar w:left="920" w:top="661" w:right="9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Oliver C. Gloe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1" w:right="1319" w:bottom="1440" w:gutter="0" w:footer="0" w:header="0"/>
        </w:sectPr>
      </w:pPr>
    </w:p>
    <w:bookmarkStart w:id="44" w:name="page45"/>
    <w:bookmarkEnd w:id="44"/>
    <w:p>
      <w:pPr>
        <w:ind w:left="7600"/>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-143510</wp:posOffset>
            </wp:positionV>
            <wp:extent cx="1482725" cy="556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82725" cy="55689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October 31, 2024)</w:t>
      </w:r>
    </w:p>
    <w:p>
      <w:pPr>
        <w:spacing w:after="0" w:line="167" w:lineRule="exact"/>
        <w:rPr>
          <w:sz w:val="20"/>
          <w:szCs w:val="20"/>
          <w:color w:val="auto"/>
        </w:rPr>
      </w:pPr>
    </w:p>
    <w:p>
      <w:pPr>
        <w:jc w:val="both"/>
        <w:ind w:left="220" w:right="219"/>
        <w:spacing w:after="0" w:line="236" w:lineRule="auto"/>
        <w:rPr>
          <w:sz w:val="20"/>
          <w:szCs w:val="20"/>
          <w:color w:val="auto"/>
        </w:rPr>
      </w:pPr>
      <w:r>
        <w:rPr>
          <w:rFonts w:ascii="Times New Roman" w:cs="Times New Roman" w:eastAsia="Times New Roman" w:hAnsi="Times New Roman"/>
          <w:sz w:val="20"/>
          <w:szCs w:val="20"/>
          <w:color w:val="auto"/>
        </w:rPr>
        <w:t>Each “non-employee director” of Latham Group, Inc. (the “Company”) will be entitled to receive the following compensation (directors that are (i) employees of the Company or any of its subsidiaries or (ii)</w:t>
      </w:r>
    </w:p>
    <w:p>
      <w:pPr>
        <w:spacing w:after="0" w:line="2" w:lineRule="exact"/>
        <w:rPr>
          <w:sz w:val="20"/>
          <w:szCs w:val="20"/>
          <w:color w:val="auto"/>
        </w:rPr>
      </w:pPr>
    </w:p>
    <w:p>
      <w:pPr>
        <w:ind w:left="220" w:right="219"/>
        <w:spacing w:after="0" w:line="218" w:lineRule="auto"/>
        <w:rPr>
          <w:sz w:val="20"/>
          <w:szCs w:val="20"/>
          <w:color w:val="auto"/>
        </w:rPr>
      </w:pPr>
      <w:r>
        <w:rPr>
          <w:rFonts w:ascii="Times New Roman" w:cs="Times New Roman" w:eastAsia="Times New Roman" w:hAnsi="Times New Roman"/>
          <w:sz w:val="20"/>
          <w:szCs w:val="20"/>
          <w:color w:val="auto"/>
        </w:rPr>
        <w:t>directors that are employed by or affiliated with our Sponsors (Pamplona Capital Management, LLC and Wynnchurch Capital, L.P.) shall not be entitled to the compensation listed below or any additional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compensation in respect of their service as a member of the Company’s board of directors (the “Board”)):</w:t>
      </w:r>
    </w:p>
    <w:p>
      <w:pPr>
        <w:spacing w:after="0" w:line="167" w:lineRule="exact"/>
        <w:rPr>
          <w:sz w:val="20"/>
          <w:szCs w:val="20"/>
          <w:color w:val="auto"/>
        </w:rPr>
      </w:pPr>
    </w:p>
    <w:p>
      <w:pPr>
        <w:ind w:left="860" w:hanging="642"/>
        <w:spacing w:after="0"/>
        <w:tabs>
          <w:tab w:leader="none" w:pos="8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Retainer</w:t>
      </w:r>
      <w:r>
        <w:rPr>
          <w:rFonts w:ascii="Times New Roman" w:cs="Times New Roman" w:eastAsia="Times New Roman" w:hAnsi="Times New Roman"/>
          <w:sz w:val="20"/>
          <w:szCs w:val="20"/>
          <w:color w:val="auto"/>
        </w:rPr>
        <w:t>: $75,000; to be paid in quarterly installments.</w:t>
      </w:r>
    </w:p>
    <w:p>
      <w:pPr>
        <w:spacing w:after="0" w:line="202" w:lineRule="exact"/>
        <w:rPr>
          <w:rFonts w:ascii="Times New Roman" w:cs="Times New Roman" w:eastAsia="Times New Roman" w:hAnsi="Times New Roman"/>
          <w:sz w:val="20"/>
          <w:szCs w:val="20"/>
          <w:color w:val="auto"/>
        </w:rPr>
      </w:pPr>
    </w:p>
    <w:p>
      <w:pPr>
        <w:jc w:val="both"/>
        <w:ind w:left="220" w:right="219" w:hanging="2"/>
        <w:spacing w:after="0" w:line="232" w:lineRule="auto"/>
        <w:tabs>
          <w:tab w:leader="none" w:pos="8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Equity Grant</w:t>
      </w:r>
      <w:r>
        <w:rPr>
          <w:rFonts w:ascii="Times New Roman" w:cs="Times New Roman" w:eastAsia="Times New Roman" w:hAnsi="Times New Roman"/>
          <w:sz w:val="20"/>
          <w:szCs w:val="20"/>
          <w:color w:val="auto"/>
        </w:rPr>
        <w:t>: $95,000. The number of shares granted will be equal to $95,000 divided by the fair market value of the underlying stock on the date of grant. The Annual Equity Grant will be shares of restricted stock or restricted stock units and such shares will vest and the restrictions will lapse on the first anniversary of the date of grant, unless the director is removed for cause or resigns prior to such date.</w:t>
      </w:r>
    </w:p>
    <w:p>
      <w:pPr>
        <w:spacing w:after="0" w:line="163" w:lineRule="exact"/>
        <w:rPr>
          <w:rFonts w:ascii="Times New Roman" w:cs="Times New Roman" w:eastAsia="Times New Roman" w:hAnsi="Times New Roman"/>
          <w:sz w:val="20"/>
          <w:szCs w:val="20"/>
          <w:color w:val="auto"/>
        </w:rPr>
      </w:pPr>
    </w:p>
    <w:p>
      <w:pPr>
        <w:ind w:left="860" w:hanging="642"/>
        <w:spacing w:after="0"/>
        <w:tabs>
          <w:tab w:leader="none" w:pos="8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(COB):</w:t>
      </w:r>
    </w:p>
    <w:p>
      <w:pPr>
        <w:spacing w:after="0" w:line="202"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COB Cash Retainer $50,000; to be paid in quarterly instalments.</w:t>
      </w:r>
    </w:p>
    <w:p>
      <w:pPr>
        <w:spacing w:after="0" w:line="188" w:lineRule="exact"/>
        <w:rPr>
          <w:rFonts w:ascii="Times New Roman" w:cs="Times New Roman" w:eastAsia="Times New Roman" w:hAnsi="Times New Roman"/>
          <w:sz w:val="20"/>
          <w:szCs w:val="20"/>
          <w:color w:val="auto"/>
        </w:rPr>
      </w:pPr>
    </w:p>
    <w:p>
      <w:pPr>
        <w:jc w:val="both"/>
        <w:ind w:left="860" w:right="219" w:hanging="3"/>
        <w:spacing w:after="0" w:line="231" w:lineRule="auto"/>
        <w:tabs>
          <w:tab w:leader="none" w:pos="150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COB Equity Grant $30,000. The number of shares granted will be equal to $30,000 divided by the fair market value of the underlying stock on the date of grant. The Annual COB Equity Grant will be shares of restricted stock or restricted stock units and such shares will vest and the restrictions will lapse on the first anniversary of the date of grant, unless the COB is removed for cause or resigns prior to such date.</w:t>
      </w:r>
    </w:p>
    <w:p>
      <w:pPr>
        <w:spacing w:after="0" w:line="162" w:lineRule="exact"/>
        <w:rPr>
          <w:rFonts w:ascii="Times New Roman" w:cs="Times New Roman" w:eastAsia="Times New Roman" w:hAnsi="Times New Roman"/>
          <w:sz w:val="20"/>
          <w:szCs w:val="20"/>
          <w:color w:val="auto"/>
        </w:rPr>
      </w:pPr>
    </w:p>
    <w:p>
      <w:pPr>
        <w:ind w:left="220" w:right="219" w:hanging="2"/>
        <w:spacing w:after="0" w:line="255" w:lineRule="auto"/>
        <w:tabs>
          <w:tab w:leader="none" w:pos="8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Retainer for Chairperson of the Audit Committee: $20,000; paid in quarterly installments.</w:t>
      </w:r>
    </w:p>
    <w:p>
      <w:pPr>
        <w:spacing w:after="0" w:line="145" w:lineRule="exact"/>
        <w:rPr>
          <w:rFonts w:ascii="Times New Roman" w:cs="Times New Roman" w:eastAsia="Times New Roman" w:hAnsi="Times New Roman"/>
          <w:sz w:val="20"/>
          <w:szCs w:val="20"/>
          <w:color w:val="auto"/>
        </w:rPr>
      </w:pPr>
    </w:p>
    <w:p>
      <w:pPr>
        <w:ind w:left="220" w:right="239" w:hanging="2"/>
        <w:spacing w:after="0" w:line="255" w:lineRule="auto"/>
        <w:tabs>
          <w:tab w:leader="none" w:pos="8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Retainer for the Chairperson of the Compensation Committee: $15,000; paid in quarterly installments.</w:t>
      </w:r>
    </w:p>
    <w:p>
      <w:pPr>
        <w:spacing w:after="0" w:line="145" w:lineRule="exact"/>
        <w:rPr>
          <w:rFonts w:ascii="Times New Roman" w:cs="Times New Roman" w:eastAsia="Times New Roman" w:hAnsi="Times New Roman"/>
          <w:sz w:val="20"/>
          <w:szCs w:val="20"/>
          <w:color w:val="auto"/>
        </w:rPr>
      </w:pPr>
    </w:p>
    <w:p>
      <w:pPr>
        <w:ind w:left="220" w:right="239" w:hanging="2"/>
        <w:spacing w:after="0" w:line="255" w:lineRule="auto"/>
        <w:tabs>
          <w:tab w:leader="none" w:pos="8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Retainer for the Chairperson of the Nominating and Corporate Governance Committee: $10,000; paid in quarterly installments.</w:t>
      </w:r>
    </w:p>
    <w:p>
      <w:pPr>
        <w:spacing w:after="0" w:line="145" w:lineRule="exact"/>
        <w:rPr>
          <w:rFonts w:ascii="Times New Roman" w:cs="Times New Roman" w:eastAsia="Times New Roman" w:hAnsi="Times New Roman"/>
          <w:sz w:val="20"/>
          <w:szCs w:val="20"/>
          <w:color w:val="auto"/>
        </w:rPr>
      </w:pPr>
    </w:p>
    <w:p>
      <w:pPr>
        <w:jc w:val="both"/>
        <w:ind w:left="220" w:right="219" w:hanging="2"/>
        <w:spacing w:after="0" w:line="235" w:lineRule="auto"/>
        <w:tabs>
          <w:tab w:leader="none" w:pos="8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cash retainer payments are made in quarterly installments and in arrears. In the event a director resigns or retires from the Board in good standing prior to the end of a quarter, the director will be paid on a pro rata basis through their last date of service in that quarter.</w:t>
      </w:r>
    </w:p>
    <w:p>
      <w:pPr>
        <w:spacing w:after="0" w:line="174" w:lineRule="exact"/>
        <w:rPr>
          <w:rFonts w:ascii="Times New Roman" w:cs="Times New Roman" w:eastAsia="Times New Roman" w:hAnsi="Times New Roman"/>
          <w:sz w:val="20"/>
          <w:szCs w:val="20"/>
          <w:color w:val="auto"/>
        </w:rPr>
      </w:pPr>
    </w:p>
    <w:p>
      <w:pPr>
        <w:jc w:val="both"/>
        <w:ind w:left="220" w:right="219" w:hanging="2"/>
        <w:spacing w:after="0" w:line="232" w:lineRule="auto"/>
        <w:tabs>
          <w:tab w:leader="none" w:pos="85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Modification; Termination &amp; Administration</w:t>
      </w:r>
      <w:r>
        <w:rPr>
          <w:rFonts w:ascii="Times New Roman" w:cs="Times New Roman" w:eastAsia="Times New Roman" w:hAnsi="Times New Roman"/>
          <w:sz w:val="20"/>
          <w:szCs w:val="20"/>
          <w:color w:val="auto"/>
        </w:rPr>
        <w:t>. This policy is to be administered by the Company’s Compensation Committee or their designee, unless the Board determines to administer this policy itself (the Committee or Board, as applicable, in its role administering this policy, the “Administrator”). The Administrator is permitted to amend or modify the policy in its discretion.</w:t>
      </w:r>
    </w:p>
    <w:p>
      <w:pPr>
        <w:spacing w:after="0" w:line="187" w:lineRule="exact"/>
        <w:rPr>
          <w:sz w:val="20"/>
          <w:szCs w:val="20"/>
          <w:color w:val="auto"/>
        </w:rPr>
      </w:pPr>
    </w:p>
    <w:p>
      <w:pPr>
        <w:ind w:left="220" w:right="239" w:firstLine="7"/>
        <w:spacing w:after="0"/>
        <w:rPr>
          <w:sz w:val="20"/>
          <w:szCs w:val="20"/>
          <w:color w:val="auto"/>
        </w:rPr>
      </w:pPr>
      <w:r>
        <w:rPr>
          <w:sz w:val="1"/>
          <w:szCs w:val="1"/>
          <w:color w:val="auto"/>
        </w:rPr>
        <w:drawing>
          <wp:inline distT="0" distB="0" distL="0" distR="0">
            <wp:extent cx="1259840" cy="2825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259840" cy="282575"/>
                    </a:xfrm>
                    <a:prstGeom prst="rect">
                      <a:avLst/>
                    </a:prstGeom>
                    <a:noFill/>
                    <a:ln>
                      <a:noFill/>
                    </a:ln>
                  </pic:spPr>
                </pic:pic>
              </a:graphicData>
            </a:graphic>
          </wp:inline>
        </w:drawing>
      </w:r>
      <w:r>
        <w:rPr>
          <w:rFonts w:ascii="Arial" w:cs="Arial" w:eastAsia="Arial" w:hAnsi="Arial"/>
          <w:sz w:val="18"/>
          <w:szCs w:val="18"/>
          <w:color w:val="002E55"/>
        </w:rPr>
        <w:t xml:space="preserve"> Confidential - Intended for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342265</wp:posOffset>
            </wp:positionV>
            <wp:extent cx="1423035"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4230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80"/>
        <w:spacing w:after="0"/>
        <w:rPr>
          <w:sz w:val="20"/>
          <w:szCs w:val="20"/>
          <w:color w:val="auto"/>
        </w:rPr>
      </w:pPr>
      <w:r>
        <w:rPr>
          <w:rFonts w:ascii="Arial" w:cs="Arial" w:eastAsia="Arial" w:hAnsi="Arial"/>
          <w:sz w:val="25"/>
          <w:szCs w:val="25"/>
          <w:b w:val="1"/>
          <w:bCs w:val="1"/>
          <w:color w:val="auto"/>
        </w:rPr>
        <w:t>FIRST AMENDED</w:t>
      </w:r>
    </w:p>
    <w:p>
      <w:pPr>
        <w:spacing w:after="0" w:line="36" w:lineRule="exact"/>
        <w:rPr>
          <w:sz w:val="20"/>
          <w:szCs w:val="20"/>
          <w:color w:val="auto"/>
        </w:rPr>
      </w:pPr>
    </w:p>
    <w:p>
      <w:pPr>
        <w:jc w:val="center"/>
        <w:ind w:right="380"/>
        <w:spacing w:after="0"/>
        <w:rPr>
          <w:sz w:val="20"/>
          <w:szCs w:val="20"/>
          <w:color w:val="auto"/>
        </w:rPr>
      </w:pPr>
      <w:r>
        <w:rPr>
          <w:rFonts w:ascii="Arial" w:cs="Arial" w:eastAsia="Arial" w:hAnsi="Arial"/>
          <w:sz w:val="25"/>
          <w:szCs w:val="25"/>
          <w:b w:val="1"/>
          <w:bCs w:val="1"/>
          <w:color w:val="auto"/>
        </w:rPr>
        <w:t>LATHAM POOL PRODUCTS, INC.</w:t>
      </w:r>
    </w:p>
    <w:p>
      <w:pPr>
        <w:spacing w:after="0" w:line="10" w:lineRule="exact"/>
        <w:rPr>
          <w:sz w:val="20"/>
          <w:szCs w:val="20"/>
          <w:color w:val="auto"/>
        </w:rPr>
      </w:pPr>
    </w:p>
    <w:p>
      <w:pPr>
        <w:jc w:val="center"/>
        <w:ind w:right="380"/>
        <w:spacing w:after="0"/>
        <w:rPr>
          <w:sz w:val="20"/>
          <w:szCs w:val="20"/>
          <w:color w:val="auto"/>
        </w:rPr>
      </w:pPr>
      <w:r>
        <w:rPr>
          <w:rFonts w:ascii="Arial" w:cs="Arial" w:eastAsia="Arial" w:hAnsi="Arial"/>
          <w:sz w:val="25"/>
          <w:szCs w:val="25"/>
          <w:b w:val="1"/>
          <w:bCs w:val="1"/>
          <w:color w:val="auto"/>
        </w:rPr>
        <w:t>OFFICER SEVERANCE PROGRAM</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Effective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58807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18" w:lineRule="exact"/>
        <w:rPr>
          <w:sz w:val="20"/>
          <w:szCs w:val="20"/>
          <w:color w:val="auto"/>
        </w:rPr>
      </w:pPr>
    </w:p>
    <w:p>
      <w:pPr>
        <w:ind w:right="660"/>
        <w:spacing w:after="0" w:line="233" w:lineRule="auto"/>
        <w:rPr>
          <w:sz w:val="20"/>
          <w:szCs w:val="20"/>
          <w:color w:val="auto"/>
        </w:rPr>
      </w:pPr>
      <w:r>
        <w:rPr>
          <w:rFonts w:ascii="Arial" w:cs="Arial" w:eastAsia="Arial" w:hAnsi="Arial"/>
          <w:sz w:val="20"/>
          <w:szCs w:val="20"/>
          <w:color w:val="auto"/>
        </w:rPr>
        <w:t>This Officer Severance Program (the “Program”) is a severance pay plan within the meaning of Labor Regulations Section 2510.3-2. The Program is intended to be an unfunded “employee welfare benefit plan” as defined in Section 3(1) of ERISA. The Program provides benefits to a select group of management or highly compensated employees of the Company in connection with specified terminations of employment. This document serves as both the summary plan description and the plan document for the Program.</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ARTICLE I – DEFINITIONS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Definitions.</w:t>
      </w:r>
    </w:p>
    <w:p>
      <w:pPr>
        <w:spacing w:after="0" w:line="204"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auto"/>
        </w:rPr>
        <w:t>Whenever the following terms are used in the Program, with the first letter capitalized, they shall have the meanings specified below.</w:t>
      </w:r>
    </w:p>
    <w:p>
      <w:pPr>
        <w:spacing w:after="0" w:line="155" w:lineRule="exact"/>
        <w:rPr>
          <w:sz w:val="20"/>
          <w:szCs w:val="20"/>
          <w:color w:val="auto"/>
        </w:rPr>
      </w:pPr>
    </w:p>
    <w:p>
      <w:pPr>
        <w:jc w:val="both"/>
        <w:ind w:right="380"/>
        <w:spacing w:after="0" w:line="241" w:lineRule="auto"/>
        <w:rPr>
          <w:sz w:val="20"/>
          <w:szCs w:val="20"/>
          <w:color w:val="auto"/>
        </w:rPr>
      </w:pPr>
      <w:r>
        <w:rPr>
          <w:rFonts w:ascii="Arial" w:cs="Arial" w:eastAsia="Arial" w:hAnsi="Arial"/>
          <w:sz w:val="20"/>
          <w:szCs w:val="20"/>
          <w:color w:val="auto"/>
        </w:rPr>
        <w:t>“Administrator” shall mean the Compensation Committee or its delegate for any Eligible Officer who is an Executive Officer as defined by Section 16 of the Securities Exchange Act of 1934, or who reports directly to the CEO, and shall mean the CEO or his delegate for any other officer.</w:t>
      </w:r>
    </w:p>
    <w:p>
      <w:pPr>
        <w:spacing w:after="0" w:line="171" w:lineRule="exact"/>
        <w:rPr>
          <w:sz w:val="20"/>
          <w:szCs w:val="20"/>
          <w:color w:val="auto"/>
        </w:rPr>
      </w:pPr>
    </w:p>
    <w:p>
      <w:pPr>
        <w:jc w:val="both"/>
        <w:ind w:right="380"/>
        <w:spacing w:after="0" w:line="257" w:lineRule="auto"/>
        <w:rPr>
          <w:sz w:val="20"/>
          <w:szCs w:val="20"/>
          <w:color w:val="auto"/>
        </w:rPr>
      </w:pPr>
      <w:r>
        <w:rPr>
          <w:rFonts w:ascii="Arial" w:cs="Arial" w:eastAsia="Arial" w:hAnsi="Arial"/>
          <w:sz w:val="20"/>
          <w:szCs w:val="20"/>
          <w:color w:val="auto"/>
        </w:rPr>
        <w:t>“Affiliate” shall mean a person with the power to direct the management and policies of the subject person or entity, whether through the ownership of voting securities, by contract or otherwise.</w:t>
      </w:r>
    </w:p>
    <w:p>
      <w:pPr>
        <w:spacing w:after="0" w:line="155"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color w:val="auto"/>
        </w:rPr>
        <w:t>“Base Salary” shall mean an Eligible Officer's annualized gross base salary in effect as of such person’s Severance Date excluding any overtime, bonuses or other supplemental compensation; provided, if the Eligible Officer’s employment terminates due to Good Reason based on a reduction in the Eligible Officer’s base salary, the Eligible Officer’s annual base salary will be determined as the rate in effect immediately before such reduction.</w:t>
      </w:r>
    </w:p>
    <w:p>
      <w:pPr>
        <w:spacing w:after="0" w:line="175" w:lineRule="exact"/>
        <w:rPr>
          <w:sz w:val="20"/>
          <w:szCs w:val="20"/>
          <w:color w:val="auto"/>
        </w:rPr>
      </w:pPr>
    </w:p>
    <w:p>
      <w:pPr>
        <w:ind w:right="460"/>
        <w:spacing w:after="0" w:line="228" w:lineRule="auto"/>
        <w:rPr>
          <w:sz w:val="20"/>
          <w:szCs w:val="20"/>
          <w:color w:val="auto"/>
        </w:rPr>
      </w:pPr>
      <w:r>
        <w:rPr>
          <w:rFonts w:ascii="Arial" w:cs="Arial" w:eastAsia="Arial" w:hAnsi="Arial"/>
          <w:sz w:val="20"/>
          <w:szCs w:val="20"/>
          <w:color w:val="auto"/>
        </w:rPr>
        <w:t>“Cause” shall mean (A) embezzlement, theft, misappropriation or conversion, or attempted embezzlement, theft, misappropriation or conversion, by an Eligible Officer of any property, funds or business opportunity of the Company or any of its Affiliates; (B) willful failure or refusal by an Eligible Officer to perform any directive of the Board of Directors of the Company or the Parent, or the CEO, or the duties of his or her employment which continues for a period of thirty (30) days following notice thereof by the Board of Directors of the Company or the Parent or the CEO to the Eligible Officer; (C) any act by an Eligible Officer constituting a felony (or its equivalent in any non-United States jurisdiction) or otherwise involving theft, fraud, dishonesty, misrepresentation or moral turpitude; (D) indictment for, conviction of, or plea of nolo contendere (or a similar plea) to, or the failure of an Eligible Officer to contest his or her prosecution for, any other criminal offense; (E) any violation of any law, rule or regulation relating in any way to the business or activities of the Company or any of its Affiliates, or other law that is violated during the course of an Eligible Officer’s performance of services, regulatory disqualification, or failure to comply with any legal or compliance policies or code of ethics, code of business conduct, conflicts of interest policy or similar policies of the Company or any of its Affiliates; (F) gross negligence or material willful misconduct on the part of an Eligible Officer in the performance</w:t>
      </w:r>
    </w:p>
    <w:p>
      <w:pPr>
        <w:spacing w:after="0" w:line="30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0"/>
          </w:cols>
          <w:pgMar w:left="1320" w:top="504" w:right="9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1" w:right="520"/>
        <w:spacing w:after="0" w:line="229" w:lineRule="auto"/>
        <w:rPr>
          <w:sz w:val="20"/>
          <w:szCs w:val="20"/>
          <w:color w:val="auto"/>
        </w:rPr>
      </w:pPr>
      <w:r>
        <w:rPr>
          <w:rFonts w:ascii="Arial" w:cs="Arial" w:eastAsia="Arial" w:hAnsi="Arial"/>
          <w:sz w:val="20"/>
          <w:szCs w:val="20"/>
          <w:color w:val="auto"/>
        </w:rPr>
        <w:t>of his or her duties as an employee, officer or director of the Company or any of its Affiliates; (G) an Eligible Officer’s breach of fiduciary duty or duty of loyalty to the Company or any of its Affiliates; (H) any act or omission to act of an Eligible Officer intended to materially harm or damage the business, property, operations, financial condition or reputation of the Company or any of its Affiliates; (I) an Eligible Officer’s failure to cooperate, if requested by the Board of Directors of the Company or Parent, with any investigation or inquiry into the business practices, whether internal or external, of the Company or any of its Affiliates, including an Eligible Officer’s refusal to be deposed or to provide testimony or evidence at any trial, proceeding or inquiry; (J) any chemical dependence of an Eligible Officer which materially interferes with the performance of his or her duties and responsibilities to the Company or any of its Affiliates; or (K) an Eligible Officer’s voluntary resignation or other termination of employment affected by an Eligible Officer at any time when the Company or any of its Affiliates could effect such termination with Cause.</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0"/>
          <w:szCs w:val="20"/>
          <w:color w:val="auto"/>
        </w:rPr>
        <w:t>“CEO” shall mean the Chief Executive Officer of the Company or Parent.</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0"/>
          <w:szCs w:val="20"/>
          <w:color w:val="auto"/>
        </w:rPr>
        <w:t>“Change in Control” shall have the meaning set forth in the Omnibus Equity Plan.</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0"/>
          <w:szCs w:val="20"/>
          <w:color w:val="auto"/>
        </w:rPr>
        <w:t>“Code” shall mean the Internal Revenue Code of 1986, as amended from time to time.</w:t>
      </w:r>
    </w:p>
    <w:p>
      <w:pPr>
        <w:spacing w:after="0" w:line="202" w:lineRule="exact"/>
        <w:rPr>
          <w:sz w:val="20"/>
          <w:szCs w:val="20"/>
          <w:color w:val="auto"/>
        </w:rPr>
      </w:pPr>
    </w:p>
    <w:p>
      <w:pPr>
        <w:ind w:left="1" w:right="400"/>
        <w:spacing w:after="0" w:line="237" w:lineRule="auto"/>
        <w:rPr>
          <w:sz w:val="20"/>
          <w:szCs w:val="20"/>
          <w:color w:val="auto"/>
        </w:rPr>
      </w:pPr>
      <w:r>
        <w:rPr>
          <w:rFonts w:ascii="Arial" w:cs="Arial" w:eastAsia="Arial" w:hAnsi="Arial"/>
          <w:sz w:val="20"/>
          <w:szCs w:val="20"/>
          <w:color w:val="auto"/>
        </w:rPr>
        <w:t>“Compensation Committee” shall mean the Compensation Committee of the Board of Directors of Parent, or a subcommittee thereof, or its authorized delegate. The Board of Directors of Parent may, at any time and from time to time, administer this Program and, in such case, the Board shall have the authority granted to the Compensation Committee under the Program.</w:t>
      </w:r>
    </w:p>
    <w:p>
      <w:pPr>
        <w:spacing w:after="0" w:line="172" w:lineRule="exact"/>
        <w:rPr>
          <w:sz w:val="20"/>
          <w:szCs w:val="20"/>
          <w:color w:val="auto"/>
        </w:rPr>
      </w:pPr>
    </w:p>
    <w:p>
      <w:pPr>
        <w:ind w:left="1" w:right="680"/>
        <w:spacing w:after="0" w:line="241" w:lineRule="auto"/>
        <w:rPr>
          <w:sz w:val="20"/>
          <w:szCs w:val="20"/>
          <w:color w:val="auto"/>
        </w:rPr>
      </w:pPr>
      <w:r>
        <w:rPr>
          <w:rFonts w:ascii="Arial" w:cs="Arial" w:eastAsia="Arial" w:hAnsi="Arial"/>
          <w:sz w:val="20"/>
          <w:szCs w:val="20"/>
          <w:color w:val="auto"/>
        </w:rPr>
        <w:t>“Company” shall mean Latham Pool Products, Inc. or any successor corporation thereof resulting from merger, consolidation, or transfer of assets substantially as a whole, to the extent the Program is assumed by or assigned to such successor.</w:t>
      </w:r>
    </w:p>
    <w:p>
      <w:pPr>
        <w:spacing w:after="0" w:line="171" w:lineRule="exact"/>
        <w:rPr>
          <w:sz w:val="20"/>
          <w:szCs w:val="20"/>
          <w:color w:val="auto"/>
        </w:rPr>
      </w:pPr>
    </w:p>
    <w:p>
      <w:pPr>
        <w:ind w:left="1" w:right="440"/>
        <w:spacing w:after="0" w:line="229" w:lineRule="auto"/>
        <w:rPr>
          <w:sz w:val="20"/>
          <w:szCs w:val="20"/>
          <w:color w:val="auto"/>
        </w:rPr>
      </w:pPr>
      <w:r>
        <w:rPr>
          <w:rFonts w:ascii="Arial" w:cs="Arial" w:eastAsia="Arial" w:hAnsi="Arial"/>
          <w:sz w:val="20"/>
          <w:szCs w:val="20"/>
          <w:color w:val="auto"/>
        </w:rPr>
        <w:t>“Detrimental Activity” shall mean (i) violating terms of any restrictive covenant or confidentiality obligation that provides a benefit to the Company or any of its Affiliates, (ii) disclosing confidential or proprietary business information of the Company or any of its Affiliates to any person or entity including but not limited to a competitor, vendor or customer without appropriate authorization from the Company or any of its Affiliates, (iii) violating any rules, policies, procedures or guidelines of the Company or any of its Affiliates, (iv) directly or indirectly soliciting any employee of the Company or any of its Affiliates to terminate employment with the Company or any of its Affiliates, (v) directly or indirectly soliciting or accepting business from any customer or potential customer or encouraging any customer, potential customer or supplier of the Company or any of its Affiliates, to reduce the level of business it does with the Company or any of its Affiliates, (vi) engaging in any other conduct or act that is determined to be injurious, detrimental or prejudicial to any interest of the Company or any of its Affiliates, or (vii) being convicted of, or entry of a guilty plea with respect to, a felony, whether or not connected with the Company or any of its Affiliates.</w:t>
      </w:r>
    </w:p>
    <w:p>
      <w:pPr>
        <w:spacing w:after="0" w:line="171" w:lineRule="exact"/>
        <w:rPr>
          <w:sz w:val="20"/>
          <w:szCs w:val="20"/>
          <w:color w:val="auto"/>
        </w:rPr>
      </w:pPr>
    </w:p>
    <w:p>
      <w:pPr>
        <w:ind w:left="1" w:right="580"/>
        <w:spacing w:after="0" w:line="243" w:lineRule="auto"/>
        <w:rPr>
          <w:sz w:val="20"/>
          <w:szCs w:val="20"/>
          <w:color w:val="auto"/>
        </w:rPr>
      </w:pPr>
      <w:r>
        <w:rPr>
          <w:rFonts w:ascii="Arial" w:cs="Arial" w:eastAsia="Arial" w:hAnsi="Arial"/>
          <w:sz w:val="19"/>
          <w:szCs w:val="19"/>
          <w:color w:val="auto"/>
        </w:rPr>
        <w:t>“Eligible Officer” shall mean (i) the CEO of the Company or Parent, (ii) all officers of the Company or Parent, as determined by the Administrator to participate in the Program, and (iii) any person who becomes such an officer of the Company or Parent as of June 28, 2023, in each case, if such individual</w:t>
      </w:r>
    </w:p>
    <w:p>
      <w:pPr>
        <w:spacing w:after="0" w:line="2" w:lineRule="exact"/>
        <w:rPr>
          <w:sz w:val="20"/>
          <w:szCs w:val="20"/>
          <w:color w:val="auto"/>
        </w:rPr>
      </w:pPr>
    </w:p>
    <w:p>
      <w:pPr>
        <w:ind w:left="1" w:right="780" w:hanging="1"/>
        <w:spacing w:after="0" w:line="234" w:lineRule="auto"/>
        <w:tabs>
          <w:tab w:leader="none" w:pos="298" w:val="left"/>
        </w:tabs>
        <w:numPr>
          <w:ilvl w:val="0"/>
          <w:numId w:val="18"/>
        </w:numPr>
        <w:rPr>
          <w:rFonts w:ascii="Arial" w:cs="Arial" w:eastAsia="Arial" w:hAnsi="Arial"/>
          <w:sz w:val="20"/>
          <w:szCs w:val="20"/>
          <w:color w:val="auto"/>
        </w:rPr>
      </w:pPr>
      <w:r>
        <w:rPr>
          <w:rFonts w:ascii="Arial" w:cs="Arial" w:eastAsia="Arial" w:hAnsi="Arial"/>
          <w:sz w:val="20"/>
          <w:szCs w:val="20"/>
          <w:color w:val="auto"/>
        </w:rPr>
        <w:t>satisfies the eligibility requirements set forth in Article II hereof and (b) does not have a written agreement with the Company or any of its Affiliates entitling the individual to severance benefits upon separation.</w:t>
      </w:r>
    </w:p>
    <w:p>
      <w:pPr>
        <w:spacing w:after="0" w:line="173" w:lineRule="exact"/>
        <w:rPr>
          <w:sz w:val="20"/>
          <w:szCs w:val="20"/>
          <w:color w:val="auto"/>
        </w:rPr>
      </w:pPr>
    </w:p>
    <w:p>
      <w:pPr>
        <w:ind w:left="1" w:right="460"/>
        <w:spacing w:after="0" w:line="257" w:lineRule="auto"/>
        <w:rPr>
          <w:sz w:val="20"/>
          <w:szCs w:val="20"/>
          <w:color w:val="auto"/>
        </w:rPr>
      </w:pPr>
      <w:r>
        <w:rPr>
          <w:rFonts w:ascii="Arial" w:cs="Arial" w:eastAsia="Arial" w:hAnsi="Arial"/>
          <w:sz w:val="20"/>
          <w:szCs w:val="20"/>
          <w:color w:val="auto"/>
        </w:rPr>
        <w:t>“Employer” shall mean the Company or, if applicable, any parent (including Parent), subsidiary or Affiliate of the Company that employs any Eligible Officer.</w:t>
      </w: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476250</wp:posOffset>
            </wp:positionV>
            <wp:extent cx="5880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1"/>
          </w:cols>
          <w:pgMar w:left="1319" w:top="680" w:right="9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1" w:right="480"/>
        <w:spacing w:after="0" w:line="237" w:lineRule="auto"/>
        <w:rPr>
          <w:sz w:val="20"/>
          <w:szCs w:val="20"/>
          <w:color w:val="auto"/>
        </w:rPr>
      </w:pPr>
      <w:r>
        <w:rPr>
          <w:rFonts w:ascii="Arial" w:cs="Arial" w:eastAsia="Arial" w:hAnsi="Arial"/>
          <w:sz w:val="20"/>
          <w:szCs w:val="20"/>
          <w:color w:val="auto"/>
        </w:rPr>
        <w:t>“ERISA” shall mean the Employee Retirement Income Security Act of 1974, as amended from time to time, and any successor thereto. References to any section of or rule promulgated under ERISA shall be deemed to include any rules, regulations or other interpretive guidance under such section or rule, and any amendments or successors thereto.</w:t>
      </w:r>
    </w:p>
    <w:p>
      <w:pPr>
        <w:spacing w:after="0" w:line="172" w:lineRule="exact"/>
        <w:rPr>
          <w:sz w:val="20"/>
          <w:szCs w:val="20"/>
          <w:color w:val="auto"/>
        </w:rPr>
      </w:pPr>
    </w:p>
    <w:p>
      <w:pPr>
        <w:ind w:left="1" w:right="460"/>
        <w:spacing w:after="0" w:line="233" w:lineRule="auto"/>
        <w:rPr>
          <w:sz w:val="20"/>
          <w:szCs w:val="20"/>
          <w:color w:val="auto"/>
        </w:rPr>
      </w:pPr>
      <w:r>
        <w:rPr>
          <w:rFonts w:ascii="Arial" w:cs="Arial" w:eastAsia="Arial" w:hAnsi="Arial"/>
          <w:sz w:val="20"/>
          <w:szCs w:val="20"/>
          <w:color w:val="auto"/>
        </w:rPr>
        <w:t>“Good Reason” shall mean (i) a material diminution in an Eligible Officer’s authority, duties or responsibilities; (ii) a material adverse change in an Eligible Officer’s title or reporting relationship; or (iii) a material decrease in an Eligible Officer’s total cash compensation, in aggregate (in dollars), including base salary and target bonus except for (A) reductions affecting all or substantially all officers of the Company or Parent, as applicable and (B) adjustments to the structure of the Company’s or Parent’s incentive based compensation plans and/or programs and form of awards.</w:t>
      </w:r>
    </w:p>
    <w:p>
      <w:pPr>
        <w:spacing w:after="0" w:line="172" w:lineRule="exact"/>
        <w:rPr>
          <w:sz w:val="20"/>
          <w:szCs w:val="20"/>
          <w:color w:val="auto"/>
        </w:rPr>
      </w:pPr>
    </w:p>
    <w:p>
      <w:pPr>
        <w:ind w:left="1" w:right="500" w:firstLine="648"/>
        <w:spacing w:after="0" w:line="257" w:lineRule="auto"/>
        <w:rPr>
          <w:sz w:val="20"/>
          <w:szCs w:val="20"/>
          <w:color w:val="auto"/>
        </w:rPr>
      </w:pPr>
      <w:r>
        <w:rPr>
          <w:rFonts w:ascii="Arial" w:cs="Arial" w:eastAsia="Arial" w:hAnsi="Arial"/>
          <w:sz w:val="20"/>
          <w:szCs w:val="20"/>
          <w:color w:val="auto"/>
        </w:rPr>
        <w:t>Clauses (i) and (ii) above will not be deemed to have occurred if the sole change is the Company becoming a subsidiary of another entity.</w:t>
      </w:r>
    </w:p>
    <w:p>
      <w:pPr>
        <w:spacing w:after="0" w:line="155" w:lineRule="exact"/>
        <w:rPr>
          <w:sz w:val="20"/>
          <w:szCs w:val="20"/>
          <w:color w:val="auto"/>
        </w:rPr>
      </w:pPr>
    </w:p>
    <w:p>
      <w:pPr>
        <w:ind w:left="1" w:right="460" w:firstLine="648"/>
        <w:spacing w:after="0" w:line="234" w:lineRule="auto"/>
        <w:rPr>
          <w:sz w:val="20"/>
          <w:szCs w:val="20"/>
          <w:color w:val="auto"/>
        </w:rPr>
      </w:pPr>
      <w:r>
        <w:rPr>
          <w:rFonts w:ascii="Arial" w:cs="Arial" w:eastAsia="Arial" w:hAnsi="Arial"/>
          <w:sz w:val="20"/>
          <w:szCs w:val="20"/>
          <w:color w:val="auto"/>
        </w:rPr>
        <w:t>Notwithstanding the foregoing, Good Reason will not exist unless: (i) an Eligible Officer provides the Employer written notice of the existence of Good Reason within 60 days of its initial existence; (ii) the Employer has a 30-day opportunity to remedy the Good Reason condition and does not so remedy the condition; and (iii) an Eligible Officer separates from service within 30 days after the cure period described in clause (ii).</w:t>
      </w:r>
    </w:p>
    <w:p>
      <w:pPr>
        <w:spacing w:after="0" w:line="175" w:lineRule="exact"/>
        <w:rPr>
          <w:sz w:val="20"/>
          <w:szCs w:val="20"/>
          <w:color w:val="auto"/>
        </w:rPr>
      </w:pPr>
    </w:p>
    <w:p>
      <w:pPr>
        <w:ind w:left="1" w:right="880"/>
        <w:spacing w:after="0" w:line="257" w:lineRule="auto"/>
        <w:rPr>
          <w:sz w:val="20"/>
          <w:szCs w:val="20"/>
          <w:color w:val="auto"/>
        </w:rPr>
      </w:pPr>
      <w:r>
        <w:rPr>
          <w:rFonts w:ascii="Arial" w:cs="Arial" w:eastAsia="Arial" w:hAnsi="Arial"/>
          <w:sz w:val="20"/>
          <w:szCs w:val="20"/>
          <w:color w:val="auto"/>
        </w:rPr>
        <w:t>“Officer Severance” shall mean the benefit, if any, payable pursuant to Section 3.1 hereof, except as otherwise provided in a written agreement between the Eligible Officer and the Employer.</w:t>
      </w:r>
    </w:p>
    <w:p>
      <w:pPr>
        <w:spacing w:after="0" w:line="155" w:lineRule="exact"/>
        <w:rPr>
          <w:sz w:val="20"/>
          <w:szCs w:val="20"/>
          <w:color w:val="auto"/>
        </w:rPr>
      </w:pPr>
    </w:p>
    <w:p>
      <w:pPr>
        <w:ind w:left="1" w:right="600"/>
        <w:spacing w:after="0" w:line="241" w:lineRule="auto"/>
        <w:rPr>
          <w:sz w:val="20"/>
          <w:szCs w:val="20"/>
          <w:color w:val="auto"/>
        </w:rPr>
      </w:pPr>
      <w:r>
        <w:rPr>
          <w:rFonts w:ascii="Arial" w:cs="Arial" w:eastAsia="Arial" w:hAnsi="Arial"/>
          <w:sz w:val="20"/>
          <w:szCs w:val="20"/>
          <w:color w:val="auto"/>
        </w:rPr>
        <w:t>“Omnibus Equity Plan” shall mean the Latham Group, Inc. 2021 Omnibus Equity Incentive Plan, as amended from time to time, and including any predecessor or successor equity plan of the Company or Parent.</w:t>
      </w:r>
    </w:p>
    <w:p>
      <w:pPr>
        <w:spacing w:after="0" w:line="171" w:lineRule="exact"/>
        <w:rPr>
          <w:sz w:val="20"/>
          <w:szCs w:val="20"/>
          <w:color w:val="auto"/>
        </w:rPr>
      </w:pPr>
    </w:p>
    <w:p>
      <w:pPr>
        <w:ind w:left="1" w:right="900"/>
        <w:spacing w:after="0" w:line="257" w:lineRule="auto"/>
        <w:rPr>
          <w:sz w:val="20"/>
          <w:szCs w:val="20"/>
          <w:color w:val="auto"/>
        </w:rPr>
      </w:pPr>
      <w:r>
        <w:rPr>
          <w:rFonts w:ascii="Arial" w:cs="Arial" w:eastAsia="Arial" w:hAnsi="Arial"/>
          <w:sz w:val="20"/>
          <w:szCs w:val="20"/>
          <w:color w:val="auto"/>
        </w:rPr>
        <w:t>“Parent” shall mean Latham Group, Inc. or any successor corporation thereof resulting from merger, consolidation, or transfer of assets substantially as a whole.</w:t>
      </w:r>
    </w:p>
    <w:p>
      <w:pPr>
        <w:spacing w:after="0" w:line="155" w:lineRule="exact"/>
        <w:rPr>
          <w:sz w:val="20"/>
          <w:szCs w:val="20"/>
          <w:color w:val="auto"/>
        </w:rPr>
      </w:pPr>
    </w:p>
    <w:p>
      <w:pPr>
        <w:ind w:left="1" w:right="500"/>
        <w:spacing w:after="0" w:line="257" w:lineRule="auto"/>
        <w:rPr>
          <w:sz w:val="20"/>
          <w:szCs w:val="20"/>
          <w:color w:val="auto"/>
        </w:rPr>
      </w:pPr>
      <w:r>
        <w:rPr>
          <w:rFonts w:ascii="Arial" w:cs="Arial" w:eastAsia="Arial" w:hAnsi="Arial"/>
          <w:sz w:val="20"/>
          <w:szCs w:val="20"/>
          <w:color w:val="auto"/>
        </w:rPr>
        <w:t>“Severance Date” shall mean the date that an Eligible Officer has a “separation from service,” as defined in Treasury Regulations section 1.409A-1(h) or any successor thereto.</w:t>
      </w:r>
    </w:p>
    <w:p>
      <w:pPr>
        <w:spacing w:after="0" w:line="153"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ARTICLE II - ELIGIBILITY</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2. Eligibility Requirements.</w:t>
      </w:r>
    </w:p>
    <w:p>
      <w:pPr>
        <w:spacing w:after="0" w:line="204" w:lineRule="exact"/>
        <w:rPr>
          <w:sz w:val="20"/>
          <w:szCs w:val="20"/>
          <w:color w:val="auto"/>
        </w:rPr>
      </w:pPr>
    </w:p>
    <w:p>
      <w:pPr>
        <w:ind w:left="1" w:right="440" w:hanging="1"/>
        <w:spacing w:after="0" w:line="233" w:lineRule="auto"/>
        <w:tabs>
          <w:tab w:leader="none" w:pos="29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Eligible Officer shall be eligible to receive Officer Severance only if the Eligible Officer (i) amends any agreement, including any employment agreement, in effect as of June 28, 2023 with the Company or any of its Affiliates that currently provides such person with any severance benefits, which such amendment shall nullify any such severance benefits and provide for participation in the Program and (ii) enters into an offer letter agreement with the Company and, if applicable, any employment agreement with the Company or any of its subsidiaries is effectively terminated.</w:t>
      </w:r>
    </w:p>
    <w:p>
      <w:pPr>
        <w:spacing w:after="0" w:line="172" w:lineRule="exact"/>
        <w:rPr>
          <w:rFonts w:ascii="Arial" w:cs="Arial" w:eastAsia="Arial" w:hAnsi="Arial"/>
          <w:sz w:val="20"/>
          <w:szCs w:val="20"/>
          <w:color w:val="auto"/>
        </w:rPr>
      </w:pPr>
    </w:p>
    <w:p>
      <w:pPr>
        <w:jc w:val="both"/>
        <w:ind w:left="1" w:right="420" w:hanging="1"/>
        <w:spacing w:after="0" w:line="243" w:lineRule="auto"/>
        <w:tabs>
          <w:tab w:leader="none" w:pos="298"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Eligible Officer satisfying the requirements of Section 2(a) hereof shall be eligible to receive Officer Severance only if the Administrator has determined that (i) the Eligible Officer resigned for Good Reason or (ii) the Eligible Officer was involuntarily terminated by the Employer for reasons other than for Cause.</w:t>
      </w:r>
    </w:p>
    <w:p>
      <w:pPr>
        <w:spacing w:after="0" w:line="2" w:lineRule="exact"/>
        <w:rPr>
          <w:rFonts w:ascii="Arial" w:cs="Arial" w:eastAsia="Arial" w:hAnsi="Arial"/>
          <w:sz w:val="19"/>
          <w:szCs w:val="19"/>
          <w:color w:val="auto"/>
        </w:rPr>
      </w:pPr>
    </w:p>
    <w:p>
      <w:pPr>
        <w:ind w:left="1" w:right="600"/>
        <w:spacing w:after="0" w:line="234" w:lineRule="auto"/>
        <w:rPr>
          <w:rFonts w:ascii="Arial" w:cs="Arial" w:eastAsia="Arial" w:hAnsi="Arial"/>
          <w:sz w:val="19"/>
          <w:szCs w:val="19"/>
          <w:color w:val="auto"/>
        </w:rPr>
      </w:pPr>
      <w:r>
        <w:rPr>
          <w:rFonts w:ascii="Arial" w:cs="Arial" w:eastAsia="Arial" w:hAnsi="Arial"/>
          <w:sz w:val="20"/>
          <w:szCs w:val="20"/>
          <w:color w:val="auto"/>
        </w:rPr>
        <w:t>Involuntary termination shall include, but shall not be limited to, termination resulting from a reduction in force or a restructuring, or mutual agreement between the Eligible Officer and the Employer that a termination shall be deemed involuntary.</w:t>
      </w: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476250</wp:posOffset>
            </wp:positionV>
            <wp:extent cx="588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1"/>
          </w:cols>
          <w:pgMar w:left="1319" w:top="680" w:right="9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1" w:right="380" w:hanging="1"/>
        <w:spacing w:after="0" w:line="232" w:lineRule="auto"/>
        <w:tabs>
          <w:tab w:leader="none" w:pos="287"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An officer shall not be eligible to receive Officer Severance unless the officer executes a valid release of claims, a non-compete and non-solicitation agreement and any other document deemed appropriate by the Administrator in connection with the Eligible Officer’s severance (“Separation Documents”), the forms of which are attached hereto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which may be amended from time to time in the Company’s sole discretion to comply with applicable law. In this case, an officer shall be entitled to Officer Severance only if both of the following requirements are satisfied no later than the date that is 60 days after such person’s Severance Date:</w:t>
      </w:r>
    </w:p>
    <w:p>
      <w:pPr>
        <w:spacing w:after="0" w:line="171" w:lineRule="exact"/>
        <w:rPr>
          <w:rFonts w:ascii="Arial" w:cs="Arial" w:eastAsia="Arial" w:hAnsi="Arial"/>
          <w:sz w:val="20"/>
          <w:szCs w:val="20"/>
          <w:color w:val="auto"/>
        </w:rPr>
      </w:pPr>
    </w:p>
    <w:p>
      <w:pPr>
        <w:ind w:left="641" w:right="580" w:firstLine="7"/>
        <w:spacing w:after="0" w:line="257" w:lineRule="auto"/>
        <w:tabs>
          <w:tab w:leader="none" w:pos="872"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the officer executes and delivers a valid release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of all claims and any other Separation Documents required by the Administrator; and</w:t>
      </w:r>
    </w:p>
    <w:p>
      <w:pPr>
        <w:spacing w:after="0" w:line="155" w:lineRule="exact"/>
        <w:rPr>
          <w:rFonts w:ascii="Arial" w:cs="Arial" w:eastAsia="Arial" w:hAnsi="Arial"/>
          <w:sz w:val="20"/>
          <w:szCs w:val="20"/>
          <w:color w:val="auto"/>
        </w:rPr>
      </w:pPr>
    </w:p>
    <w:p>
      <w:pPr>
        <w:ind w:left="641" w:right="940" w:firstLine="7"/>
        <w:spacing w:after="0" w:line="257" w:lineRule="auto"/>
        <w:tabs>
          <w:tab w:leader="none" w:pos="916"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release and any other Separation Documents required by the Administrator becomes effective and irrevocable in accordance with its terms.</w:t>
      </w:r>
    </w:p>
    <w:p>
      <w:pPr>
        <w:spacing w:after="0" w:line="369" w:lineRule="exact"/>
        <w:rPr>
          <w:sz w:val="20"/>
          <w:szCs w:val="20"/>
          <w:color w:val="auto"/>
        </w:rPr>
      </w:pPr>
    </w:p>
    <w:p>
      <w:pPr>
        <w:ind w:left="1" w:right="2260" w:firstLine="1886"/>
        <w:spacing w:after="0" w:line="451" w:lineRule="auto"/>
        <w:rPr>
          <w:sz w:val="20"/>
          <w:szCs w:val="20"/>
          <w:color w:val="auto"/>
        </w:rPr>
      </w:pPr>
      <w:r>
        <w:rPr>
          <w:rFonts w:ascii="Arial" w:cs="Arial" w:eastAsia="Arial" w:hAnsi="Arial"/>
          <w:sz w:val="20"/>
          <w:szCs w:val="20"/>
          <w:b w:val="1"/>
          <w:bCs w:val="1"/>
          <w:color w:val="auto"/>
        </w:rPr>
        <w:t>ARTICLE III - BENEFITS PAYABLE UNDER THE PROGRAM 3.1 Amount of Officer Severance.</w:t>
      </w:r>
    </w:p>
    <w:p>
      <w:pPr>
        <w:spacing w:after="0" w:line="2" w:lineRule="exact"/>
        <w:rPr>
          <w:sz w:val="20"/>
          <w:szCs w:val="20"/>
          <w:color w:val="auto"/>
        </w:rPr>
      </w:pPr>
    </w:p>
    <w:p>
      <w:pPr>
        <w:ind w:left="301" w:hanging="301"/>
        <w:spacing w:after="0"/>
        <w:tabs>
          <w:tab w:leader="none" w:pos="30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CEO shall receive a benefit equal to one and one half times the CEO’s Base Salary.</w:t>
      </w:r>
    </w:p>
    <w:p>
      <w:pPr>
        <w:spacing w:after="0" w:line="202" w:lineRule="exact"/>
        <w:rPr>
          <w:rFonts w:ascii="Arial" w:cs="Arial" w:eastAsia="Arial" w:hAnsi="Arial"/>
          <w:sz w:val="20"/>
          <w:szCs w:val="20"/>
          <w:color w:val="auto"/>
        </w:rPr>
      </w:pPr>
    </w:p>
    <w:p>
      <w:pPr>
        <w:ind w:left="1" w:right="540" w:hanging="1"/>
        <w:spacing w:after="0" w:line="241" w:lineRule="auto"/>
        <w:tabs>
          <w:tab w:leader="none" w:pos="29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other Eligible Officer shall receive a benefit equal to one times the Eligible Officer’s Base Salary, except that the VP, Controller (or person with similar responsibilities) shall receive nine months of such Eligible Officer’s Base Salary.</w:t>
      </w:r>
    </w:p>
    <w:p>
      <w:pPr>
        <w:spacing w:after="0" w:line="171" w:lineRule="exact"/>
        <w:rPr>
          <w:rFonts w:ascii="Arial" w:cs="Arial" w:eastAsia="Arial" w:hAnsi="Arial"/>
          <w:sz w:val="20"/>
          <w:szCs w:val="20"/>
          <w:color w:val="auto"/>
        </w:rPr>
      </w:pPr>
    </w:p>
    <w:p>
      <w:pPr>
        <w:ind w:left="1" w:right="380" w:hanging="1"/>
        <w:spacing w:after="0" w:line="241" w:lineRule="auto"/>
        <w:tabs>
          <w:tab w:leader="none" w:pos="287" w:val="left"/>
        </w:tabs>
        <w:numPr>
          <w:ilvl w:val="0"/>
          <w:numId w:val="21"/>
        </w:numPr>
        <w:rPr>
          <w:rFonts w:ascii="Arial" w:cs="Arial" w:eastAsia="Arial" w:hAnsi="Arial"/>
          <w:sz w:val="19"/>
          <w:szCs w:val="19"/>
          <w:color w:val="auto"/>
        </w:rPr>
      </w:pPr>
      <w:r>
        <w:rPr>
          <w:rFonts w:ascii="Arial" w:cs="Arial" w:eastAsia="Arial" w:hAnsi="Arial"/>
          <w:sz w:val="19"/>
          <w:szCs w:val="19"/>
          <w:color w:val="auto"/>
        </w:rPr>
        <w:t>For the period during which an Eligible Officer is receiving Officer Severance, to the extent permitted by the Code and other applicable law and to the extent timely elected by the Eligible Officer, the Employer shall reimburse the Eligible Officer for the full cost of continuation coverage under the Consolidated Omnibus Budget Reconciliation Act or similar state law (“COBRA”). The Employer shall provide continuation coverage for such Eligible Officer and such person’s eligible dependents until the earliest of</w:t>
      </w:r>
    </w:p>
    <w:p>
      <w:pPr>
        <w:spacing w:after="0" w:line="1" w:lineRule="exact"/>
        <w:rPr>
          <w:rFonts w:ascii="Arial" w:cs="Arial" w:eastAsia="Arial" w:hAnsi="Arial"/>
          <w:sz w:val="19"/>
          <w:szCs w:val="19"/>
          <w:color w:val="auto"/>
        </w:rPr>
      </w:pPr>
    </w:p>
    <w:p>
      <w:pPr>
        <w:ind w:left="1" w:right="440" w:hanging="1"/>
        <w:spacing w:after="0" w:line="241" w:lineRule="auto"/>
        <w:tabs>
          <w:tab w:leader="none" w:pos="287"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last day on which the Eligible Officer receives a payment of Officer Severance in accordance with Section 3.2(a) hereof, (y) the Eligible Officer or such person’s eligible dependents, as the case may be, ceasing to be eligible under COBRA, and (z) the Eligible Officer becoming eligible for coverage under the health insurance plan of a subsequent employer. If the Employer is unable to provide, or is unable to continue to provide, continuation coverage as contemplated hereunder due to restrictions imposed by law, the Employer shall pay the Eligible Officer a cash amount equal to the payment of health insurance coverage at the applicable active employee rate on a monthly basis for the remaining severance period.</w:t>
      </w:r>
    </w:p>
    <w:p>
      <w:pPr>
        <w:spacing w:after="0" w:line="174" w:lineRule="exact"/>
        <w:rPr>
          <w:rFonts w:ascii="Arial" w:cs="Arial" w:eastAsia="Arial" w:hAnsi="Arial"/>
          <w:sz w:val="19"/>
          <w:szCs w:val="19"/>
          <w:color w:val="auto"/>
        </w:rPr>
      </w:pPr>
    </w:p>
    <w:p>
      <w:pPr>
        <w:ind w:left="1" w:right="600" w:hanging="1"/>
        <w:spacing w:after="0" w:line="233" w:lineRule="auto"/>
        <w:tabs>
          <w:tab w:leader="none" w:pos="298"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Compensation Committee may determine, in its sole and absolute discretion, that the Eligible Officer shall be eligible to continue to vest in such person’s equity awards (including, without limitation, stock options, stock appreciation rights, restricted stock, restricted stock units and performance shares) under the Omnibus Equity Plan, while receiving Officer Severance under the Program, to the extent permitted under the applicable equity award agreements, the Omnibus Equity Plan, the Code and other applicable law.</w:t>
      </w:r>
    </w:p>
    <w:p>
      <w:pPr>
        <w:spacing w:after="0" w:line="172" w:lineRule="exact"/>
        <w:rPr>
          <w:rFonts w:ascii="Arial" w:cs="Arial" w:eastAsia="Arial" w:hAnsi="Arial"/>
          <w:sz w:val="20"/>
          <w:szCs w:val="20"/>
          <w:color w:val="auto"/>
        </w:rPr>
      </w:pPr>
    </w:p>
    <w:p>
      <w:pPr>
        <w:ind w:left="361" w:hanging="361"/>
        <w:spacing w:after="0"/>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event of a termination without Cause or a termination with Good Reason within 12 months</w:t>
      </w:r>
    </w:p>
    <w:p>
      <w:pPr>
        <w:spacing w:after="0" w:line="4" w:lineRule="exact"/>
        <w:rPr>
          <w:rFonts w:ascii="Arial" w:cs="Arial" w:eastAsia="Arial" w:hAnsi="Arial"/>
          <w:sz w:val="20"/>
          <w:szCs w:val="20"/>
          <w:color w:val="auto"/>
        </w:rPr>
      </w:pPr>
    </w:p>
    <w:p>
      <w:pPr>
        <w:ind w:left="1" w:right="520"/>
        <w:spacing w:after="0" w:line="232" w:lineRule="auto"/>
        <w:rPr>
          <w:rFonts w:ascii="Arial" w:cs="Arial" w:eastAsia="Arial" w:hAnsi="Arial"/>
          <w:sz w:val="20"/>
          <w:szCs w:val="20"/>
          <w:color w:val="auto"/>
        </w:rPr>
      </w:pPr>
      <w:r>
        <w:rPr>
          <w:rFonts w:ascii="Arial" w:cs="Arial" w:eastAsia="Arial" w:hAnsi="Arial"/>
          <w:sz w:val="20"/>
          <w:szCs w:val="20"/>
          <w:color w:val="auto"/>
        </w:rPr>
        <w:t>following a Change in Control, in addition to Officer Severance set forth elsewhere in this Section 3.1, all outstanding equity-based awards granted to the Eligible Officer under the Omnibus Equity Plan or any other plan or arrangement with the Company or any of its Affiliates shall become fully vested as of the Severance Date; provided, for any performance-based equity award, such award shall become</w:t>
      </w: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476250</wp:posOffset>
            </wp:positionV>
            <wp:extent cx="5880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1"/>
          </w:cols>
          <w:pgMar w:left="1319" w:top="680" w:right="9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1" w:right="420"/>
        <w:spacing w:after="0" w:line="230" w:lineRule="auto"/>
        <w:rPr>
          <w:sz w:val="20"/>
          <w:szCs w:val="20"/>
          <w:color w:val="auto"/>
        </w:rPr>
      </w:pPr>
      <w:r>
        <w:rPr>
          <w:rFonts w:ascii="Arial" w:cs="Arial" w:eastAsia="Arial" w:hAnsi="Arial"/>
          <w:sz w:val="20"/>
          <w:szCs w:val="20"/>
          <w:color w:val="auto"/>
        </w:rPr>
        <w:t>vested based on target. Further, in the event of a termination due to death or disability, (i) all outstanding equity-based awards granted to the Eligible Officer under the Omnibus Equity Plan or any other plan or arrangement with the Company or any of its Affiliates shall vest on a pro-rated basis based on the number of full months of service completed during the applicable vesting period; provided, for any performance-based equity award, such award shall become vested based on actual performance, and (ii) notwithstanding anything to the contrary in the applicable equity award agreement, any vested stock option or stock appreciation right granted under the Omnibus Equity Plan shall expire on the earlier of the last day of the “Option Period” or “SAR Period” (as defined in the Omnibus Equity Plan or an applicable award agreement) and the date that is one year after the date of termination.</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3.2 Payment of Officer Severance.</w:t>
      </w:r>
    </w:p>
    <w:p>
      <w:pPr>
        <w:spacing w:after="0" w:line="204" w:lineRule="exact"/>
        <w:rPr>
          <w:sz w:val="20"/>
          <w:szCs w:val="20"/>
          <w:color w:val="auto"/>
        </w:rPr>
      </w:pPr>
    </w:p>
    <w:p>
      <w:pPr>
        <w:ind w:left="1" w:right="480" w:hanging="1"/>
        <w:spacing w:after="0" w:line="232" w:lineRule="auto"/>
        <w:tabs>
          <w:tab w:leader="none" w:pos="298"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Except as provided otherwise in this Section 3.2, Officer Severance shall be paid in accordance with the Employer’s regular payroll practices for similarly situated active employees and shall be paid ratably over a period of one year for each Eligible Officer (or, in the case of the CEO, over 18 months, and in the case of the VP, Controller, over nine months) following such person’s Severance Date; provided, however, that in the event of a termination under Section 3.1(e) hereof, the Officer Severance shall be payable in a single lump sum payment, as soon as reasonably practicable following such person’s Severance Date, but in accordance with the requirements of Section 3.2(b) hereof.</w:t>
      </w:r>
    </w:p>
    <w:p>
      <w:pPr>
        <w:spacing w:after="0" w:line="171" w:lineRule="exact"/>
        <w:rPr>
          <w:rFonts w:ascii="Arial" w:cs="Arial" w:eastAsia="Arial" w:hAnsi="Arial"/>
          <w:sz w:val="20"/>
          <w:szCs w:val="20"/>
          <w:color w:val="auto"/>
        </w:rPr>
      </w:pPr>
    </w:p>
    <w:p>
      <w:pPr>
        <w:ind w:left="1" w:right="420" w:hanging="1"/>
        <w:spacing w:after="0" w:line="243" w:lineRule="auto"/>
        <w:tabs>
          <w:tab w:leader="none" w:pos="298" w:val="left"/>
        </w:tabs>
        <w:numPr>
          <w:ilvl w:val="0"/>
          <w:numId w:val="24"/>
        </w:numPr>
        <w:rPr>
          <w:rFonts w:ascii="Arial" w:cs="Arial" w:eastAsia="Arial" w:hAnsi="Arial"/>
          <w:sz w:val="19"/>
          <w:szCs w:val="19"/>
          <w:color w:val="auto"/>
        </w:rPr>
      </w:pPr>
      <w:r>
        <w:rPr>
          <w:rFonts w:ascii="Arial" w:cs="Arial" w:eastAsia="Arial" w:hAnsi="Arial"/>
          <w:sz w:val="19"/>
          <w:szCs w:val="19"/>
          <w:color w:val="auto"/>
        </w:rPr>
        <w:t>Officer Severance payments (including a lump sum payment in the event of a termination under Section 3.1(e)) shall not be made until the date the Separation Documents required pursuant to Section 2(c) hereof become effective and irrevocable in accordance with their terms. The payments shall commence on the first regular payroll date after the release becomes irrevocable in accordance with its terms, and the remaining payments, as applicable, shall be made on the Employer’s regular payroll dates during the remainder of the period set forth in Section 3.2(a) hereof. The first payment will cover the time period from the Severance Date through such payment date, as applicable. Notwithstanding the foregoing, if the time period to sign and not revoke the release begins in one taxable year and ends in a second taxable year, the Officer Severance payments will not commence until the second taxable year.</w:t>
      </w:r>
    </w:p>
    <w:p>
      <w:pPr>
        <w:spacing w:after="0" w:line="169" w:lineRule="exact"/>
        <w:rPr>
          <w:rFonts w:ascii="Arial" w:cs="Arial" w:eastAsia="Arial" w:hAnsi="Arial"/>
          <w:sz w:val="19"/>
          <w:szCs w:val="19"/>
          <w:color w:val="auto"/>
        </w:rPr>
      </w:pPr>
    </w:p>
    <w:p>
      <w:pPr>
        <w:ind w:left="281" w:hanging="281"/>
        <w:spacing w:after="0"/>
        <w:tabs>
          <w:tab w:leader="none" w:pos="281"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Interest shall not accrue or be payable on any Officer Severance.</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3.3. Detrimental Activity and Breach</w:t>
      </w:r>
    </w:p>
    <w:p>
      <w:pPr>
        <w:spacing w:after="0" w:line="204" w:lineRule="exact"/>
        <w:rPr>
          <w:sz w:val="20"/>
          <w:szCs w:val="20"/>
          <w:color w:val="auto"/>
        </w:rPr>
      </w:pPr>
    </w:p>
    <w:p>
      <w:pPr>
        <w:ind w:left="1" w:right="420"/>
        <w:spacing w:after="0" w:line="234" w:lineRule="auto"/>
        <w:rPr>
          <w:sz w:val="20"/>
          <w:szCs w:val="20"/>
          <w:color w:val="auto"/>
        </w:rPr>
      </w:pPr>
      <w:r>
        <w:rPr>
          <w:rFonts w:ascii="Arial" w:cs="Arial" w:eastAsia="Arial" w:hAnsi="Arial"/>
          <w:sz w:val="20"/>
          <w:szCs w:val="20"/>
          <w:color w:val="auto"/>
        </w:rPr>
        <w:t>Upon a determination by the Administrator that such Eligible Officer engaged in Detrimental Activity, or breached the offer letter under which Officer Severance is provided to such person under the Program, (i) payments of Officer Severance and reimbursement of COBRA to an Eligible Officer shall cease immediately, as applicable, and (ii) the Eligible Officer shall be obligated to repay to the Employer all benefits previously paid to, or on behalf of, the Eligible Officer under the Program.</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3.4 Termination of Officer Severance Upon Re-employment.</w:t>
      </w:r>
    </w:p>
    <w:p>
      <w:pPr>
        <w:spacing w:after="0" w:line="204" w:lineRule="exact"/>
        <w:rPr>
          <w:sz w:val="20"/>
          <w:szCs w:val="20"/>
          <w:color w:val="auto"/>
        </w:rPr>
      </w:pPr>
    </w:p>
    <w:p>
      <w:pPr>
        <w:ind w:left="1" w:right="400"/>
        <w:spacing w:after="0" w:line="237" w:lineRule="auto"/>
        <w:rPr>
          <w:sz w:val="20"/>
          <w:szCs w:val="20"/>
          <w:color w:val="auto"/>
        </w:rPr>
      </w:pPr>
      <w:r>
        <w:rPr>
          <w:rFonts w:ascii="Arial" w:cs="Arial" w:eastAsia="Arial" w:hAnsi="Arial"/>
          <w:sz w:val="20"/>
          <w:szCs w:val="20"/>
          <w:color w:val="auto"/>
        </w:rPr>
        <w:t>The payment of Officer Severance to an Eligible Officer will terminate and any remaining benefits will be forfeited in the event that the Eligible Officer is subsequently re-employed by the Employer before such person receives the full Officer Severance and reimbursement of COBRA to which such person is entitled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476250</wp:posOffset>
            </wp:positionV>
            <wp:extent cx="588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1"/>
          </w:cols>
          <w:pgMar w:left="1319" w:top="680" w:right="9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2" w:lineRule="exact"/>
        <w:rPr>
          <w:sz w:val="20"/>
          <w:szCs w:val="20"/>
          <w:color w:val="auto"/>
        </w:rPr>
      </w:pPr>
    </w:p>
    <w:p>
      <w:pPr>
        <w:ind w:right="3220" w:firstLine="2841"/>
        <w:spacing w:after="0" w:line="451" w:lineRule="auto"/>
        <w:rPr>
          <w:sz w:val="20"/>
          <w:szCs w:val="20"/>
          <w:color w:val="auto"/>
        </w:rPr>
      </w:pPr>
      <w:r>
        <w:rPr>
          <w:rFonts w:ascii="Arial" w:cs="Arial" w:eastAsia="Arial" w:hAnsi="Arial"/>
          <w:sz w:val="20"/>
          <w:szCs w:val="20"/>
          <w:b w:val="1"/>
          <w:bCs w:val="1"/>
          <w:color w:val="auto"/>
        </w:rPr>
        <w:t>ARTICLE IV - PLAN ADMINISTRATION 4.1 Powers and Duties of the Administrator.</w:t>
      </w:r>
    </w:p>
    <w:p>
      <w:pPr>
        <w:spacing w:after="0" w:line="2" w:lineRule="exact"/>
        <w:rPr>
          <w:sz w:val="20"/>
          <w:szCs w:val="20"/>
          <w:color w:val="auto"/>
        </w:rPr>
      </w:pPr>
    </w:p>
    <w:p>
      <w:pPr>
        <w:ind w:right="420"/>
        <w:spacing w:after="0" w:line="233" w:lineRule="auto"/>
        <w:rPr>
          <w:sz w:val="20"/>
          <w:szCs w:val="20"/>
          <w:color w:val="auto"/>
        </w:rPr>
      </w:pPr>
      <w:r>
        <w:rPr>
          <w:rFonts w:ascii="Arial" w:cs="Arial" w:eastAsia="Arial" w:hAnsi="Arial"/>
          <w:sz w:val="20"/>
          <w:szCs w:val="20"/>
          <w:color w:val="auto"/>
        </w:rPr>
        <w:t>The Administrator shall be the Plan Administrator, as defined in Section 3(16)(A) of ERISA. The Administrator shall enforce the Program in accordance with its terms, and shall be charged with the general administration of the Program. In accordance with Section 4.2 hereof, the Administrator shall have all powers and duties necessary to accomplish its purposes. The Administrator may delegate any or all of its duties under the Program to the extent permitted under applicable law and the regulations of any applicable national securities exchange.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Manner of Administering.</w:t>
      </w:r>
    </w:p>
    <w:p>
      <w:pPr>
        <w:spacing w:after="0" w:line="204" w:lineRule="exact"/>
        <w:rPr>
          <w:sz w:val="20"/>
          <w:szCs w:val="20"/>
          <w:color w:val="auto"/>
        </w:rPr>
      </w:pPr>
    </w:p>
    <w:p>
      <w:pPr>
        <w:ind w:right="480"/>
        <w:spacing w:after="0" w:line="231" w:lineRule="auto"/>
        <w:rPr>
          <w:sz w:val="20"/>
          <w:szCs w:val="20"/>
          <w:color w:val="auto"/>
        </w:rPr>
      </w:pPr>
      <w:r>
        <w:rPr>
          <w:rFonts w:ascii="Arial" w:cs="Arial" w:eastAsia="Arial" w:hAnsi="Arial"/>
          <w:sz w:val="20"/>
          <w:szCs w:val="20"/>
          <w:color w:val="auto"/>
        </w:rPr>
        <w:t>The Administrator shall have full discretionary authority and the exclusive right to construe and interpret the terms and provisions of the Program and to carry out its other powers and duties, and to determine any and all questions arising under the Program or in connection with the administration thereof, including, without limitation, the right to remedy or resolve possible ambiguities, inconsistencies, or omissions, by general rule or particular decision. The actions, interpretations or constructions of the Administrator shall be final, binding, and conclusive on all parties, including but not limited to the Company and its Affiliates and any Eligible Officers, and shall be given the maximum possible deference allowed by law.</w:t>
      </w:r>
    </w:p>
    <w:p>
      <w:pPr>
        <w:spacing w:after="0" w:line="171"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ARTICLE V - AMENDMENT AND TERMINATION</w:t>
      </w:r>
    </w:p>
    <w:p>
      <w:pPr>
        <w:spacing w:after="0" w:line="204" w:lineRule="exact"/>
        <w:rPr>
          <w:sz w:val="20"/>
          <w:szCs w:val="20"/>
          <w:color w:val="auto"/>
        </w:rPr>
      </w:pPr>
    </w:p>
    <w:p>
      <w:pPr>
        <w:ind w:right="600"/>
        <w:spacing w:after="0" w:line="230" w:lineRule="auto"/>
        <w:rPr>
          <w:sz w:val="20"/>
          <w:szCs w:val="20"/>
          <w:color w:val="auto"/>
        </w:rPr>
      </w:pPr>
      <w:r>
        <w:rPr>
          <w:rFonts w:ascii="Arial" w:cs="Arial" w:eastAsia="Arial" w:hAnsi="Arial"/>
          <w:sz w:val="20"/>
          <w:szCs w:val="20"/>
          <w:color w:val="auto"/>
        </w:rPr>
        <w:t>The Program shall continue in effect through December 31, 2026, after which the Program shall automatically renew for successive one-year terms unless terminated at any time after December 31, 2026, by the Administrator in its sole discretion with at least twelve (12) months prior written notice. In the event the Program terminates, no Eligible Officer shall have any claim against any assets of the Employer. Further, any Officer Severance payments commencing before such date shall continue thereafter in the manner provided herein. In the event of a Change in Control, the Program shall not be subject to any amendment or termination for a period of 6 months prior to a Change of Control or 24 months after a Change of Control, except with respect to any affected Eligible Officer to the extent such person consents to the amendment.</w:t>
      </w:r>
    </w:p>
    <w:p>
      <w:pPr>
        <w:spacing w:after="0" w:line="176" w:lineRule="exact"/>
        <w:rPr>
          <w:sz w:val="20"/>
          <w:szCs w:val="20"/>
          <w:color w:val="auto"/>
        </w:rPr>
      </w:pPr>
    </w:p>
    <w:p>
      <w:pPr>
        <w:jc w:val="both"/>
        <w:ind w:right="500"/>
        <w:spacing w:after="0" w:line="237" w:lineRule="auto"/>
        <w:rPr>
          <w:sz w:val="20"/>
          <w:szCs w:val="20"/>
          <w:color w:val="auto"/>
        </w:rPr>
      </w:pPr>
      <w:r>
        <w:rPr>
          <w:rFonts w:ascii="Arial" w:cs="Arial" w:eastAsia="Arial" w:hAnsi="Arial"/>
          <w:sz w:val="20"/>
          <w:szCs w:val="20"/>
          <w:color w:val="auto"/>
        </w:rPr>
        <w:t>Except as provided for in the prior paragraph, the Administrator reserves the right to amend the Program at any time and for any reason in its sole discretion; provided, any amendment that would materially and adversely affect the rights of any Eligible Officer shall not be effective without the consent of the affected Eligible Officer unless required by applicable law.</w:t>
      </w:r>
    </w:p>
    <w:p>
      <w:pPr>
        <w:spacing w:after="0" w:line="172" w:lineRule="exact"/>
        <w:rPr>
          <w:sz w:val="20"/>
          <w:szCs w:val="20"/>
          <w:color w:val="auto"/>
        </w:rPr>
      </w:pPr>
    </w:p>
    <w:p>
      <w:pPr>
        <w:jc w:val="both"/>
        <w:ind w:right="420" w:firstLine="55"/>
        <w:spacing w:after="0" w:line="242" w:lineRule="auto"/>
        <w:rPr>
          <w:sz w:val="20"/>
          <w:szCs w:val="20"/>
          <w:color w:val="auto"/>
        </w:rPr>
      </w:pPr>
      <w:r>
        <w:rPr>
          <w:rFonts w:ascii="Arial" w:cs="Arial" w:eastAsia="Arial" w:hAnsi="Arial"/>
          <w:sz w:val="19"/>
          <w:szCs w:val="19"/>
          <w:color w:val="auto"/>
        </w:rPr>
        <w:t>Notwithstanding anything herein, the Chief Human Resources Officer of the Company or Parent (or such person’s delegate) shall have the power to amend the Program at any time solely to the extent necessary to ensure compliance with applicable law or effectuate the legal intent of the Program, including the intent that the Program constitute a severance pay welfare benefit plan under Labor Regulations section</w:t>
      </w:r>
    </w:p>
    <w:p>
      <w:pPr>
        <w:spacing w:after="0" w:line="1" w:lineRule="exact"/>
        <w:rPr>
          <w:sz w:val="20"/>
          <w:szCs w:val="20"/>
          <w:color w:val="auto"/>
        </w:rPr>
      </w:pPr>
    </w:p>
    <w:p>
      <w:pPr>
        <w:ind w:right="640"/>
        <w:spacing w:after="0" w:line="264" w:lineRule="auto"/>
        <w:rPr>
          <w:sz w:val="20"/>
          <w:szCs w:val="20"/>
          <w:color w:val="auto"/>
        </w:rPr>
      </w:pPr>
      <w:r>
        <w:rPr>
          <w:rFonts w:ascii="Arial" w:cs="Arial" w:eastAsia="Arial" w:hAnsi="Arial"/>
          <w:sz w:val="19"/>
          <w:szCs w:val="19"/>
          <w:color w:val="auto"/>
        </w:rPr>
        <w:t>2510.3-2(b)(ii), and that no payment under the Program would constitute deferred compensation within the meaning of Code section 409A. Any other amendment shall require approval by the Administrator.</w:t>
      </w:r>
    </w:p>
    <w:p>
      <w:pPr>
        <w:spacing w:after="0" w:line="149"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color w:val="auto"/>
        </w:rPr>
        <w:t>Any amendment shall be in writing and effective in the manner and at the time therein set forth, and the Company and all Eligible Officers and others shall be bound thereby.</w:t>
      </w:r>
    </w:p>
    <w:p>
      <w:pPr>
        <w:spacing w:after="0" w:line="200" w:lineRule="exact"/>
        <w:rPr>
          <w:sz w:val="20"/>
          <w:szCs w:val="20"/>
          <w:color w:val="auto"/>
        </w:rPr>
      </w:pPr>
    </w:p>
    <w:p>
      <w:pPr>
        <w:spacing w:after="0" w:line="293"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21"/>
        <w:spacing w:after="0"/>
        <w:rPr>
          <w:sz w:val="20"/>
          <w:szCs w:val="20"/>
          <w:color w:val="auto"/>
        </w:rPr>
      </w:pPr>
      <w:r>
        <w:rPr>
          <w:rFonts w:ascii="Arial" w:cs="Arial" w:eastAsia="Arial" w:hAnsi="Arial"/>
          <w:sz w:val="20"/>
          <w:szCs w:val="20"/>
          <w:b w:val="1"/>
          <w:bCs w:val="1"/>
          <w:color w:val="auto"/>
        </w:rPr>
        <w:t>ARTICLE VI - MISCELLANEOUS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6.1 Limitation of Eligible Officers' Rights.</w:t>
      </w:r>
    </w:p>
    <w:p>
      <w:pPr>
        <w:spacing w:after="0" w:line="204" w:lineRule="exact"/>
        <w:rPr>
          <w:sz w:val="20"/>
          <w:szCs w:val="20"/>
          <w:color w:val="auto"/>
        </w:rPr>
      </w:pPr>
    </w:p>
    <w:p>
      <w:pPr>
        <w:ind w:left="1" w:right="380" w:hanging="1"/>
        <w:spacing w:after="0" w:line="231" w:lineRule="auto"/>
        <w:tabs>
          <w:tab w:leader="none" w:pos="298" w:val="left"/>
        </w:tabs>
        <w:numPr>
          <w:ilvl w:val="0"/>
          <w:numId w:val="25"/>
        </w:numPr>
        <w:rPr>
          <w:rFonts w:ascii="Arial" w:cs="Arial" w:eastAsia="Arial" w:hAnsi="Arial"/>
          <w:sz w:val="20"/>
          <w:szCs w:val="20"/>
          <w:color w:val="auto"/>
        </w:rPr>
      </w:pPr>
      <w:r>
        <w:rPr>
          <w:rFonts w:ascii="Arial" w:cs="Arial" w:eastAsia="Arial" w:hAnsi="Arial"/>
          <w:sz w:val="20"/>
          <w:szCs w:val="20"/>
          <w:color w:val="auto"/>
        </w:rPr>
        <w:t>Payments made under the Program shall not give any employee the right to be retained in the employ of the Employer or any right or interest under the Program other than as herein provided. The Eligible Officer acknowledges that the Eligible Officer remains an at-will employee and nothing in the Program limits the right of the Employer to dismiss any Eligible Officer for any reason, with or without notice. Inclusion under the Program will not give any Eligible Officer any right to claim any benefit hereunder except to the extent such right has specifically become fixed under the terms of the Program. An Eligible Officer shall not have any recourse towards satisfaction of such benefit becoming fixed under the terms of the Program from other than the general assets of such person’s Employer.</w:t>
      </w:r>
    </w:p>
    <w:p>
      <w:pPr>
        <w:spacing w:after="0" w:line="173" w:lineRule="exact"/>
        <w:rPr>
          <w:rFonts w:ascii="Arial" w:cs="Arial" w:eastAsia="Arial" w:hAnsi="Arial"/>
          <w:sz w:val="20"/>
          <w:szCs w:val="20"/>
          <w:color w:val="auto"/>
        </w:rPr>
      </w:pPr>
    </w:p>
    <w:p>
      <w:pPr>
        <w:ind w:left="1" w:right="380" w:hanging="1"/>
        <w:spacing w:after="0" w:line="237" w:lineRule="auto"/>
        <w:tabs>
          <w:tab w:leader="none" w:pos="298" w:val="left"/>
        </w:tabs>
        <w:numPr>
          <w:ilvl w:val="0"/>
          <w:numId w:val="25"/>
        </w:numPr>
        <w:rPr>
          <w:rFonts w:ascii="Arial" w:cs="Arial" w:eastAsia="Arial" w:hAnsi="Arial"/>
          <w:sz w:val="20"/>
          <w:szCs w:val="20"/>
          <w:color w:val="auto"/>
        </w:rPr>
      </w:pPr>
      <w:r>
        <w:rPr>
          <w:rFonts w:ascii="Arial" w:cs="Arial" w:eastAsia="Arial" w:hAnsi="Arial"/>
          <w:sz w:val="20"/>
          <w:szCs w:val="20"/>
          <w:color w:val="auto"/>
        </w:rPr>
        <w:t>Payments made under the Program shall not give any employee the right to any benefits provided only to employees retained in the employ of the Employer. Except as may otherwise be required by law or set forth specifically in such plans or in an agreement between the Employer and the Eligible Officer, such benefits shall be terminated as of the Severance Date.</w:t>
      </w:r>
    </w:p>
    <w:p>
      <w:pPr>
        <w:spacing w:after="0" w:line="171" w:lineRule="exact"/>
        <w:rPr>
          <w:rFonts w:ascii="Arial" w:cs="Arial" w:eastAsia="Arial" w:hAnsi="Arial"/>
          <w:sz w:val="20"/>
          <w:szCs w:val="20"/>
          <w:color w:val="auto"/>
        </w:rPr>
      </w:pPr>
    </w:p>
    <w:p>
      <w:pPr>
        <w:jc w:val="both"/>
        <w:ind w:left="1" w:right="780" w:hanging="1"/>
        <w:spacing w:after="0" w:line="241" w:lineRule="auto"/>
        <w:tabs>
          <w:tab w:leader="none" w:pos="2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Eligible Officer understands that the Company has adopted a clawback policy (which may be amended from time to time) pursuant to which the Company, in certain cases, may reduce, cancel, or require the recovery of all or a portion of a person’s compensation.</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6.2 Unsecured General Creditor.</w:t>
      </w:r>
    </w:p>
    <w:p>
      <w:pPr>
        <w:spacing w:after="0" w:line="204" w:lineRule="exact"/>
        <w:rPr>
          <w:sz w:val="20"/>
          <w:szCs w:val="20"/>
          <w:color w:val="auto"/>
        </w:rPr>
      </w:pPr>
    </w:p>
    <w:p>
      <w:pPr>
        <w:ind w:left="1" w:right="400"/>
        <w:spacing w:after="0" w:line="231" w:lineRule="auto"/>
        <w:rPr>
          <w:sz w:val="20"/>
          <w:szCs w:val="20"/>
          <w:color w:val="auto"/>
        </w:rPr>
      </w:pPr>
      <w:r>
        <w:rPr>
          <w:rFonts w:ascii="Arial" w:cs="Arial" w:eastAsia="Arial" w:hAnsi="Arial"/>
          <w:sz w:val="20"/>
          <w:szCs w:val="20"/>
          <w:color w:val="auto"/>
        </w:rPr>
        <w:t>All Eligible Officers and their heirs, successors, assigns and personal representatives shall have no legal or equitable rights, claims, or interests in any specific property or assets of the Employer with respect to benefits payable under the Program. No assets of the Employer shall be held under any trust, or held in any way as collateral security for the fulfillment of the obligations of the Employer under the Program. The Employer’s assets shall be, and remain, the general, unpledged, unrestricted assets of the Employer. The Employer’s obligation under the Program shall be merely that of an unfunded and unsecured promise to pay money in the future, and the rights of all Eligible Officers shall be no greater than those of unsecured general creditors.</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6.3 Non-Duplication of Benefits.</w:t>
      </w:r>
    </w:p>
    <w:p>
      <w:pPr>
        <w:spacing w:after="0" w:line="204" w:lineRule="exact"/>
        <w:rPr>
          <w:sz w:val="20"/>
          <w:szCs w:val="20"/>
          <w:color w:val="auto"/>
        </w:rPr>
      </w:pPr>
    </w:p>
    <w:p>
      <w:pPr>
        <w:ind w:left="1" w:right="380"/>
        <w:spacing w:after="0" w:line="231" w:lineRule="auto"/>
        <w:rPr>
          <w:sz w:val="20"/>
          <w:szCs w:val="20"/>
          <w:color w:val="auto"/>
        </w:rPr>
      </w:pPr>
      <w:r>
        <w:rPr>
          <w:rFonts w:ascii="Arial" w:cs="Arial" w:eastAsia="Arial" w:hAnsi="Arial"/>
          <w:sz w:val="20"/>
          <w:szCs w:val="20"/>
          <w:color w:val="auto"/>
        </w:rPr>
        <w:t>Benefits payable under the Program are in lieu of, and not in addition to, any other severance, separation, change in control or similar type of benefit payable under a severance, separation, change in control or similar plan, policy, agreement or arrangement of the Employer, including any such benefits payable by the Employer under a labor agreement or by operation of law, including without limitation the Worker Adjustment and Retraining Notification Act or any similar state law. Accordingly, notwithstanding any provision of the Program to the contrary, benefits payable under the Program will be reduced and forfeited by the amount of benefits payable under any and all such other plans, policies, agreements or arrangements or by operation of law.</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6.4 Withholding.</w:t>
      </w:r>
    </w:p>
    <w:p>
      <w:pPr>
        <w:spacing w:after="0" w:line="204" w:lineRule="exact"/>
        <w:rPr>
          <w:sz w:val="20"/>
          <w:szCs w:val="20"/>
          <w:color w:val="auto"/>
        </w:rPr>
      </w:pPr>
    </w:p>
    <w:p>
      <w:pPr>
        <w:jc w:val="both"/>
        <w:ind w:left="1" w:right="440"/>
        <w:spacing w:after="0" w:line="241" w:lineRule="auto"/>
        <w:rPr>
          <w:sz w:val="20"/>
          <w:szCs w:val="20"/>
          <w:color w:val="auto"/>
        </w:rPr>
      </w:pPr>
      <w:r>
        <w:rPr>
          <w:rFonts w:ascii="Arial" w:cs="Arial" w:eastAsia="Arial" w:hAnsi="Arial"/>
          <w:sz w:val="20"/>
          <w:szCs w:val="20"/>
          <w:color w:val="auto"/>
        </w:rPr>
        <w:t>There shall be deducted from each payment under the Program all taxes that are required to be withheld by the Employer with respect to such payment. The Employer shall have the right to reduce any payment by (i) the amount of cash sufficient to provide the amount of said taxes, and (ii) an amount</w:t>
      </w: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476250</wp:posOffset>
            </wp:positionV>
            <wp:extent cx="5880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1"/>
          </w:cols>
          <w:pgMar w:left="1319" w:top="680" w:right="9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right="940"/>
        <w:spacing w:after="0" w:line="241" w:lineRule="auto"/>
        <w:rPr>
          <w:sz w:val="20"/>
          <w:szCs w:val="20"/>
          <w:color w:val="auto"/>
        </w:rPr>
      </w:pPr>
      <w:r>
        <w:rPr>
          <w:rFonts w:ascii="Arial" w:cs="Arial" w:eastAsia="Arial" w:hAnsi="Arial"/>
          <w:sz w:val="20"/>
          <w:szCs w:val="20"/>
          <w:color w:val="auto"/>
        </w:rPr>
        <w:t>of cash equal to the amount of any contributions that the Eligible Officer has elected to make to any medical, welfare, or retirement plan maintained by the Employer in accordance with the terms and provisions of those plans.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6.5 Restriction Against Alienation.</w:t>
      </w:r>
    </w:p>
    <w:p>
      <w:pPr>
        <w:spacing w:after="0" w:line="204"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color w:val="auto"/>
        </w:rPr>
        <w:t>None of the benefits, payments, proceeds or claims of any Eligible Officer shall be subject to any claim of any creditor and, in particular, the same shall not be subject to attachment or garnishment or other legal process by any creditor, nor shall any such Eligible Officer have any right to alienate, anticipate, commute, pledge, encumber or assign any of the benefits or payments or proceeds which such person may expect to receive, contingently or otherwise, under the Program. Notwithstanding the above, benefits which are in pay status may be subject to a garnishment or wage assignment made pursuant to a court order, or a tax levy.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6.6 Governing Law.</w:t>
      </w:r>
    </w:p>
    <w:p>
      <w:pPr>
        <w:spacing w:after="0" w:line="204" w:lineRule="exact"/>
        <w:rPr>
          <w:sz w:val="20"/>
          <w:szCs w:val="20"/>
          <w:color w:val="auto"/>
        </w:rPr>
      </w:pPr>
    </w:p>
    <w:p>
      <w:pPr>
        <w:ind w:right="380"/>
        <w:spacing w:after="0" w:line="231" w:lineRule="auto"/>
        <w:rPr>
          <w:sz w:val="20"/>
          <w:szCs w:val="20"/>
          <w:color w:val="auto"/>
        </w:rPr>
      </w:pPr>
      <w:r>
        <w:rPr>
          <w:rFonts w:ascii="Arial" w:cs="Arial" w:eastAsia="Arial" w:hAnsi="Arial"/>
          <w:sz w:val="20"/>
          <w:szCs w:val="20"/>
          <w:color w:val="auto"/>
        </w:rPr>
        <w:t>The Program shall be construed, administered, and governed in all respects under applicable federal law, and to the extent that federal law is inapplicable, under the laws of the State of New York, in each case without reference to conflict of law principles thereof; provided, however, that if any provision is susceptible to more than one interpretation, such interpretation shall be given thereto as is consistent with the Program being a “top hat” welfare benefit plan within the meaning of Section 3(1) of ERISA and Labor Regulations section 2520.104-24. If any provision of this instrument shall be held by a court of competent jurisdiction to be invalid or unenforceable, the remaining provisions hereof shall continue to be fully effective.</w:t>
      </w:r>
    </w:p>
    <w:p>
      <w:pPr>
        <w:spacing w:after="0" w:line="173" w:lineRule="exact"/>
        <w:rPr>
          <w:sz w:val="20"/>
          <w:szCs w:val="20"/>
          <w:color w:val="auto"/>
        </w:rPr>
      </w:pPr>
    </w:p>
    <w:p>
      <w:pPr>
        <w:ind w:right="1080"/>
        <w:spacing w:after="0" w:line="284" w:lineRule="auto"/>
        <w:rPr>
          <w:sz w:val="20"/>
          <w:szCs w:val="20"/>
          <w:color w:val="auto"/>
        </w:rPr>
      </w:pPr>
      <w:r>
        <w:rPr>
          <w:rFonts w:ascii="Arial" w:cs="Arial" w:eastAsia="Arial" w:hAnsi="Arial"/>
          <w:sz w:val="19"/>
          <w:szCs w:val="19"/>
          <w:color w:val="auto"/>
        </w:rPr>
        <w:t>Any action in connection with the Program may be brought only in Federal District Court in Albany County, New York, and must be commenced within one year after the cause of action accrues.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6.7 Headings, etc., Not Part of Agreement.</w:t>
      </w:r>
    </w:p>
    <w:p>
      <w:pPr>
        <w:spacing w:after="0" w:line="204"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Headings and subheadings in the Program are inserted for convenience of reference only and are not to be considered in the construction of the provisions hereof.</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6.8 Correction of Errors.</w:t>
      </w:r>
    </w:p>
    <w:p>
      <w:pPr>
        <w:spacing w:after="0" w:line="204" w:lineRule="exact"/>
        <w:rPr>
          <w:sz w:val="20"/>
          <w:szCs w:val="20"/>
          <w:color w:val="auto"/>
        </w:rPr>
      </w:pPr>
    </w:p>
    <w:p>
      <w:pPr>
        <w:jc w:val="both"/>
        <w:ind w:right="380"/>
        <w:spacing w:after="0" w:line="237" w:lineRule="auto"/>
        <w:rPr>
          <w:sz w:val="20"/>
          <w:szCs w:val="20"/>
          <w:color w:val="auto"/>
        </w:rPr>
      </w:pPr>
      <w:r>
        <w:rPr>
          <w:rFonts w:ascii="Arial" w:cs="Arial" w:eastAsia="Arial" w:hAnsi="Arial"/>
          <w:sz w:val="20"/>
          <w:szCs w:val="20"/>
          <w:color w:val="auto"/>
        </w:rPr>
        <w:t>If the Administrator determines, in its sole discretion, that the Program has made an overpayment to any individual, the Administrator may recover the amount of the overpayment by requiring the payee to return the excess payments to the Program, reducing any future Program payments to the payee, or any other method deemed reasonable by the Administrator.</w:t>
      </w:r>
    </w:p>
    <w:p>
      <w:pPr>
        <w:spacing w:after="0" w:line="172"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color w:val="auto"/>
        </w:rPr>
        <w:t>If the Administrator determines, in its sole discretion, that the Program has made an underpayment to any individual, the Administrator may correct the underpayment by making a lump-sum payment to the payee, increasing any future Program payments to the payee, or any other method deemed reasonable by the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6.9 Internal Revenue Code Section 409A.</w:t>
      </w:r>
    </w:p>
    <w:p>
      <w:pPr>
        <w:spacing w:after="0" w:line="204"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It is intended that the Program (and any payments) will be exempt from or in compliance with Internal Revenue Code Section 409A (“Section 409A”), and the Program (and any payments) shall be interpreted and construed on a basis consistent with such intent. The term “termination of employment” and similar terms relating to an Eligible Officer’s termination of employment mean a “separation from</w:t>
      </w:r>
    </w:p>
    <w:p>
      <w:pPr>
        <w:spacing w:after="0" w:line="293"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service” as that term is defined under Section 409A. Each payment made under the Program shall be</w:t>
      </w:r>
    </w:p>
    <w:p>
      <w:pPr>
        <w:spacing w:after="0" w:line="229" w:lineRule="auto"/>
        <w:rPr>
          <w:sz w:val="20"/>
          <w:szCs w:val="20"/>
          <w:color w:val="auto"/>
        </w:rPr>
      </w:pPr>
      <w:r>
        <w:rPr>
          <w:rFonts w:ascii="Arial" w:cs="Arial" w:eastAsia="Arial" w:hAnsi="Arial"/>
          <w:sz w:val="20"/>
          <w:szCs w:val="20"/>
          <w:color w:val="auto"/>
        </w:rPr>
        <w:t>treated as a separate payment for purposes of Section 409A. Whenever a payment under the Program</w:t>
      </w:r>
    </w:p>
    <w:p>
      <w:pPr>
        <w:spacing w:after="0" w:line="226" w:lineRule="auto"/>
        <w:rPr>
          <w:sz w:val="20"/>
          <w:szCs w:val="20"/>
          <w:color w:val="auto"/>
        </w:rPr>
      </w:pPr>
      <w:r>
        <w:rPr>
          <w:rFonts w:ascii="Arial" w:cs="Arial" w:eastAsia="Arial" w:hAnsi="Arial"/>
          <w:sz w:val="20"/>
          <w:szCs w:val="20"/>
          <w:color w:val="auto"/>
        </w:rPr>
        <w:t>specifies a payment period with reference to a number of days, the actual date of payment within the</w:t>
      </w:r>
    </w:p>
    <w:p>
      <w:pPr>
        <w:spacing w:after="0" w:line="225" w:lineRule="auto"/>
        <w:rPr>
          <w:sz w:val="20"/>
          <w:szCs w:val="20"/>
          <w:color w:val="auto"/>
        </w:rPr>
      </w:pPr>
      <w:r>
        <w:rPr>
          <w:rFonts w:ascii="Arial" w:cs="Arial" w:eastAsia="Arial" w:hAnsi="Arial"/>
          <w:sz w:val="20"/>
          <w:szCs w:val="20"/>
          <w:color w:val="auto"/>
        </w:rPr>
        <w:t>specified period is within the sole discretion of the Administrator. If any benefits payable under the</w:t>
      </w:r>
    </w:p>
    <w:p>
      <w:pPr>
        <w:spacing w:after="0" w:line="225" w:lineRule="auto"/>
        <w:rPr>
          <w:sz w:val="20"/>
          <w:szCs w:val="20"/>
          <w:color w:val="auto"/>
        </w:rPr>
      </w:pPr>
      <w:r>
        <w:rPr>
          <w:rFonts w:ascii="Arial" w:cs="Arial" w:eastAsia="Arial" w:hAnsi="Arial"/>
          <w:sz w:val="20"/>
          <w:szCs w:val="20"/>
          <w:color w:val="auto"/>
        </w:rPr>
        <w:t>Program constitute non-qualified deferred compensation under Section 409A, such benefit shall</w:t>
      </w:r>
    </w:p>
    <w:p>
      <w:pPr>
        <w:spacing w:after="0" w:line="226" w:lineRule="auto"/>
        <w:rPr>
          <w:sz w:val="20"/>
          <w:szCs w:val="20"/>
          <w:color w:val="auto"/>
        </w:rPr>
      </w:pPr>
      <w:r>
        <w:rPr>
          <w:rFonts w:ascii="Arial" w:cs="Arial" w:eastAsia="Arial" w:hAnsi="Arial"/>
          <w:sz w:val="20"/>
          <w:szCs w:val="20"/>
          <w:color w:val="auto"/>
        </w:rPr>
        <w:t>commence on the first payroll scheduled after the expiration of the 60-day period immediately following</w:t>
      </w:r>
    </w:p>
    <w:p>
      <w:pPr>
        <w:spacing w:after="0" w:line="225" w:lineRule="auto"/>
        <w:rPr>
          <w:sz w:val="20"/>
          <w:szCs w:val="20"/>
          <w:color w:val="auto"/>
        </w:rPr>
      </w:pPr>
      <w:r>
        <w:rPr>
          <w:rFonts w:ascii="Arial" w:cs="Arial" w:eastAsia="Arial" w:hAnsi="Arial"/>
          <w:sz w:val="20"/>
          <w:szCs w:val="20"/>
          <w:color w:val="auto"/>
        </w:rPr>
        <w:t>the Severance Date, provided that the Separation Documents becomes effective and irrevocable during</w:t>
      </w:r>
    </w:p>
    <w:p>
      <w:pPr>
        <w:spacing w:after="0" w:line="226" w:lineRule="auto"/>
        <w:rPr>
          <w:sz w:val="20"/>
          <w:szCs w:val="20"/>
          <w:color w:val="auto"/>
        </w:rPr>
      </w:pPr>
      <w:r>
        <w:rPr>
          <w:rFonts w:ascii="Arial" w:cs="Arial" w:eastAsia="Arial" w:hAnsi="Arial"/>
          <w:sz w:val="20"/>
          <w:szCs w:val="20"/>
          <w:color w:val="auto"/>
        </w:rPr>
        <w:t>such 60-day period. If an Eligible Officer is a “specified employee” (as that term is used in Section 409A)</w:t>
      </w:r>
    </w:p>
    <w:p>
      <w:pPr>
        <w:spacing w:after="0" w:line="225" w:lineRule="auto"/>
        <w:rPr>
          <w:sz w:val="20"/>
          <w:szCs w:val="20"/>
          <w:color w:val="auto"/>
        </w:rPr>
      </w:pPr>
      <w:r>
        <w:rPr>
          <w:rFonts w:ascii="Arial" w:cs="Arial" w:eastAsia="Arial" w:hAnsi="Arial"/>
          <w:sz w:val="20"/>
          <w:szCs w:val="20"/>
          <w:color w:val="auto"/>
        </w:rPr>
        <w:t>on the Severance Date, any benefits payable under the Program that constitute non-qualified deferred</w:t>
      </w:r>
    </w:p>
    <w:p>
      <w:pPr>
        <w:spacing w:after="0" w:line="225" w:lineRule="auto"/>
        <w:rPr>
          <w:sz w:val="20"/>
          <w:szCs w:val="20"/>
          <w:color w:val="auto"/>
        </w:rPr>
      </w:pPr>
      <w:r>
        <w:rPr>
          <w:rFonts w:ascii="Arial" w:cs="Arial" w:eastAsia="Arial" w:hAnsi="Arial"/>
          <w:sz w:val="20"/>
          <w:szCs w:val="20"/>
          <w:color w:val="auto"/>
        </w:rPr>
        <w:t>compensation under Section 409A shall be delayed until the earlier of (A) the business day following</w:t>
      </w:r>
    </w:p>
    <w:p>
      <w:pPr>
        <w:spacing w:after="0" w:line="226" w:lineRule="auto"/>
        <w:rPr>
          <w:sz w:val="20"/>
          <w:szCs w:val="20"/>
          <w:color w:val="auto"/>
        </w:rPr>
      </w:pPr>
      <w:r>
        <w:rPr>
          <w:rFonts w:ascii="Arial" w:cs="Arial" w:eastAsia="Arial" w:hAnsi="Arial"/>
          <w:sz w:val="20"/>
          <w:szCs w:val="20"/>
          <w:color w:val="auto"/>
        </w:rPr>
        <w:t>the six-month anniversary of the Severance Date, and (B) the date of the Eligible Officer’s death, but only</w:t>
      </w:r>
    </w:p>
    <w:p>
      <w:pPr>
        <w:spacing w:after="0" w:line="225" w:lineRule="auto"/>
        <w:rPr>
          <w:sz w:val="20"/>
          <w:szCs w:val="20"/>
          <w:color w:val="auto"/>
        </w:rPr>
      </w:pPr>
      <w:r>
        <w:rPr>
          <w:rFonts w:ascii="Arial" w:cs="Arial" w:eastAsia="Arial" w:hAnsi="Arial"/>
          <w:sz w:val="20"/>
          <w:szCs w:val="20"/>
          <w:color w:val="auto"/>
        </w:rPr>
        <w:t>to the extent necessary to avoid such penalties under Section 409A. On the earlier of (X) the business</w:t>
      </w:r>
    </w:p>
    <w:p>
      <w:pPr>
        <w:spacing w:after="0" w:line="226" w:lineRule="auto"/>
        <w:rPr>
          <w:sz w:val="20"/>
          <w:szCs w:val="20"/>
          <w:color w:val="auto"/>
        </w:rPr>
      </w:pPr>
      <w:r>
        <w:rPr>
          <w:rFonts w:ascii="Arial" w:cs="Arial" w:eastAsia="Arial" w:hAnsi="Arial"/>
          <w:sz w:val="20"/>
          <w:szCs w:val="20"/>
          <w:color w:val="auto"/>
        </w:rPr>
        <w:t>day following the six-month anniversary of the Severance Date, and (Y) the Eligible Officer’s death, the</w:t>
      </w:r>
    </w:p>
    <w:p>
      <w:pPr>
        <w:spacing w:after="0" w:line="225" w:lineRule="auto"/>
        <w:rPr>
          <w:sz w:val="20"/>
          <w:szCs w:val="20"/>
          <w:color w:val="auto"/>
        </w:rPr>
      </w:pPr>
      <w:r>
        <w:rPr>
          <w:rFonts w:ascii="Arial" w:cs="Arial" w:eastAsia="Arial" w:hAnsi="Arial"/>
          <w:sz w:val="20"/>
          <w:szCs w:val="20"/>
          <w:color w:val="auto"/>
        </w:rPr>
        <w:t>Company shall pay the Executive Officer in a lump sum the aggregate value of the non-qualified deferred</w:t>
      </w:r>
    </w:p>
    <w:p>
      <w:pPr>
        <w:spacing w:after="0" w:line="225" w:lineRule="auto"/>
        <w:rPr>
          <w:sz w:val="20"/>
          <w:szCs w:val="20"/>
          <w:color w:val="auto"/>
        </w:rPr>
      </w:pPr>
      <w:r>
        <w:rPr>
          <w:rFonts w:ascii="Arial" w:cs="Arial" w:eastAsia="Arial" w:hAnsi="Arial"/>
          <w:sz w:val="20"/>
          <w:szCs w:val="20"/>
          <w:color w:val="auto"/>
        </w:rPr>
        <w:t>compensation that the Company otherwise would have paid the Eligible Officer prior to that date. The</w:t>
      </w:r>
    </w:p>
    <w:p>
      <w:pPr>
        <w:spacing w:after="0" w:line="226" w:lineRule="auto"/>
        <w:rPr>
          <w:sz w:val="20"/>
          <w:szCs w:val="20"/>
          <w:color w:val="auto"/>
        </w:rPr>
      </w:pPr>
      <w:r>
        <w:rPr>
          <w:rFonts w:ascii="Arial" w:cs="Arial" w:eastAsia="Arial" w:hAnsi="Arial"/>
          <w:sz w:val="20"/>
          <w:szCs w:val="20"/>
          <w:color w:val="auto"/>
        </w:rPr>
        <w:t>Program (and any payments) may be amended (in accordance with Article V of the Program) in any</w:t>
      </w:r>
    </w:p>
    <w:p>
      <w:pPr>
        <w:spacing w:after="0" w:line="225" w:lineRule="auto"/>
        <w:rPr>
          <w:sz w:val="20"/>
          <w:szCs w:val="20"/>
          <w:color w:val="auto"/>
        </w:rPr>
      </w:pPr>
      <w:r>
        <w:rPr>
          <w:rFonts w:ascii="Arial" w:cs="Arial" w:eastAsia="Arial" w:hAnsi="Arial"/>
          <w:sz w:val="20"/>
          <w:szCs w:val="20"/>
          <w:color w:val="auto"/>
        </w:rPr>
        <w:t>respect deemed necessary or desirable (including retroactively) by the Company with the intent to</w:t>
      </w:r>
    </w:p>
    <w:p>
      <w:pPr>
        <w:spacing w:after="0" w:line="226" w:lineRule="auto"/>
        <w:rPr>
          <w:sz w:val="20"/>
          <w:szCs w:val="20"/>
          <w:color w:val="auto"/>
        </w:rPr>
      </w:pPr>
      <w:r>
        <w:rPr>
          <w:rFonts w:ascii="Arial" w:cs="Arial" w:eastAsia="Arial" w:hAnsi="Arial"/>
          <w:sz w:val="20"/>
          <w:szCs w:val="20"/>
          <w:color w:val="auto"/>
        </w:rPr>
        <w:t>preserve exemption from or compliance with Section 409A. The preceding shall not be construed as a</w:t>
      </w:r>
    </w:p>
    <w:p>
      <w:pPr>
        <w:spacing w:after="0" w:line="225" w:lineRule="auto"/>
        <w:rPr>
          <w:sz w:val="20"/>
          <w:szCs w:val="20"/>
          <w:color w:val="auto"/>
        </w:rPr>
      </w:pPr>
      <w:r>
        <w:rPr>
          <w:rFonts w:ascii="Arial" w:cs="Arial" w:eastAsia="Arial" w:hAnsi="Arial"/>
          <w:sz w:val="20"/>
          <w:szCs w:val="20"/>
          <w:color w:val="auto"/>
        </w:rPr>
        <w:t>guarantee of any particular tax effect for Program payments. An Eligible Officer is solely responsible and</w:t>
      </w:r>
    </w:p>
    <w:p>
      <w:pPr>
        <w:spacing w:after="0" w:line="226" w:lineRule="auto"/>
        <w:rPr>
          <w:sz w:val="20"/>
          <w:szCs w:val="20"/>
          <w:color w:val="auto"/>
        </w:rPr>
      </w:pPr>
      <w:r>
        <w:rPr>
          <w:rFonts w:ascii="Arial" w:cs="Arial" w:eastAsia="Arial" w:hAnsi="Arial"/>
          <w:sz w:val="20"/>
          <w:szCs w:val="20"/>
          <w:color w:val="auto"/>
        </w:rPr>
        <w:t>liable for the satisfaction of all taxes and penalties that may be imposed on such person in connection</w:t>
      </w:r>
    </w:p>
    <w:p>
      <w:pPr>
        <w:spacing w:after="0" w:line="225" w:lineRule="auto"/>
        <w:rPr>
          <w:sz w:val="20"/>
          <w:szCs w:val="20"/>
          <w:color w:val="auto"/>
        </w:rPr>
      </w:pPr>
      <w:r>
        <w:rPr>
          <w:rFonts w:ascii="Arial" w:cs="Arial" w:eastAsia="Arial" w:hAnsi="Arial"/>
          <w:sz w:val="20"/>
          <w:szCs w:val="20"/>
          <w:color w:val="auto"/>
        </w:rPr>
        <w:t>with the Program (including any taxes and penalties under Section 409A), and the Company shall not</w:t>
      </w:r>
    </w:p>
    <w:p>
      <w:pPr>
        <w:spacing w:after="0" w:line="225" w:lineRule="auto"/>
        <w:rPr>
          <w:sz w:val="20"/>
          <w:szCs w:val="20"/>
          <w:color w:val="auto"/>
        </w:rPr>
      </w:pPr>
      <w:r>
        <w:rPr>
          <w:rFonts w:ascii="Arial" w:cs="Arial" w:eastAsia="Arial" w:hAnsi="Arial"/>
          <w:sz w:val="20"/>
          <w:szCs w:val="20"/>
          <w:color w:val="auto"/>
        </w:rPr>
        <w:t>have any obligation to indemnify or otherwise hold a participant harmless from any or all of such taxes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penalties.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6.10 Claims and Issues.</w:t>
      </w:r>
    </w:p>
    <w:p>
      <w:pPr>
        <w:spacing w:after="0" w:line="204" w:lineRule="exact"/>
        <w:rPr>
          <w:sz w:val="20"/>
          <w:szCs w:val="20"/>
          <w:color w:val="auto"/>
        </w:rPr>
      </w:pPr>
    </w:p>
    <w:p>
      <w:pPr>
        <w:ind w:right="440"/>
        <w:spacing w:after="0" w:line="233" w:lineRule="auto"/>
        <w:rPr>
          <w:sz w:val="20"/>
          <w:szCs w:val="20"/>
          <w:color w:val="auto"/>
        </w:rPr>
      </w:pPr>
      <w:r>
        <w:rPr>
          <w:rFonts w:ascii="Arial" w:cs="Arial" w:eastAsia="Arial" w:hAnsi="Arial"/>
          <w:sz w:val="20"/>
          <w:szCs w:val="20"/>
          <w:color w:val="auto"/>
        </w:rPr>
        <w:t>From time to time, claims or issues may arise that involve the Program. The resolution, settlement or adjudication of these claims or issues may result in an agreement or order that is not expressly contemplated under the Program document, including the payment of benefits which differ from the amounts generally payable under the Program. Any such agreements and orders will be respected to the extent that, as determined in the sole discretion of the Administrator, they do not violate any applicable statute, government regulation or ruling.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6.11 Claims Procedures.</w:t>
      </w:r>
    </w:p>
    <w:p>
      <w:pPr>
        <w:spacing w:after="0" w:line="204" w:lineRule="exact"/>
        <w:rPr>
          <w:sz w:val="20"/>
          <w:szCs w:val="20"/>
          <w:color w:val="auto"/>
        </w:rPr>
      </w:pPr>
    </w:p>
    <w:p>
      <w:pPr>
        <w:ind w:right="460"/>
        <w:spacing w:after="0" w:line="237" w:lineRule="auto"/>
        <w:rPr>
          <w:sz w:val="20"/>
          <w:szCs w:val="20"/>
          <w:color w:val="auto"/>
        </w:rPr>
      </w:pPr>
      <w:r>
        <w:rPr>
          <w:rFonts w:ascii="Arial" w:cs="Arial" w:eastAsia="Arial" w:hAnsi="Arial"/>
          <w:sz w:val="20"/>
          <w:szCs w:val="20"/>
          <w:color w:val="auto"/>
        </w:rPr>
        <w:t>To make a claim for payment under the Program, an Eligible Officer must submit a detailed, written explanation of such person’s claim to the Administrator within 90 days after such person’s employment is terminated. To dispute the amount of any payment, an Eligible Officer must submit a detailed, written explanation of such person’s claim to the Administrator within 90 days after payment is made.</w:t>
      </w:r>
    </w:p>
    <w:p>
      <w:pPr>
        <w:spacing w:after="0" w:line="172" w:lineRule="exact"/>
        <w:rPr>
          <w:sz w:val="20"/>
          <w:szCs w:val="20"/>
          <w:color w:val="auto"/>
        </w:rPr>
      </w:pPr>
    </w:p>
    <w:p>
      <w:pPr>
        <w:ind w:right="400"/>
        <w:spacing w:after="0" w:line="230" w:lineRule="auto"/>
        <w:rPr>
          <w:sz w:val="20"/>
          <w:szCs w:val="20"/>
          <w:color w:val="auto"/>
        </w:rPr>
      </w:pPr>
      <w:r>
        <w:rPr>
          <w:rFonts w:ascii="Arial" w:cs="Arial" w:eastAsia="Arial" w:hAnsi="Arial"/>
          <w:sz w:val="20"/>
          <w:szCs w:val="20"/>
          <w:color w:val="auto"/>
        </w:rPr>
        <w:t>If a claim is denied, in whole or in part, the Eligible Officer will receive a written explanation from the Administrator within 90 days of the date such person’s claim is received. If special circumstances exist, the 90-day period may be extended an additional 90 days by the Administrator. If an extension is necessary, the Administrator will provide written notice to the Eligible Officer of the extension within the original 90-day period. This explanation will include: (i) the reason(s) for denial, (ii) references to any applicable Program provisions on which the denial is based, (iii) a description of any additional information the Eligible Officer may need to submit and the reason the additional information is necessary and (iv) information on how to appeal the claim denial with the Administrator. The Eligible Officer will be provided, upon request and free of charge, reasonable access to and copies of any information relevant to such person’s claim.</w:t>
      </w:r>
    </w:p>
    <w:p>
      <w:pPr>
        <w:spacing w:after="0" w:line="200" w:lineRule="exact"/>
        <w:rPr>
          <w:sz w:val="20"/>
          <w:szCs w:val="20"/>
          <w:color w:val="auto"/>
        </w:rPr>
      </w:pPr>
    </w:p>
    <w:p>
      <w:pPr>
        <w:spacing w:after="0" w:line="31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1" w:right="560"/>
        <w:spacing w:after="0" w:line="230" w:lineRule="auto"/>
        <w:rPr>
          <w:sz w:val="20"/>
          <w:szCs w:val="20"/>
          <w:color w:val="auto"/>
        </w:rPr>
      </w:pPr>
      <w:r>
        <w:rPr>
          <w:rFonts w:ascii="Arial" w:cs="Arial" w:eastAsia="Arial" w:hAnsi="Arial"/>
          <w:sz w:val="20"/>
          <w:szCs w:val="20"/>
          <w:color w:val="auto"/>
        </w:rPr>
        <w:t>To appeal a claim denial, the Eligible Officer should send a written appeal to the Administrator with any relevant materials in support of such person’s appeal within 60 days of receiving the denial of the claim. The Administrator will respond to the appeal in writing within 60 days. The 60-day period may be extended up to another 60 days if the Administrator determines that special circumstances require an extension of time, but if there is an extension, the Eligible Officer will be notified in writing before the original time period ends. If the appeal is denied, in whole or in part, the Administrator’s response will include: (i) the reason(s) for denial, (ii) references to any applicable Program provisions on which the denial is based, and (iii) a statement that the Eligible Officer is entitled to receive, upon request and free of charge, reasonable access to and copies of any information relevant to the claim.</w:t>
      </w:r>
    </w:p>
    <w:p>
      <w:pPr>
        <w:spacing w:after="0" w:line="176" w:lineRule="exact"/>
        <w:rPr>
          <w:sz w:val="20"/>
          <w:szCs w:val="20"/>
          <w:color w:val="auto"/>
        </w:rPr>
      </w:pPr>
    </w:p>
    <w:p>
      <w:pPr>
        <w:ind w:left="1" w:right="500"/>
        <w:spacing w:after="0" w:line="230" w:lineRule="auto"/>
        <w:rPr>
          <w:sz w:val="20"/>
          <w:szCs w:val="20"/>
          <w:color w:val="auto"/>
        </w:rPr>
      </w:pPr>
      <w:r>
        <w:rPr>
          <w:rFonts w:ascii="Arial" w:cs="Arial" w:eastAsia="Arial" w:hAnsi="Arial"/>
          <w:sz w:val="20"/>
          <w:szCs w:val="20"/>
          <w:color w:val="auto"/>
        </w:rPr>
        <w:t>No Eligible Officer shall be permitted to bring legal action, including a lawsuit, either in law or equity, until after such Eligible Officer has exhausted and complied with the claims and appeals provisions described above. If an Eligible Officer does not receive a response to such person’s claim or appeal within any of the applicable deadlines, such person’s request will be deemed denied and the Eligible Officer will be treated as having exhausted such person’s administrative remedies under the Program. An Eligible Officer may not bring legal action, including a lawsuit, either in law or equity, more than one year after a final decision is rendered on a claim. In order to raise an issue in any legal action related to the claim, an Eligible Officer must have clearly raised such issue during the claims and appeals procedure described above.</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6.12 Section 280G of the Code.</w:t>
      </w:r>
    </w:p>
    <w:p>
      <w:pPr>
        <w:spacing w:after="0" w:line="204" w:lineRule="exact"/>
        <w:rPr>
          <w:sz w:val="20"/>
          <w:szCs w:val="20"/>
          <w:color w:val="auto"/>
        </w:rPr>
      </w:pPr>
    </w:p>
    <w:p>
      <w:pPr>
        <w:ind w:left="1" w:right="460"/>
        <w:spacing w:after="0"/>
        <w:rPr>
          <w:sz w:val="20"/>
          <w:szCs w:val="20"/>
          <w:color w:val="auto"/>
        </w:rPr>
      </w:pPr>
      <w:r>
        <w:rPr>
          <w:rFonts w:ascii="Arial" w:cs="Arial" w:eastAsia="Arial" w:hAnsi="Arial"/>
          <w:sz w:val="19"/>
          <w:szCs w:val="19"/>
          <w:color w:val="555555"/>
        </w:rPr>
        <w:t xml:space="preserve">If </w:t>
      </w:r>
      <w:r>
        <w:rPr>
          <w:rFonts w:ascii="Arial" w:cs="Arial" w:eastAsia="Arial" w:hAnsi="Arial"/>
          <w:sz w:val="19"/>
          <w:szCs w:val="19"/>
          <w:color w:val="333333"/>
        </w:rPr>
        <w:t>any payment or benefit an Eligible Officer would receive pursuant to a Change in Control from the</w:t>
      </w:r>
      <w:r>
        <w:rPr>
          <w:rFonts w:ascii="Arial" w:cs="Arial" w:eastAsia="Arial" w:hAnsi="Arial"/>
          <w:sz w:val="19"/>
          <w:szCs w:val="19"/>
          <w:color w:val="555555"/>
        </w:rPr>
        <w:t xml:space="preserve"> </w:t>
      </w:r>
      <w:r>
        <w:rPr>
          <w:rFonts w:ascii="Arial" w:cs="Arial" w:eastAsia="Arial" w:hAnsi="Arial"/>
          <w:sz w:val="19"/>
          <w:szCs w:val="19"/>
          <w:color w:val="333333"/>
        </w:rPr>
        <w:t>Company or otherwise (“Payment”) would (i) constitute a “parachute payment” within the meaning of Code Section 280G, and (ii) but for this sentence, be subject to the excise tax imposed by Code Section 4999 (the “Excise Tax”), then the Company shall cause to be determined, before any amounts of the Payment are paid to such Eligible Officer, which of the following two amounts would maximize an Eligible Officer’s after-tax proceeds: (i) payment in full of the entire amount of the Payment (a “Full Payment”), or</w:t>
      </w:r>
    </w:p>
    <w:p>
      <w:pPr>
        <w:spacing w:after="0" w:line="3" w:lineRule="exact"/>
        <w:rPr>
          <w:sz w:val="20"/>
          <w:szCs w:val="20"/>
          <w:color w:val="auto"/>
        </w:rPr>
      </w:pPr>
    </w:p>
    <w:p>
      <w:pPr>
        <w:ind w:left="1" w:right="380" w:hanging="1"/>
        <w:spacing w:after="0" w:line="232" w:lineRule="auto"/>
        <w:tabs>
          <w:tab w:leader="none" w:pos="276" w:val="left"/>
        </w:tabs>
        <w:numPr>
          <w:ilvl w:val="0"/>
          <w:numId w:val="26"/>
        </w:numPr>
        <w:rPr>
          <w:rFonts w:ascii="Arial" w:cs="Arial" w:eastAsia="Arial" w:hAnsi="Arial"/>
          <w:sz w:val="20"/>
          <w:szCs w:val="20"/>
          <w:color w:val="333333"/>
        </w:rPr>
      </w:pPr>
      <w:r>
        <w:rPr>
          <w:rFonts w:ascii="Arial" w:cs="Arial" w:eastAsia="Arial" w:hAnsi="Arial"/>
          <w:sz w:val="20"/>
          <w:szCs w:val="20"/>
          <w:color w:val="333333"/>
        </w:rPr>
        <w:t>payment of only a part of the Payment so that the Eligible Officer receives the largest payment possible without the imposition of the Excise Tax (a “Reduced Payment”), whichever amount results in the Eligible Officer’s receipt, on an after-tax basis, of the greater amount of the Payment notwithstanding that all or some portion of the Payment may be subject to the Excise Tax.</w:t>
      </w:r>
    </w:p>
    <w:p>
      <w:pPr>
        <w:spacing w:after="0" w:line="173" w:lineRule="exact"/>
        <w:rPr>
          <w:sz w:val="20"/>
          <w:szCs w:val="20"/>
          <w:color w:val="auto"/>
        </w:rPr>
      </w:pPr>
    </w:p>
    <w:p>
      <w:pPr>
        <w:ind w:left="1" w:right="420"/>
        <w:spacing w:after="0" w:line="230" w:lineRule="auto"/>
        <w:rPr>
          <w:sz w:val="20"/>
          <w:szCs w:val="20"/>
          <w:color w:val="auto"/>
        </w:rPr>
      </w:pPr>
      <w:r>
        <w:rPr>
          <w:rFonts w:ascii="Arial" w:cs="Arial" w:eastAsia="Arial" w:hAnsi="Arial"/>
          <w:sz w:val="20"/>
          <w:szCs w:val="20"/>
          <w:color w:val="333333"/>
        </w:rPr>
        <w:t>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(i) the Payment shall be paid only to the extent permitted under the Reduced Payment alternative, and the Eligible Officer shall have no rights to any additional payments and/or benefits constituting the Payment, and (ii) reduction in payments and/or benefits shall occur in the following order: reduction of cash payments, cancellation of accelerated vesting of stock awards, and reduction of other benefits.</w:t>
      </w:r>
    </w:p>
    <w:p>
      <w:pPr>
        <w:spacing w:after="0" w:line="176" w:lineRule="exact"/>
        <w:rPr>
          <w:sz w:val="20"/>
          <w:szCs w:val="20"/>
          <w:color w:val="auto"/>
        </w:rPr>
      </w:pPr>
    </w:p>
    <w:p>
      <w:pPr>
        <w:ind w:left="1" w:right="460"/>
        <w:spacing w:after="0" w:line="231" w:lineRule="auto"/>
        <w:rPr>
          <w:sz w:val="20"/>
          <w:szCs w:val="20"/>
          <w:color w:val="auto"/>
        </w:rPr>
      </w:pPr>
      <w:r>
        <w:rPr>
          <w:rFonts w:ascii="Arial" w:cs="Arial" w:eastAsia="Arial" w:hAnsi="Arial"/>
          <w:sz w:val="20"/>
          <w:szCs w:val="20"/>
          <w:color w:val="333333"/>
        </w:rPr>
        <w:t>In the event that acceleration of compensation from an Eligible Officer’s equity awards is to be reduced, such acceleration of vesting shall be canceled in the reverse order of the date of grant unless the Eligible Officer elects in writing a different order for cancellation. The independent registered public accounting firm engaged by the Company for general audit purposes as of the day prior to the effective date of the Change in Control shall make all determinations required to be made under this Section 6.12. If the independent registered public accounting firm so engaged by the Company is serving as accountant or auditor for the individual, entity or group effecting the Change in Control, the Company shall appoint a different nationally recognized independent registered public accounting firm to make</w:t>
      </w: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476250</wp:posOffset>
            </wp:positionV>
            <wp:extent cx="588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1"/>
          </w:cols>
          <w:pgMar w:left="1319" w:top="680" w:right="9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right="380"/>
        <w:spacing w:after="0" w:line="229" w:lineRule="auto"/>
        <w:rPr>
          <w:sz w:val="20"/>
          <w:szCs w:val="20"/>
          <w:color w:val="auto"/>
        </w:rPr>
      </w:pPr>
      <w:r>
        <w:rPr>
          <w:rFonts w:ascii="Arial" w:cs="Arial" w:eastAsia="Arial" w:hAnsi="Arial"/>
          <w:sz w:val="20"/>
          <w:szCs w:val="20"/>
          <w:color w:val="333333"/>
        </w:rPr>
        <w:t>the determinations required hereunder. The Company shall bear all expenses with respect to the determinations by such independent registered public accounting firm required to be made hereunder. The independent registered public accounting firm engaged to make the determinations hereunder shall provide its calculations, together with detailed supporting documentation, to the Company and the Eligible Officer within 15 days after the date on which the Executive Officer’s right to a Payment is triggered (if requested at that time by the Company or the Eligible Officer) or at such other time as requested by the Company. If the independent registered public accounting firm determines that no Excise Tax is payable with respect to a Payment, either before or after the application of the Reduced Amount, it shall furnish the Company and the Eligible Officer with an opinion reasonably acceptable to the Eligible Officer that no Excise Tax will be imposed with respect to such Payment. Any good faith determinations of the accounting firm made hereunder shall be final, binding and conclusive upon the Company and the Eligible Officer.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6.12 Waiver</w:t>
      </w:r>
    </w:p>
    <w:p>
      <w:pPr>
        <w:spacing w:after="0" w:line="204" w:lineRule="exact"/>
        <w:rPr>
          <w:sz w:val="20"/>
          <w:szCs w:val="20"/>
          <w:color w:val="auto"/>
        </w:rPr>
      </w:pPr>
    </w:p>
    <w:p>
      <w:pPr>
        <w:jc w:val="both"/>
        <w:ind w:right="580"/>
        <w:spacing w:after="0" w:line="237" w:lineRule="auto"/>
        <w:rPr>
          <w:sz w:val="20"/>
          <w:szCs w:val="20"/>
          <w:color w:val="auto"/>
        </w:rPr>
      </w:pPr>
      <w:r>
        <w:rPr>
          <w:rFonts w:ascii="Arial" w:cs="Arial" w:eastAsia="Arial" w:hAnsi="Arial"/>
          <w:sz w:val="20"/>
          <w:szCs w:val="20"/>
          <w:color w:val="auto"/>
        </w:rPr>
        <w:t>Failure to insist upon strict compliance with any term or condition of the Program shall not be deemed a waiver of such term or condition. The waiver of a breach of any term or condition of the Program by any party shall not be deemed to constitute the waiver of any other breach of the same or any other term of condition.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6.13 Entire Agreement</w:t>
      </w:r>
    </w:p>
    <w:p>
      <w:pPr>
        <w:spacing w:after="0" w:line="204"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color w:val="auto"/>
        </w:rPr>
        <w:t>This Program contains the entire agreement and understanding with respect to the matters covered herein and supersedes all prior or contemporaneous negotiations, commitments, consents, agreements and writings with respect to matters covered by this Program. In case of a conflict between the terms of this Program and the provisions of the Omnibus Equity Plan, an award agreement or other agreement with the Company, the terms of this Program shall prevail.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6.14 Severability</w:t>
      </w:r>
    </w:p>
    <w:p>
      <w:pPr>
        <w:spacing w:after="0" w:line="204"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The provisions of the Program are severable, and if any provision(s) or any part of any provision(s) is held to be illegal, void or invalid under applicable law, such provision(s) may be changed to the extent reasonably necessary to make the provision(s), as so changed, legal, valid and binding, and to reflect the original intentions of the parties as nearly as possible in accordance with applicable law. The Program shall be construed according to its fair meaning and not strictly for or against either party.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6.15 Construction.</w:t>
      </w:r>
    </w:p>
    <w:p>
      <w:pPr>
        <w:spacing w:after="0" w:line="204" w:lineRule="exact"/>
        <w:rPr>
          <w:sz w:val="20"/>
          <w:szCs w:val="20"/>
          <w:color w:val="auto"/>
        </w:rPr>
      </w:pPr>
    </w:p>
    <w:p>
      <w:pPr>
        <w:ind w:right="720"/>
        <w:spacing w:after="0" w:line="257" w:lineRule="auto"/>
        <w:rPr>
          <w:sz w:val="20"/>
          <w:szCs w:val="20"/>
          <w:color w:val="auto"/>
        </w:rPr>
      </w:pPr>
      <w:r>
        <w:rPr>
          <w:rFonts w:ascii="Arial" w:cs="Arial" w:eastAsia="Arial" w:hAnsi="Arial"/>
          <w:sz w:val="20"/>
          <w:szCs w:val="20"/>
          <w:color w:val="auto"/>
        </w:rPr>
        <w:t>As used in the Program, the singular may include the plural, unless the context clearly indicates to the contrary.</w:t>
      </w:r>
    </w:p>
    <w:p>
      <w:pPr>
        <w:spacing w:after="0" w:line="200" w:lineRule="exact"/>
        <w:rPr>
          <w:sz w:val="20"/>
          <w:szCs w:val="20"/>
          <w:color w:val="auto"/>
        </w:rPr>
      </w:pPr>
    </w:p>
    <w:p>
      <w:pPr>
        <w:spacing w:after="0" w:line="293"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right="1180"/>
        <w:spacing w:after="0" w:line="257" w:lineRule="auto"/>
        <w:rPr>
          <w:sz w:val="20"/>
          <w:szCs w:val="20"/>
          <w:color w:val="auto"/>
        </w:rPr>
      </w:pPr>
      <w:r>
        <w:rPr>
          <w:rFonts w:ascii="Arial" w:cs="Arial" w:eastAsia="Arial" w:hAnsi="Arial"/>
          <w:sz w:val="20"/>
          <w:szCs w:val="20"/>
          <w:color w:val="auto"/>
        </w:rPr>
        <w:t>IN WITNESS WHEREOF, the undersigned has caused these presents to be executed by its duly authorized officer on the date indicated below.</w:t>
      </w:r>
    </w:p>
    <w:p>
      <w:pPr>
        <w:spacing w:after="0" w:line="36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LATHAM POOL PRODUCTS,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Nikki Vaughan Maczko</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Chief Human Resources Officer</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2"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u w:val="single" w:color="auto"/>
          <w:color w:val="auto"/>
        </w:rPr>
        <w:t>PROGRAM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Sponsor/Administrator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Latham Pool Products, Inc.</w:t>
      </w:r>
    </w:p>
    <w:p>
      <w:pPr>
        <w:spacing w:after="0" w:line="229" w:lineRule="auto"/>
        <w:rPr>
          <w:sz w:val="20"/>
          <w:szCs w:val="20"/>
          <w:color w:val="auto"/>
        </w:rPr>
      </w:pPr>
      <w:r>
        <w:rPr>
          <w:rFonts w:ascii="Arial" w:cs="Arial" w:eastAsia="Arial" w:hAnsi="Arial"/>
          <w:sz w:val="20"/>
          <w:szCs w:val="20"/>
          <w:color w:val="auto"/>
        </w:rPr>
        <w:t>787 Watervliet Shaker Road</w:t>
      </w:r>
    </w:p>
    <w:p>
      <w:pPr>
        <w:spacing w:after="0" w:line="226" w:lineRule="auto"/>
        <w:rPr>
          <w:sz w:val="20"/>
          <w:szCs w:val="20"/>
          <w:color w:val="auto"/>
        </w:rPr>
      </w:pPr>
      <w:r>
        <w:rPr>
          <w:rFonts w:ascii="Arial" w:cs="Arial" w:eastAsia="Arial" w:hAnsi="Arial"/>
          <w:sz w:val="20"/>
          <w:szCs w:val="20"/>
          <w:color w:val="auto"/>
        </w:rPr>
        <w:t>Latham, NY 12110</w:t>
      </w:r>
    </w:p>
    <w:p>
      <w:pPr>
        <w:spacing w:after="0"/>
        <w:rPr>
          <w:sz w:val="20"/>
          <w:szCs w:val="20"/>
          <w:color w:val="auto"/>
        </w:rPr>
      </w:pPr>
      <w:r>
        <w:rPr>
          <w:rFonts w:ascii="Arial" w:cs="Arial" w:eastAsia="Arial" w:hAnsi="Arial"/>
          <w:sz w:val="20"/>
          <w:szCs w:val="20"/>
          <w:color w:val="auto"/>
        </w:rPr>
        <w:t>518-951-1000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Name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Latham Pool Products, Inc. Officer Severance Program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Number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502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Sponsor’s Employer Identification Number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27-1694029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Agent for Service of Process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Latham Pool Products, Inc.</w:t>
      </w:r>
    </w:p>
    <w:p>
      <w:pPr>
        <w:spacing w:after="0" w:line="229" w:lineRule="auto"/>
        <w:rPr>
          <w:sz w:val="20"/>
          <w:szCs w:val="20"/>
          <w:color w:val="auto"/>
        </w:rPr>
      </w:pPr>
      <w:r>
        <w:rPr>
          <w:rFonts w:ascii="Arial" w:cs="Arial" w:eastAsia="Arial" w:hAnsi="Arial"/>
          <w:sz w:val="20"/>
          <w:szCs w:val="20"/>
          <w:color w:val="auto"/>
        </w:rPr>
        <w:t>787 Watervliet Shaker Road</w:t>
      </w:r>
    </w:p>
    <w:p>
      <w:pPr>
        <w:spacing w:after="0" w:line="226" w:lineRule="auto"/>
        <w:rPr>
          <w:sz w:val="20"/>
          <w:szCs w:val="20"/>
          <w:color w:val="auto"/>
        </w:rPr>
      </w:pPr>
      <w:r>
        <w:rPr>
          <w:rFonts w:ascii="Arial" w:cs="Arial" w:eastAsia="Arial" w:hAnsi="Arial"/>
          <w:sz w:val="20"/>
          <w:szCs w:val="20"/>
          <w:color w:val="auto"/>
        </w:rPr>
        <w:t>Latham, NY 12110</w:t>
      </w:r>
    </w:p>
    <w:p>
      <w:pPr>
        <w:spacing w:after="0"/>
        <w:rPr>
          <w:sz w:val="20"/>
          <w:szCs w:val="20"/>
          <w:color w:val="auto"/>
        </w:rPr>
      </w:pPr>
      <w:r>
        <w:rPr>
          <w:rFonts w:ascii="Arial" w:cs="Arial" w:eastAsia="Arial" w:hAnsi="Arial"/>
          <w:sz w:val="20"/>
          <w:szCs w:val="20"/>
          <w:color w:val="auto"/>
        </w:rPr>
        <w:t>518-951-1000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Funding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Funds for the Program are paid out of the general assets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Year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calendar year beginning January 1 and ending December 31.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Rights Under ERISA</w:t>
      </w:r>
    </w:p>
    <w:p>
      <w:pPr>
        <w:spacing w:after="0" w:line="204" w:lineRule="exact"/>
        <w:rPr>
          <w:sz w:val="20"/>
          <w:szCs w:val="20"/>
          <w:color w:val="auto"/>
        </w:rPr>
      </w:pPr>
    </w:p>
    <w:p>
      <w:pPr>
        <w:ind w:right="720"/>
        <w:spacing w:after="0" w:line="257" w:lineRule="auto"/>
        <w:rPr>
          <w:sz w:val="20"/>
          <w:szCs w:val="20"/>
          <w:color w:val="auto"/>
        </w:rPr>
      </w:pPr>
      <w:r>
        <w:rPr>
          <w:rFonts w:ascii="Arial" w:cs="Arial" w:eastAsia="Arial" w:hAnsi="Arial"/>
          <w:sz w:val="20"/>
          <w:szCs w:val="20"/>
          <w:color w:val="auto"/>
        </w:rPr>
        <w:t>As a participant in the Program, you are entitled to certain rights and protections under ERISA. ERISA provides that all plan participants shall be entitled to:</w:t>
      </w:r>
    </w:p>
    <w:p>
      <w:pPr>
        <w:spacing w:after="0" w:line="155" w:lineRule="exact"/>
        <w:rPr>
          <w:sz w:val="20"/>
          <w:szCs w:val="20"/>
          <w:color w:val="auto"/>
        </w:rPr>
      </w:pPr>
    </w:p>
    <w:p>
      <w:pPr>
        <w:ind w:left="800" w:right="480" w:hanging="342"/>
        <w:spacing w:after="0" w:line="252" w:lineRule="auto"/>
        <w:tabs>
          <w:tab w:leader="none" w:pos="8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Examine, without charge, at the Administrator’s office and at other specified locations, such as work sites, all documents governing the plan, including insurance contracts and a copy of the latest annual report (Form 5500 Series) filed by the plan with the U.S. Department of Labor and available at the Public Disclosure Room of the Employee Benefits Security Administration.</w:t>
      </w:r>
    </w:p>
    <w:p>
      <w:pPr>
        <w:spacing w:after="0" w:line="162" w:lineRule="exact"/>
        <w:rPr>
          <w:rFonts w:ascii="Arial" w:cs="Arial" w:eastAsia="Arial" w:hAnsi="Arial"/>
          <w:sz w:val="19"/>
          <w:szCs w:val="19"/>
          <w:color w:val="auto"/>
        </w:rPr>
      </w:pPr>
    </w:p>
    <w:p>
      <w:pPr>
        <w:ind w:left="800" w:right="500" w:hanging="342"/>
        <w:spacing w:after="0" w:line="237"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Obtain, upon written request to the Administrator, copies of documents governing the operation of the plan, including insurance contracts and copies of the latest annual report (Form 5500 Series) and an updated summary plan description. The Administrator may make a reasonable charge for the copies.</w:t>
      </w:r>
    </w:p>
    <w:p>
      <w:pPr>
        <w:spacing w:after="0" w:line="200" w:lineRule="exact"/>
        <w:rPr>
          <w:sz w:val="20"/>
          <w:szCs w:val="20"/>
          <w:color w:val="auto"/>
        </w:rPr>
      </w:pP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800" w:right="460" w:hanging="342"/>
        <w:spacing w:after="0" w:line="257"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Receive a summary of the plan’s annual financial report. The Administrator is required by law to furnish each participant with a copy of this summary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Prudent Actions by Plan Fiduciaries</w:t>
      </w:r>
    </w:p>
    <w:p>
      <w:pPr>
        <w:spacing w:after="0" w:line="204"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w:t>
      </w:r>
    </w:p>
    <w:p>
      <w:pPr>
        <w:spacing w:after="0" w:line="172"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No one, including your employer or any other person, may fire you or otherwise discriminate against you in any way to prevent you from obtaining a benefit or exercising your rights under ERISA.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Enforce Your Rights</w:t>
      </w:r>
    </w:p>
    <w:p>
      <w:pPr>
        <w:spacing w:after="0" w:line="204" w:lineRule="exact"/>
        <w:rPr>
          <w:sz w:val="20"/>
          <w:szCs w:val="20"/>
          <w:color w:val="auto"/>
        </w:rPr>
      </w:pPr>
    </w:p>
    <w:p>
      <w:pPr>
        <w:jc w:val="both"/>
        <w:ind w:right="700"/>
        <w:spacing w:after="0" w:line="241" w:lineRule="auto"/>
        <w:rPr>
          <w:sz w:val="20"/>
          <w:szCs w:val="20"/>
          <w:color w:val="auto"/>
        </w:rPr>
      </w:pPr>
      <w:r>
        <w:rPr>
          <w:rFonts w:ascii="Arial" w:cs="Arial" w:eastAsia="Arial" w:hAnsi="Arial"/>
          <w:sz w:val="20"/>
          <w:szCs w:val="20"/>
          <w:color w:val="auto"/>
        </w:rPr>
        <w:t>If your claim for a benefit is denied in whole or in part, you have a right to know why this was done, to obtain copies of documents relating to the decision without charge, and to appeal any denial, all within certain time schedules.</w:t>
      </w:r>
    </w:p>
    <w:p>
      <w:pPr>
        <w:spacing w:after="0" w:line="171"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Administrator to provide the materials and pay you up to $110 a day until you receive the materials, unless the materials were not sent because of reasons beyond the control of the Administrator.</w:t>
      </w:r>
    </w:p>
    <w:p>
      <w:pPr>
        <w:spacing w:after="0" w:line="175" w:lineRule="exact"/>
        <w:rPr>
          <w:sz w:val="20"/>
          <w:szCs w:val="20"/>
          <w:color w:val="auto"/>
        </w:rPr>
      </w:pPr>
    </w:p>
    <w:p>
      <w:pPr>
        <w:ind w:right="380"/>
        <w:spacing w:after="0" w:line="232" w:lineRule="auto"/>
        <w:rPr>
          <w:sz w:val="20"/>
          <w:szCs w:val="20"/>
          <w:color w:val="auto"/>
        </w:rPr>
      </w:pPr>
      <w:r>
        <w:rPr>
          <w:rFonts w:ascii="Arial" w:cs="Arial" w:eastAsia="Arial" w:hAnsi="Arial"/>
          <w:sz w:val="20"/>
          <w:szCs w:val="20"/>
          <w:color w:val="auto"/>
        </w:rPr>
        <w:t xml:space="preserve">If you have a claim for benefits that is denied or ignored, in whole or in part, you may file suit in a state or federal court, </w:t>
      </w:r>
      <w:r>
        <w:rPr>
          <w:rFonts w:ascii="Arial" w:cs="Arial" w:eastAsia="Arial" w:hAnsi="Arial"/>
          <w:sz w:val="20"/>
          <w:szCs w:val="20"/>
          <w:b w:val="1"/>
          <w:bCs w:val="1"/>
          <w:color w:val="auto"/>
        </w:rPr>
        <w:t>but only after you have exhausted the plan’s claims and appeals procedure.</w:t>
      </w:r>
      <w:r>
        <w:rPr>
          <w:rFonts w:ascii="Arial" w:cs="Arial" w:eastAsia="Arial" w:hAnsi="Arial"/>
          <w:sz w:val="20"/>
          <w:szCs w:val="20"/>
          <w:color w:val="auto"/>
        </w:rPr>
        <w:t xml:space="preserve"> If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party you have sued to pay these costs and fees. If you lose, the court may order you to pay these costs and fees (for example, if the court finds that your claim is frivolous).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Assistance With Your Questions</w:t>
      </w:r>
    </w:p>
    <w:p>
      <w:pPr>
        <w:spacing w:after="0" w:line="204" w:lineRule="exact"/>
        <w:rPr>
          <w:sz w:val="20"/>
          <w:szCs w:val="20"/>
          <w:color w:val="auto"/>
        </w:rPr>
      </w:pPr>
    </w:p>
    <w:p>
      <w:pPr>
        <w:ind w:right="600"/>
        <w:spacing w:after="0" w:line="237" w:lineRule="auto"/>
        <w:rPr>
          <w:sz w:val="20"/>
          <w:szCs w:val="20"/>
          <w:color w:val="auto"/>
        </w:rPr>
      </w:pPr>
      <w:r>
        <w:rPr>
          <w:rFonts w:ascii="Arial" w:cs="Arial" w:eastAsia="Arial" w:hAnsi="Arial"/>
          <w:sz w:val="20"/>
          <w:szCs w:val="20"/>
          <w:color w:val="auto"/>
        </w:rPr>
        <w:t>If you have any questions about the Program, you should contact the Administrator. If you have any questions about this statement or about your rights under ERISA, or if you need assistance in obtaining documents from the Administrator, you should contact the nearest office of the Employee Benefits Security Administration (EBSA), U.S. Department of Labor. The EBSA can be reached at: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Employee Benefits Security Administration</w:t>
      </w:r>
    </w:p>
    <w:p>
      <w:pPr>
        <w:spacing w:after="0" w:line="229" w:lineRule="auto"/>
        <w:rPr>
          <w:sz w:val="20"/>
          <w:szCs w:val="20"/>
          <w:color w:val="auto"/>
        </w:rPr>
      </w:pPr>
      <w:r>
        <w:rPr>
          <w:rFonts w:ascii="Arial" w:cs="Arial" w:eastAsia="Arial" w:hAnsi="Arial"/>
          <w:sz w:val="20"/>
          <w:szCs w:val="20"/>
          <w:color w:val="auto"/>
        </w:rPr>
        <w:t>U.S. Department of Labor, Public Disclosure Room, Suite N-1513</w:t>
      </w:r>
    </w:p>
    <w:p>
      <w:pPr>
        <w:spacing w:after="0" w:line="226" w:lineRule="auto"/>
        <w:rPr>
          <w:sz w:val="20"/>
          <w:szCs w:val="20"/>
          <w:color w:val="auto"/>
        </w:rPr>
      </w:pPr>
      <w:r>
        <w:rPr>
          <w:rFonts w:ascii="Arial" w:cs="Arial" w:eastAsia="Arial" w:hAnsi="Arial"/>
          <w:sz w:val="20"/>
          <w:szCs w:val="20"/>
          <w:color w:val="auto"/>
        </w:rPr>
        <w:t>200 Constitution Avenue N.W.</w:t>
      </w:r>
    </w:p>
    <w:p>
      <w:pPr>
        <w:spacing w:after="0" w:line="225" w:lineRule="auto"/>
        <w:rPr>
          <w:sz w:val="20"/>
          <w:szCs w:val="20"/>
          <w:color w:val="auto"/>
        </w:rPr>
      </w:pPr>
      <w:r>
        <w:rPr>
          <w:rFonts w:ascii="Arial" w:cs="Arial" w:eastAsia="Arial" w:hAnsi="Arial"/>
          <w:sz w:val="20"/>
          <w:szCs w:val="20"/>
          <w:color w:val="auto"/>
        </w:rPr>
        <w:t>Washington, D.C. 20210</w:t>
      </w:r>
    </w:p>
    <w:p>
      <w:pPr>
        <w:spacing w:after="0"/>
        <w:rPr>
          <w:sz w:val="20"/>
          <w:szCs w:val="20"/>
          <w:color w:val="auto"/>
        </w:rPr>
      </w:pPr>
      <w:r>
        <w:rPr>
          <w:rFonts w:ascii="Arial" w:cs="Arial" w:eastAsia="Arial" w:hAnsi="Arial"/>
          <w:sz w:val="20"/>
          <w:szCs w:val="20"/>
          <w:color w:val="auto"/>
        </w:rPr>
        <w:t>1-202-693-8673</w:t>
      </w:r>
    </w:p>
    <w:p>
      <w:pPr>
        <w:spacing w:after="0" w:line="184"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auto"/>
        </w:rPr>
        <w:t>You may also obtain certain publications about your rights and responsibilities under ERISA by calling the EBSA publications hotline.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476250</wp:posOffset>
            </wp:positionV>
            <wp:extent cx="5880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620"/>
          </w:cols>
          <w:pgMar w:left="1320" w:top="680" w:right="9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Separation Documents</w:t>
      </w:r>
    </w:p>
    <w:p>
      <w:pPr>
        <w:spacing w:after="0" w:line="200" w:lineRule="exact"/>
        <w:rPr>
          <w:sz w:val="20"/>
          <w:szCs w:val="20"/>
          <w:color w:val="auto"/>
        </w:rPr>
      </w:pPr>
    </w:p>
    <w:p>
      <w:pPr>
        <w:spacing w:after="0" w:line="34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476250</wp:posOffset>
            </wp:positionV>
            <wp:extent cx="5880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500"/>
          </w:cols>
          <w:pgMar w:left="1440" w:top="680" w:right="959" w:bottom="1440" w:gutter="0" w:footer="0" w:header="0"/>
        </w:sectPr>
      </w:pPr>
    </w:p>
    <w:bookmarkStart w:id="60" w:name="page61"/>
    <w:bookmarkEnd w:id="60"/>
    <w:p>
      <w:pPr>
        <w:ind w:left="768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OMNIBUS EQUITY INCENTIVE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NONQUALIFIED OPTION AWARD AGREEMENT</w:t>
      </w:r>
    </w:p>
    <w:p>
      <w:pPr>
        <w:spacing w:after="0" w:line="18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THIS NONQUALIFIED OPTION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[____], 20[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by and between Latham Group, Inc., a Delaware</w:t>
      </w:r>
    </w:p>
    <w:p>
      <w:pPr>
        <w:ind w:left="200"/>
        <w:spacing w:after="0" w:line="231" w:lineRule="auto"/>
        <w:rPr>
          <w:sz w:val="20"/>
          <w:szCs w:val="20"/>
          <w:color w:val="auto"/>
        </w:rPr>
      </w:pP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Capitalized terms used in this</w:t>
      </w: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Agreement and not otherwise defined herein have the meanings ascribed to such terms in the Latham Group, Inc. 2021 Omnibus Equity Incentive Plan, as amended, restated or otherwise modified from time to time in accordance with its terms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Plan, pursuant to which options to acquire shares of Common Stock may be granted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WHEREAS, the Committee has determined that it is in the best interests of the Company and its stockholders to grant the award provided for herein to the Participant on the terms and subject to the conditions set forth herein.</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6" w:lineRule="exact"/>
        <w:rPr>
          <w:sz w:val="20"/>
          <w:szCs w:val="20"/>
          <w:color w:val="auto"/>
        </w:rPr>
      </w:pPr>
    </w:p>
    <w:p>
      <w:pPr>
        <w:ind w:left="860" w:hanging="651"/>
        <w:spacing w:after="0"/>
        <w:tabs>
          <w:tab w:leader="none" w:pos="8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Option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hanging="643"/>
        <w:spacing w:after="0"/>
        <w:tabs>
          <w:tab w:leader="none" w:pos="15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an Option to purchase</w:t>
      </w:r>
    </w:p>
    <w:p>
      <w:pPr>
        <w:spacing w:after="0" w:line="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shares of Common Stock (such shares, the “</w:t>
      </w:r>
      <w:r>
        <w:rPr>
          <w:rFonts w:ascii="Times New Roman" w:cs="Times New Roman" w:eastAsia="Times New Roman" w:hAnsi="Times New Roman"/>
          <w:sz w:val="22"/>
          <w:szCs w:val="22"/>
          <w:u w:val="single" w:color="auto"/>
          <w:color w:val="auto"/>
        </w:rPr>
        <w:t>Option Shares</w:t>
      </w:r>
      <w:r>
        <w:rPr>
          <w:rFonts w:ascii="Times New Roman" w:cs="Times New Roman" w:eastAsia="Times New Roman" w:hAnsi="Times New Roman"/>
          <w:sz w:val="22"/>
          <w:szCs w:val="22"/>
          <w:color w:val="auto"/>
        </w:rPr>
        <w:t>”), on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-22860</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19"/>
        </w:trPr>
        <w:tc>
          <w:tcPr>
            <w:tcW w:w="9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subject to</w:t>
            </w:r>
          </w:p>
        </w:tc>
        <w:tc>
          <w:tcPr>
            <w:tcW w:w="770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2"/>
                <w:szCs w:val="22"/>
                <w:color w:val="auto"/>
              </w:rPr>
              <w:t>the conditions set forth in this Agreement and as otherwise provided in the Plan. The</w:t>
            </w: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Option is</w:t>
            </w:r>
          </w:p>
        </w:tc>
        <w:tc>
          <w:tcPr>
            <w:tcW w:w="77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not intended to qualify as an Incentive Stock Option. The Options shall vest in</w:t>
            </w:r>
          </w:p>
        </w:tc>
      </w:tr>
      <w:tr>
        <w:trPr>
          <w:trHeight w:val="230"/>
        </w:trPr>
        <w:tc>
          <w:tcPr>
            <w:tcW w:w="498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w w:val="98"/>
              </w:rPr>
              <w:t>accordance with Section 2. The Exercise Price shall be $[</w:t>
            </w:r>
          </w:p>
        </w:tc>
        <w:tc>
          <w:tcPr>
            <w:tcW w:w="420" w:type="dxa"/>
            <w:vAlign w:val="bottom"/>
            <w:tcBorders>
              <w:bottom w:val="single" w:sz="8" w:color="auto"/>
            </w:tcBorders>
          </w:tcPr>
          <w:p>
            <w:pPr>
              <w:spacing w:after="0"/>
              <w:rPr>
                <w:sz w:val="19"/>
                <w:szCs w:val="19"/>
                <w:color w:val="auto"/>
              </w:rPr>
            </w:pPr>
          </w:p>
        </w:tc>
        <w:tc>
          <w:tcPr>
            <w:tcW w:w="3200" w:type="dxa"/>
            <w:vAlign w:val="bottom"/>
          </w:tcPr>
          <w:p>
            <w:pPr>
              <w:jc w:val="right"/>
              <w:ind w:right="1412"/>
              <w:spacing w:after="0" w:line="230" w:lineRule="exact"/>
              <w:rPr>
                <w:sz w:val="20"/>
                <w:szCs w:val="20"/>
                <w:color w:val="auto"/>
              </w:rPr>
            </w:pPr>
            <w:r>
              <w:rPr>
                <w:rFonts w:ascii="Times New Roman" w:cs="Times New Roman" w:eastAsia="Times New Roman" w:hAnsi="Times New Roman"/>
                <w:sz w:val="22"/>
                <w:szCs w:val="22"/>
                <w:color w:val="auto"/>
                <w:w w:val="98"/>
              </w:rPr>
              <w:t>] per Option Share.</w:t>
            </w:r>
          </w:p>
        </w:tc>
      </w:tr>
    </w:tbl>
    <w:p>
      <w:pPr>
        <w:spacing w:after="0" w:line="216" w:lineRule="exact"/>
        <w:rPr>
          <w:sz w:val="20"/>
          <w:szCs w:val="20"/>
          <w:color w:val="auto"/>
        </w:rPr>
      </w:pPr>
    </w:p>
    <w:p>
      <w:pPr>
        <w:jc w:val="both"/>
        <w:ind w:left="200" w:right="219" w:firstLine="657"/>
        <w:spacing w:after="0" w:line="234" w:lineRule="auto"/>
        <w:tabs>
          <w:tab w:leader="none" w:pos="149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5" w:lineRule="exact"/>
        <w:rPr>
          <w:rFonts w:ascii="Times New Roman" w:cs="Times New Roman" w:eastAsia="Times New Roman" w:hAnsi="Times New Roman"/>
          <w:sz w:val="22"/>
          <w:szCs w:val="22"/>
          <w:color w:val="auto"/>
        </w:rPr>
      </w:pPr>
    </w:p>
    <w:p>
      <w:pPr>
        <w:jc w:val="both"/>
        <w:ind w:left="200" w:right="219" w:firstLine="9"/>
        <w:spacing w:after="0" w:line="256" w:lineRule="auto"/>
        <w:tabs>
          <w:tab w:leader="none" w:pos="848"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Except as may otherwise be provided herein, subject to the Participant’s continued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appointment as a director of, or engagement to provide services to, the Company or an Affiliate, the Options shall vest and become exercisable in equal installments on each of the first [●] anniversaries of the Date of Grant (each such date,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1" w:name="page62"/>
    <w:bookmarkEnd w:id="61"/>
    <w:p>
      <w:pPr>
        <w:ind w:left="200" w:right="219"/>
        <w:spacing w:after="0" w:line="282" w:lineRule="auto"/>
        <w:rPr>
          <w:sz w:val="20"/>
          <w:szCs w:val="20"/>
          <w:color w:val="auto"/>
        </w:rPr>
      </w:pPr>
      <w:r>
        <w:rPr>
          <w:rFonts w:ascii="Times New Roman" w:cs="Times New Roman" w:eastAsia="Times New Roman" w:hAnsi="Times New Roman"/>
          <w:sz w:val="21"/>
          <w:szCs w:val="21"/>
          <w:color w:val="auto"/>
        </w:rPr>
        <w:t>fractional Option Shares resulting from the application of the vesting schedule shall be aggregated and the Option Shares resulting from such aggregation shall vest on the final Vesting Date.</w:t>
      </w:r>
    </w:p>
    <w:p>
      <w:pPr>
        <w:spacing w:after="0" w:line="131" w:lineRule="exact"/>
        <w:rPr>
          <w:sz w:val="20"/>
          <w:szCs w:val="20"/>
          <w:color w:val="auto"/>
        </w:rPr>
      </w:pPr>
    </w:p>
    <w:p>
      <w:pPr>
        <w:ind w:left="860" w:hanging="651"/>
        <w:spacing w:after="0"/>
        <w:tabs>
          <w:tab w:leader="none" w:pos="8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or Services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Except as otherwise expressly set forth herein, if the Participant’s employment with, membership on the board of directors of, or engagement to provide services to, the Company and its Affiliates terminates for any reason, the unvested portion of the Option shall be canceled immediately and the Participant shall immediately forfeit without any consideration any rights to the Option Shares subject to such unvested portion. If the Participant’s employment with, membership on the board of directors of, or engagement to provide services to, the Company and its Affiliates terminates on account of such Participant’s Disability or death, then the unvested portion of the Option shall vest in full on the date of such Participant’s Disability or death, as applicable. If the Participant’s employment with or engagement to provide service to the Company and its Affiliates terminates on account of such Participant’s Retirement, then the unvested portion of the Option shall continue to vest in accordance with Section 2.</w:t>
      </w:r>
    </w:p>
    <w:p>
      <w:pPr>
        <w:spacing w:after="0" w:line="183" w:lineRule="exact"/>
        <w:rPr>
          <w:sz w:val="20"/>
          <w:szCs w:val="20"/>
          <w:color w:val="auto"/>
        </w:rPr>
      </w:pPr>
    </w:p>
    <w:p>
      <w:pPr>
        <w:ind w:left="860" w:hanging="651"/>
        <w:spacing w:after="0"/>
        <w:tabs>
          <w:tab w:leader="none" w:pos="8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all or any portion of the Option be exercisable after the tenth annual anniversary of the Date of Grant (such ten-year period, the “</w:t>
      </w:r>
      <w:r>
        <w:rPr>
          <w:rFonts w:ascii="Times New Roman" w:cs="Times New Roman" w:eastAsia="Times New Roman" w:hAnsi="Times New Roman"/>
          <w:sz w:val="22"/>
          <w:szCs w:val="22"/>
          <w:u w:val="single" w:color="auto"/>
          <w:color w:val="auto"/>
        </w:rPr>
        <w:t>Option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Option Period would expire at a time when trading in the shares of Common Stock is prohibited by the Company’s securities trading policy (or Company-imposed “blackout period”), the Option Period shall be automatically extended until the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the expiration of such prohibition (but not to the extent that any such extension would otherwise violate Section 409A of the Code).</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prior to the end of the Option Period, the Participant’s employment with, directorship with, or engagement to provide services to, the Company and all Affiliates is terminated without Cause or by the Participant for any reason, then the Option shall expire on the earlier of the last day of the Option Period or the date that is 90 days after the date of such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Participant’s employment, directorship or engagement to provide services to the Company and its Affiliates is terminated and the Participant is subsequently rehired, reappointed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 (b), the Option shall remain exercisable by the Participant until its expiration only to the extent that the Option was exercisable at the time of such termination.</w:t>
      </w:r>
    </w:p>
    <w:p>
      <w:pPr>
        <w:spacing w:after="0" w:line="184" w:lineRule="exact"/>
        <w:rPr>
          <w:rFonts w:ascii="Times New Roman" w:cs="Times New Roman" w:eastAsia="Times New Roman" w:hAnsi="Times New Roman"/>
          <w:sz w:val="22"/>
          <w:szCs w:val="22"/>
          <w:color w:val="auto"/>
        </w:rPr>
      </w:pPr>
    </w:p>
    <w:p>
      <w:pPr>
        <w:jc w:val="both"/>
        <w:ind w:left="200" w:right="219" w:firstLine="657"/>
        <w:spacing w:after="0" w:line="248" w:lineRule="auto"/>
        <w:tabs>
          <w:tab w:leader="none" w:pos="149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the Participant’s employment with, directorship with, or engagement to provide services to, the Company is terminated prior to the end of the Option Period on account of such Participant’s Disability, (ii) the Participant dies while still a director of, or still in the employ or engagement of the Company or an Affiliate, or (iii) the Participant dies following a termination described in subsection (b) above but prior to the expiration of an Option, the Option shall expire on the earlier of the last day of the Option Period or the date that is one year after the date of termination on account of Disability or death of the Participant, as applicable. In such event, the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2" w:name="page63"/>
    <w:bookmarkEnd w:id="6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Option shall remain exercisable by the Participant or Participant’s beneficiary, as applicable, until its expiration only to the extent that the Option was exercisable by the Participant at the time of such event.</w:t>
      </w:r>
    </w:p>
    <w:p>
      <w:pPr>
        <w:spacing w:after="0" w:line="173" w:lineRule="exact"/>
        <w:rPr>
          <w:sz w:val="20"/>
          <w:szCs w:val="20"/>
          <w:color w:val="auto"/>
        </w:rPr>
      </w:pPr>
    </w:p>
    <w:p>
      <w:pPr>
        <w:jc w:val="both"/>
        <w:ind w:left="200" w:right="219" w:firstLine="657"/>
        <w:spacing w:after="0" w:line="239" w:lineRule="auto"/>
        <w:tabs>
          <w:tab w:leader="none" w:pos="14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or a Subsidiary is terminated prior to the end of the Option Period on account of such Participant’s Retirement, the Option shall expire on the earlier of the last day of the Option Period or the date that is 90 days after the date of termination on account of Retirement of the Participant. For purposes of this Section 4(d):</w:t>
      </w:r>
    </w:p>
    <w:p>
      <w:pPr>
        <w:spacing w:after="0" w:line="180" w:lineRule="exact"/>
        <w:rPr>
          <w:rFonts w:ascii="Times New Roman" w:cs="Times New Roman" w:eastAsia="Times New Roman" w:hAnsi="Times New Roman"/>
          <w:sz w:val="22"/>
          <w:szCs w:val="22"/>
          <w:color w:val="auto"/>
        </w:rPr>
      </w:pPr>
    </w:p>
    <w:p>
      <w:pPr>
        <w:jc w:val="both"/>
        <w:ind w:left="2160" w:right="219" w:hanging="655"/>
        <w:spacing w:after="0" w:line="253" w:lineRule="auto"/>
        <w:tabs>
          <w:tab w:leader="none" w:pos="216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(i) the termination of the Participant’s employment with the Company or a Subsidiary was (a) voluntarily made by the Participant, or</w:t>
      </w:r>
    </w:p>
    <w:p>
      <w:pPr>
        <w:jc w:val="both"/>
        <w:ind w:left="21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mutually agreed upon by between the Participant and the Company, and, in each case, without Cause, as determined by the Committee, in its sole discretion, (ii) the Participant has provided a minimum of five Years of Service to the Company or a Subsidiary and attained a minimum age of 60, in each case, as of the date of such termination, and (iii) the Participant has provided six months advanced notice of such Participant’s consideration of retirement to the Company (or to the Board, if the Participant is subject to Section 16 of the Exchange Act), as determined by the Committee in its sole discretion.</w:t>
      </w:r>
    </w:p>
    <w:p>
      <w:pPr>
        <w:spacing w:after="0" w:line="178" w:lineRule="exact"/>
        <w:rPr>
          <w:sz w:val="20"/>
          <w:szCs w:val="20"/>
          <w:color w:val="auto"/>
        </w:rPr>
      </w:pPr>
    </w:p>
    <w:p>
      <w:pPr>
        <w:jc w:val="both"/>
        <w:ind w:left="2160" w:right="219" w:hanging="655"/>
        <w:spacing w:after="0" w:line="235" w:lineRule="auto"/>
        <w:tabs>
          <w:tab w:leader="none" w:pos="216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xml:space="preserve">” means a Participant’s total number of years of employment with the Company or a Subsidiary based on a period of employment beginning on the Participant’s date of hire by the Company or a Subsidiary and ending on the date of termination of the Participant’s employment with the Company or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Years of Services shall not include any period of a Participant’s employment with a Subsidiary or a business acquired by the Company prior to the date that such Subsidiary or business was acquired by the Company.</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ceases employment with or engagement to provide services to the Company or any Affiliates or is removed as a director due to a termination for Cause, the Option (whether vested or unvested) shall expire immediately upon such termination.</w:t>
      </w:r>
    </w:p>
    <w:p>
      <w:pPr>
        <w:spacing w:after="0" w:line="169" w:lineRule="exact"/>
        <w:rPr>
          <w:rFonts w:ascii="Times New Roman" w:cs="Times New Roman" w:eastAsia="Times New Roman" w:hAnsi="Times New Roman"/>
          <w:sz w:val="22"/>
          <w:szCs w:val="22"/>
          <w:color w:val="auto"/>
        </w:rPr>
      </w:pPr>
    </w:p>
    <w:p>
      <w:pPr>
        <w:jc w:val="both"/>
        <w:ind w:left="200" w:right="219" w:firstLine="9"/>
        <w:spacing w:after="0" w:line="245" w:lineRule="auto"/>
        <w:tabs>
          <w:tab w:leader="none" w:pos="848"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Method of Exercise and Form of Payment</w:t>
      </w:r>
      <w:r>
        <w:rPr>
          <w:rFonts w:ascii="Times New Roman" w:cs="Times New Roman" w:eastAsia="Times New Roman" w:hAnsi="Times New Roman"/>
          <w:sz w:val="21"/>
          <w:szCs w:val="21"/>
          <w:color w:val="auto"/>
        </w:rPr>
        <w:t>. No Option Shares shall be delivered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any exercise of the Option until payment in full to the Company of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 (i) in cash, check, cash equivalent and/or in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shares of Common Stock are not subject to any pledge or other security interest; or (ii) by such other method as the Committee may permit, including without limitation: (A) in other property having a Fair Market Value equal to the Exercise Price and all applicable required withholding taxes or (B) if there is a public market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3" w:name="page64"/>
    <w:bookmarkEnd w:id="63"/>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or (C) by means of a “net exercise” procedure effected by withholding the number of shares of Common Stock otherwise deliverable in respect of an Option that are needed to pay for the Exercise Price and all applicable required withholding taxes. Any fractional shares of Common Stock resulting from the application of this Section 5 shall be settled in cash.</w:t>
      </w:r>
    </w:p>
    <w:p>
      <w:pPr>
        <w:spacing w:after="0" w:line="168" w:lineRule="exact"/>
        <w:rPr>
          <w:sz w:val="20"/>
          <w:szCs w:val="20"/>
          <w:color w:val="auto"/>
        </w:rPr>
      </w:pPr>
    </w:p>
    <w:p>
      <w:pPr>
        <w:jc w:val="both"/>
        <w:ind w:left="200" w:right="219" w:firstLine="9"/>
        <w:spacing w:after="0" w:line="235" w:lineRule="auto"/>
        <w:tabs>
          <w:tab w:leader="none" w:pos="848"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a Stockholder</w:t>
      </w:r>
      <w:r>
        <w:rPr>
          <w:rFonts w:ascii="Times New Roman" w:cs="Times New Roman" w:eastAsia="Times New Roman" w:hAnsi="Times New Roman"/>
          <w:sz w:val="22"/>
          <w:szCs w:val="22"/>
          <w:color w:val="auto"/>
        </w:rPr>
        <w:t>. The Participant shall not be deemed for any purpose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 of any shares of Common Stock subject to this 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78"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Legal Requirements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2" w:lineRule="auto"/>
        <w:tabs>
          <w:tab w:leader="none" w:pos="14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Any exercise of the Option shall be subject to the Participant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 of Common Stock to be delivered to the Participant to satisfy the applicable withholding obligations. Such shares of Common Stock shall be sold on behalf of the Participant through the Company’s transfer agent on the facilities of the Nasdaq or through the facilities of any other exchange on which the Common Stock is listed at the time of such sale.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4" w:name="page65"/>
    <w:bookmarkEnd w:id="64"/>
    <w:p>
      <w:pPr>
        <w:jc w:val="both"/>
        <w:ind w:left="200" w:right="219" w:firstLine="9"/>
        <w:spacing w:after="0" w:line="232" w:lineRule="auto"/>
        <w:tabs>
          <w:tab w:leader="none" w:pos="848"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r>
        <w:rPr>
          <w:rFonts w:ascii="Times New Roman" w:cs="Times New Roman" w:eastAsia="Times New Roman" w:hAnsi="Times New Roman"/>
          <w:sz w:val="22"/>
          <w:szCs w:val="22"/>
          <w:color w:val="auto"/>
        </w:rPr>
        <w:t>. Notwithstanding anything to the contrary contained herein, the Committee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cancel the Option award if the Participant, without the consent of the Company, has engaged in or engages in activity that is in conflict with or adverse to the interest of the Company or any Affiliate while employed by, serving as a director of, or otherwise providing services to the Company or any Affiliate, including fraud or conduct contributing to any financial restatements or irregularities, or violates the covenants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exercise of the Option, the sale or other transfer of the Option, or the sale of shares of Common Stock acquired in respect of the Option, and must promptly repay such amounts to the Company. If the Participant receives any amount in excess of what the Participant should have received under the terms of the Option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Option shall be subject (including on a retroactive basis) to clawback, forfeiture or similar requirements (and such requirements shall be deemed incorporated by reference into this Agreement).</w:t>
      </w:r>
    </w:p>
    <w:p>
      <w:pPr>
        <w:spacing w:after="0" w:line="183"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9" w:lineRule="auto"/>
        <w:tabs>
          <w:tab w:leader="none" w:pos="149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incorporated herein and forms part of this Agreement.</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Participant violates any of the restrictive covenants referred to in this Section 9, in addition to any other remedy that may be available at law or in equity, the Option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6" w:lineRule="auto"/>
        <w:tabs>
          <w:tab w:leader="none" w:pos="149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Option may not be assigned, alienated, pledged, attached, sold or otherwise transferred or encumbered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by the Participant other than by will or by the laws of descent and distribution, pursuant to a qualified domestic relations order or as otherwise permitted under Section 14(b) of the Plan. Any attempted Transfer of the Option contrary to the provisions hereof, and the levy of any execution, attachment or similar process upon the Option, shall be null and void and without effect.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65" w:name="page66"/>
    <w:bookmarkEnd w:id="65"/>
    <w:p>
      <w:pPr>
        <w:jc w:val="both"/>
        <w:ind w:left="200" w:right="219" w:firstLine="657"/>
        <w:spacing w:after="0" w:line="239"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Lock-Up Agreement</w:t>
      </w:r>
      <w:r>
        <w:rPr>
          <w:rFonts w:ascii="Times New Roman" w:cs="Times New Roman" w:eastAsia="Times New Roman" w:hAnsi="Times New Roman"/>
          <w:sz w:val="22"/>
          <w:szCs w:val="22"/>
          <w:color w:val="auto"/>
        </w:rPr>
        <w:t xml:space="preserve">. Unless otherwise determined by the Board, Options and any shares of Common Stock acquired in respect of an Option will be subject to the lockup restrictions as set forth in Section 14(k) of the Plan and any additional restrictions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Option or the Option Shares will not be subject to interest and penalties under Section 409A.</w:t>
      </w:r>
    </w:p>
    <w:p>
      <w:pPr>
        <w:spacing w:after="0" w:line="184"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51" w:lineRule="auto"/>
        <w:tabs>
          <w:tab w:leader="none" w:pos="14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Employment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Directorship or Service</w:t>
      </w:r>
      <w:r>
        <w:rPr>
          <w:rFonts w:ascii="Times New Roman" w:cs="Times New Roman" w:eastAsia="Times New Roman" w:hAnsi="Times New Roman"/>
          <w:sz w:val="21"/>
          <w:szCs w:val="21"/>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68" w:lineRule="exact"/>
        <w:rPr>
          <w:rFonts w:ascii="Times New Roman" w:cs="Times New Roman" w:eastAsia="Times New Roman" w:hAnsi="Times New Roman"/>
          <w:sz w:val="21"/>
          <w:szCs w:val="21"/>
          <w:color w:val="auto"/>
        </w:rPr>
      </w:pPr>
    </w:p>
    <w:p>
      <w:pPr>
        <w:ind w:left="200" w:right="219" w:firstLine="657"/>
        <w:spacing w:after="0" w:line="282" w:lineRule="auto"/>
        <w:tabs>
          <w:tab w:leader="none" w:pos="14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Fractional Shares</w:t>
      </w:r>
      <w:r>
        <w:rPr>
          <w:rFonts w:ascii="Times New Roman" w:cs="Times New Roman" w:eastAsia="Times New Roman" w:hAnsi="Times New Roman"/>
          <w:sz w:val="21"/>
          <w:szCs w:val="21"/>
          <w:color w:val="auto"/>
        </w:rPr>
        <w:t>. In lieu of issuing a fraction of a share of Common Stock resulting from any exercise of the Option or an adjustment of the Option pursuant to Section 12 of the Plan</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6" w:name="page67"/>
    <w:bookmarkEnd w:id="66"/>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or otherwise, the Company shall be entitled to pay to the Participant an amount in cash equal to the Fair Market Value of such fractional share.</w:t>
      </w:r>
    </w:p>
    <w:p>
      <w:pPr>
        <w:spacing w:after="0" w:line="158" w:lineRule="exact"/>
        <w:rPr>
          <w:sz w:val="20"/>
          <w:szCs w:val="20"/>
          <w:color w:val="auto"/>
        </w:rPr>
      </w:pPr>
    </w:p>
    <w:p>
      <w:pPr>
        <w:jc w:val="both"/>
        <w:ind w:left="200" w:right="219" w:firstLine="657"/>
        <w:spacing w:after="0" w:line="244"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4"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 accordance with the terms of such agreement. No change, modification or waiver of any provision of this Agreement shall be valid unless the same be in writing and signed by the parties hereto, except for any changes permitted without consent under Section 12 or 13 of the Plan.</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3" w:lineRule="exact"/>
        <w:rPr>
          <w:rFonts w:ascii="Times New Roman" w:cs="Times New Roman" w:eastAsia="Times New Roman" w:hAnsi="Times New Roman"/>
          <w:sz w:val="21"/>
          <w:szCs w:val="21"/>
          <w:color w:val="auto"/>
        </w:rPr>
      </w:pPr>
    </w:p>
    <w:p>
      <w:pPr>
        <w:jc w:val="both"/>
        <w:ind w:left="200" w:right="219" w:firstLine="1305"/>
        <w:spacing w:after="0" w:line="249" w:lineRule="auto"/>
        <w:tabs>
          <w:tab w:leader="none" w:pos="214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7" w:name="page68"/>
    <w:bookmarkEnd w:id="6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that it and the other parties hereto have been induced to enter into this Agreement by, among other things, the mutual waivers and certifications in this section.</w:t>
      </w:r>
    </w:p>
    <w:p>
      <w:pPr>
        <w:spacing w:after="0" w:line="158" w:lineRule="exact"/>
        <w:rPr>
          <w:sz w:val="20"/>
          <w:szCs w:val="20"/>
          <w:color w:val="auto"/>
        </w:rPr>
      </w:pPr>
    </w:p>
    <w:p>
      <w:pPr>
        <w:jc w:val="both"/>
        <w:ind w:left="200" w:right="219" w:firstLine="657"/>
        <w:spacing w:after="0" w:line="244"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 and Delivery</w:t>
      </w:r>
      <w:r>
        <w:rPr>
          <w:rFonts w:ascii="Times New Roman" w:cs="Times New Roman" w:eastAsia="Times New Roman" w:hAnsi="Times New Roman"/>
          <w:sz w:val="22"/>
          <w:szCs w:val="22"/>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Participation in Plan</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8" w:name="page69"/>
    <w:bookmarkEnd w:id="68"/>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Nonqualified Option Award Agreement has been executed by the Company and the Participant as of the day first written above.</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______________________________</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w:t>
      </w: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40"/>
        <w:spacing w:after="0"/>
        <w:tabs>
          <w:tab w:leader="none" w:pos="47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w:t>
      </w:r>
      <w:r>
        <w:rPr>
          <w:sz w:val="20"/>
          <w:szCs w:val="20"/>
          <w:color w:val="auto"/>
        </w:rPr>
        <w:tab/>
      </w:r>
      <w:r>
        <w:rPr>
          <w:rFonts w:ascii="Times New Roman" w:cs="Times New Roman" w:eastAsia="Times New Roman" w:hAnsi="Times New Roman"/>
          <w:sz w:val="21"/>
          <w:szCs w:val="21"/>
          <w:i w:val="1"/>
          <w:iCs w:val="1"/>
          <w:color w:val="auto"/>
        </w:rPr>
        <w:t>] Option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-11430</wp:posOffset>
            </wp:positionV>
            <wp:extent cx="3683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jc w:val="both"/>
        <w:ind w:left="860" w:right="219" w:hanging="651"/>
        <w:spacing w:after="0" w:line="239" w:lineRule="auto"/>
        <w:tabs>
          <w:tab w:leader="none" w:pos="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Participant’s employment with, or other engagement to provide services to, the Company or any of its Affiliates and for a period of twenty-four (24) months thereafter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Participant shall not, either directly or indirectly, for himself or herself or on behalf of or in conjunction with any other Person:</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61" w:lineRule="auto"/>
        <w:tabs>
          <w:tab w:leader="none" w:pos="15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57" w:lineRule="exact"/>
        <w:rPr>
          <w:rFonts w:ascii="Times New Roman" w:cs="Times New Roman" w:eastAsia="Times New Roman" w:hAnsi="Times New Roman"/>
          <w:sz w:val="21"/>
          <w:szCs w:val="21"/>
          <w:color w:val="auto"/>
        </w:rPr>
      </w:pPr>
    </w:p>
    <w:p>
      <w:pPr>
        <w:jc w:val="both"/>
        <w:ind w:left="1500" w:right="219" w:hanging="643"/>
        <w:spacing w:after="0" w:line="236" w:lineRule="auto"/>
        <w:tabs>
          <w:tab w:leader="none" w:pos="1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year period preceding the termination of Participant’s employment.</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33" w:lineRule="auto"/>
        <w:tabs>
          <w:tab w:leader="none" w:pos="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84" w:lineRule="exact"/>
        <w:rPr>
          <w:rFonts w:ascii="Times New Roman" w:cs="Times New Roman" w:eastAsia="Times New Roman" w:hAnsi="Times New Roman"/>
          <w:sz w:val="22"/>
          <w:szCs w:val="22"/>
          <w:color w:val="auto"/>
        </w:rPr>
      </w:pPr>
    </w:p>
    <w:p>
      <w:pPr>
        <w:jc w:val="both"/>
        <w:ind w:left="860" w:right="219" w:hanging="651"/>
        <w:spacing w:after="0" w:line="244" w:lineRule="auto"/>
        <w:tabs>
          <w:tab w:leader="none" w:pos="8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70" w:name="page71"/>
    <w:bookmarkEnd w:id="70"/>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or on the Participant’s behalf or (y) information that the Participant can demonstrate to have had rightfully in the Participant’s possession prior to the date on which the Participant first provided services to any Latham Company.</w:t>
      </w:r>
    </w:p>
    <w:p>
      <w:pPr>
        <w:spacing w:after="0" w:line="173" w:lineRule="exact"/>
        <w:rPr>
          <w:sz w:val="20"/>
          <w:szCs w:val="20"/>
          <w:color w:val="auto"/>
        </w:rPr>
      </w:pPr>
    </w:p>
    <w:p>
      <w:pPr>
        <w:jc w:val="both"/>
        <w:ind w:left="860" w:right="239" w:hanging="651"/>
        <w:spacing w:after="0" w:line="238" w:lineRule="auto"/>
        <w:tabs>
          <w:tab w:leader="none" w:pos="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that all Work Product belongs to the Company. The Participant shall promptly disclose such Work Product to the Board and, at the Company’s expense, perform all actions reasonably requested by the Board (whether during or after the Participant’s employment) to establish and confirm such ownership, including executing any assignment, consents, powers of attorney and other instruments.</w:t>
      </w:r>
    </w:p>
    <w:p>
      <w:pPr>
        <w:spacing w:after="0" w:line="176" w:lineRule="exact"/>
        <w:rPr>
          <w:rFonts w:ascii="Times New Roman" w:cs="Times New Roman" w:eastAsia="Times New Roman" w:hAnsi="Times New Roman"/>
          <w:sz w:val="22"/>
          <w:szCs w:val="22"/>
          <w:color w:val="auto"/>
        </w:rPr>
      </w:pPr>
    </w:p>
    <w:p>
      <w:pPr>
        <w:jc w:val="both"/>
        <w:ind w:left="860" w:right="219" w:hanging="651"/>
        <w:spacing w:after="0" w:line="238" w:lineRule="auto"/>
        <w:tabs>
          <w:tab w:leader="none" w:pos="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17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vendor and product information; customer and prospective customer lists; pricing, cost, or profit factors; quality programs; annual budget and long-range business plans; marketing plans and methods; contracts and bids; and business ideas and methods, store concepts, inventions, innovations, developments, graphic designs, website designs, patterns, specifications, procedures, databases and personnel.</w:t>
      </w:r>
    </w:p>
    <w:p>
      <w:pPr>
        <w:spacing w:after="0" w:line="184"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Latham Companies</w:t>
      </w:r>
      <w:r>
        <w:rPr>
          <w:rFonts w:ascii="Times New Roman" w:cs="Times New Roman" w:eastAsia="Times New Roman" w:hAnsi="Times New Roman"/>
          <w:sz w:val="22"/>
          <w:szCs w:val="22"/>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w:t>
      </w:r>
      <w:r>
        <w:rPr>
          <w:rFonts w:ascii="Times New Roman" w:cs="Times New Roman" w:eastAsia="Times New Roman" w:hAnsi="Times New Roman"/>
          <w:sz w:val="22"/>
          <w:szCs w:val="22"/>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1" w:name="page72"/>
    <w:bookmarkEnd w:id="71"/>
    <w:p>
      <w:pPr>
        <w:jc w:val="both"/>
        <w:ind w:left="1500" w:right="219" w:hanging="643"/>
        <w:spacing w:after="0" w:line="235" w:lineRule="auto"/>
        <w:tabs>
          <w:tab w:leader="none" w:pos="150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means all inventions, innovations, improvements, developments, methods, designs, analyses, drawings, reports, patents, copyrights, intellectual property applications (including any grant or rights issuing therefrom) and all similar or related information (whether or not patentable) which relate to the actual or reasonably anticipated business, research and development or existing or future products or services of the Company or any of its Affiliates and which are conceived, developed or made by the Participant while employed.</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47" w:lineRule="auto"/>
        <w:tabs>
          <w:tab w:leader="none" w:pos="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Restricted Period, the Participant will not communicate the contents of this Agreement to any person, firm, association, partnership, corporation or other entity which the Participant intends to be employed by, associated with, or represent and which is engaged in a business that is competitive to the Company or any of its Affiliates. Prior to accepting any offer of employment during the Restricted Period, the Participant shall inform such employers of all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within two (2) business days of accepting an offer of employment with another employer, shall notify the Company of the name and address of the new employer and the title of the position accepted.</w:t>
      </w:r>
    </w:p>
    <w:p>
      <w:pPr>
        <w:spacing w:after="0" w:line="171"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are severable and separate, and the unenforceability of any specific covenant shall not affect the provisions of any other covenant. If any provision of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70" w:lineRule="exact"/>
        <w:rPr>
          <w:rFonts w:ascii="Times New Roman" w:cs="Times New Roman" w:eastAsia="Times New Roman" w:hAnsi="Times New Roman"/>
          <w:sz w:val="21"/>
          <w:szCs w:val="21"/>
          <w:color w:val="auto"/>
        </w:rPr>
      </w:pPr>
    </w:p>
    <w:p>
      <w:pPr>
        <w:jc w:val="both"/>
        <w:ind w:left="860" w:right="219" w:hanging="651"/>
        <w:spacing w:after="0" w:line="235"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acknowledges and agrees that the remedy at law available to the Company for breach of any of Participant’s obligations under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would be inadequate. The Participant therefore agrees that, in addition to any other rights or remedies that the Company may have at law or in equity, temporary and permanent injunctive relief may be granted in any proceeding which may be brought to enforce any provision contained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without the necessity of proof of actual damage and without the posting of a bond.</w:t>
      </w:r>
    </w:p>
    <w:p>
      <w:pPr>
        <w:spacing w:after="0" w:line="183" w:lineRule="exact"/>
        <w:rPr>
          <w:rFonts w:ascii="Times New Roman" w:cs="Times New Roman" w:eastAsia="Times New Roman" w:hAnsi="Times New Roman"/>
          <w:sz w:val="22"/>
          <w:szCs w:val="22"/>
          <w:color w:val="auto"/>
        </w:rPr>
      </w:pPr>
    </w:p>
    <w:p>
      <w:pPr>
        <w:jc w:val="both"/>
        <w:ind w:left="860" w:right="239" w:hanging="651"/>
        <w:spacing w:after="0" w:line="239"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it is judicially determined that the Participant has violated any of the Participant’s obligations under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then the period applicable to each obligation that the Participant shall have been determined to have violated shall automatically be extended by a period of time equal in length to the period during which such violation(s) occurred.</w:t>
      </w:r>
    </w:p>
    <w:p>
      <w:pPr>
        <w:spacing w:after="0" w:line="180" w:lineRule="exact"/>
        <w:rPr>
          <w:rFonts w:ascii="Times New Roman" w:cs="Times New Roman" w:eastAsia="Times New Roman" w:hAnsi="Times New Roman"/>
          <w:sz w:val="22"/>
          <w:szCs w:val="22"/>
          <w:color w:val="auto"/>
        </w:rPr>
      </w:pPr>
    </w:p>
    <w:p>
      <w:pPr>
        <w:jc w:val="both"/>
        <w:ind w:left="860" w:right="219" w:hanging="651"/>
        <w:spacing w:after="0" w:line="238"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as an agreement independent of any other provisions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existence of any claim or cause of action the Participant may have against any Latham Company, whether predicated on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otherwise, shall not constitute a defense to the enforcement by any Latham Company of such covenants.</w:t>
      </w:r>
    </w:p>
    <w:p>
      <w:pPr>
        <w:spacing w:after="0" w:line="176" w:lineRule="exact"/>
        <w:rPr>
          <w:rFonts w:ascii="Times New Roman" w:cs="Times New Roman" w:eastAsia="Times New Roman" w:hAnsi="Times New Roman"/>
          <w:sz w:val="22"/>
          <w:szCs w:val="22"/>
          <w:color w:val="auto"/>
        </w:rPr>
      </w:pPr>
    </w:p>
    <w:p>
      <w:pPr>
        <w:ind w:left="860" w:right="239" w:hanging="651"/>
        <w:spacing w:after="0" w:line="258" w:lineRule="auto"/>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and interpreted in accordance with the laws of the State of Delaware, without regard to principles of conflicts of laws thereof, or principles of</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2" w:name="page73"/>
    <w:bookmarkEnd w:id="72"/>
    <w:p>
      <w:pPr>
        <w:ind w:left="860" w:right="239"/>
        <w:spacing w:after="0" w:line="258" w:lineRule="auto"/>
        <w:rPr>
          <w:sz w:val="20"/>
          <w:szCs w:val="20"/>
          <w:color w:val="auto"/>
        </w:rPr>
      </w:pPr>
      <w:r>
        <w:rPr>
          <w:rFonts w:ascii="Times New Roman" w:cs="Times New Roman" w:eastAsia="Times New Roman" w:hAnsi="Times New Roman"/>
          <w:sz w:val="22"/>
          <w:szCs w:val="22"/>
          <w:color w:val="auto"/>
        </w:rPr>
        <w:t>conflicts of laws of any other jurisdiction that could cause the application of the laws of any jurisdiction other than the State of Delaware.</w:t>
      </w:r>
    </w:p>
    <w:p>
      <w:pPr>
        <w:spacing w:after="0" w:line="158" w:lineRule="exact"/>
        <w:rPr>
          <w:sz w:val="20"/>
          <w:szCs w:val="20"/>
          <w:color w:val="auto"/>
        </w:rPr>
      </w:pPr>
    </w:p>
    <w:p>
      <w:pPr>
        <w:jc w:val="both"/>
        <w:ind w:left="1500" w:right="219" w:hanging="643"/>
        <w:spacing w:after="0" w:line="233" w:lineRule="auto"/>
        <w:tabs>
          <w:tab w:leader="none" w:pos="15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disputes between or among any Persons arising out of or in any way connected with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waives, to the fullest extent permitted by applicable law, any right it may have to a trial by jury in any legal proceeding directly or indirectly arising out of or relating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38" w:lineRule="auto"/>
        <w:tabs>
          <w:tab w:leader="none" w:pos="8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has carefully read and considered the provisions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having done so, agrees that the restrictive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Insert any additional lock up restrictions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61207384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74" w:name="page75"/>
    <w:bookmarkEnd w:id="7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OMNIBUS EQUITY INCENTIVE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STOCK UNIT AWARD AGREEMENT</w:t>
      </w:r>
    </w:p>
    <w:p>
      <w:pPr>
        <w:spacing w:after="0" w:line="18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THIS PERFORMANCE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[_______ __], 202[__]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by and between Latham Group,</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Plan, pursuant to which restricted stock units subject to a Performance Condition (“</w:t>
      </w:r>
      <w:r>
        <w:rPr>
          <w:rFonts w:ascii="Times New Roman" w:cs="Times New Roman" w:eastAsia="Times New Roman" w:hAnsi="Times New Roman"/>
          <w:sz w:val="22"/>
          <w:szCs w:val="22"/>
          <w:u w:val="single" w:color="auto"/>
          <w:color w:val="auto"/>
        </w:rPr>
        <w:t>Performance Stock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may be granted; and</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WHEREAS, the Committee has determined that it is in the best interests of the Company and its stockholders to grant the PSUs provided for herein to the Participant on the terms and subject to the conditions set forth herein; and</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6" w:lineRule="exact"/>
        <w:rPr>
          <w:sz w:val="20"/>
          <w:szCs w:val="20"/>
          <w:color w:val="auto"/>
        </w:rPr>
      </w:pPr>
    </w:p>
    <w:p>
      <w:pPr>
        <w:ind w:left="860" w:hanging="651"/>
        <w:spacing w:after="0"/>
        <w:tabs>
          <w:tab w:leader="none" w:pos="8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Performance Stock Units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39" w:hanging="643"/>
        <w:spacing w:after="0" w:line="238" w:lineRule="auto"/>
        <w:tabs>
          <w:tab w:leader="none" w:pos="15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 total of [_____] PSUs, on the terms and subject to the conditions set forth in this Agreement and as otherwise provided in the Plan. The PSUs shall vest in accordance with Section 2. The PSUs shall be credited to a separate book-entry account maintained for the Participant on the books of the Company.</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1216660</wp:posOffset>
            </wp:positionV>
            <wp:extent cx="5452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ind w:left="860" w:hanging="651"/>
        <w:spacing w:after="0"/>
        <w:tabs>
          <w:tab w:leader="none" w:pos="8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Date; Vesting; Settlement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4" w:lineRule="auto"/>
        <w:tabs>
          <w:tab w:leader="none" w:pos="15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xml:space="preserve">. Whether and the extent to which the PSUs are earned with respect to a specific performance goal shall be determined by the Committee within 45 days following the calculation of the achievement of such performance goal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(based on the methodology set forth therein and in the Plan), such calculation to be finalized as appropriate by the Chief Financial Officer (or person having similar duties) using, if applicable, the financial results audited by the Company’s independent registered public accounting firm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xml:space="preserve">”); provided, that the Committee may establish a different Determination Date for each performance goal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Except as otherwise provided in this Agreement, the earned PSUs shall become vested on the later of the Determination Date or the third anniversary of the Date of Grant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if the Participant remains continuously employed on a full-time basis (or, in the case of a consultant, continuously engaged to provide services) with the Company or its Subsidiaries from the Date of Grant until the Vesting Date. Upon vesting, the PSUs shall no longer be subject to the transfer restrictions pursuant to Section 14(b) of the Plan or cancellation pursuant to Section 4 hereof.</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55" w:lineRule="auto"/>
        <w:tabs>
          <w:tab w:leader="none" w:pos="150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PSU shall be settled within 10 days following the Vesting Date in shares of Common Stock. The Company shall issue or deliver to the Participant in book entry notation or, if applicable, stock certificate form, the number of shares of Common Stock the Participant is entitled to receive under the terms of this Agreement.</w:t>
      </w:r>
    </w:p>
    <w:p>
      <w:pPr>
        <w:spacing w:after="0" w:line="157" w:lineRule="exact"/>
        <w:rPr>
          <w:rFonts w:ascii="Times New Roman" w:cs="Times New Roman" w:eastAsia="Times New Roman" w:hAnsi="Times New Roman"/>
          <w:sz w:val="21"/>
          <w:szCs w:val="21"/>
          <w:color w:val="auto"/>
        </w:rPr>
      </w:pPr>
    </w:p>
    <w:p>
      <w:pPr>
        <w:jc w:val="both"/>
        <w:ind w:left="860" w:right="219" w:hanging="651"/>
        <w:spacing w:after="0" w:line="247" w:lineRule="auto"/>
        <w:tabs>
          <w:tab w:leader="none" w:pos="860"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In the event of any issuance of a cash dividend on the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(a “</w:t>
      </w:r>
      <w:r>
        <w:rPr>
          <w:rFonts w:ascii="Times New Roman" w:cs="Times New Roman" w:eastAsia="Times New Roman" w:hAnsi="Times New Roman"/>
          <w:sz w:val="21"/>
          <w:szCs w:val="21"/>
          <w:u w:val="single" w:color="auto"/>
          <w:color w:val="auto"/>
        </w:rPr>
        <w:t>Dividend</w:t>
      </w:r>
      <w:r>
        <w:rPr>
          <w:rFonts w:ascii="Times New Roman" w:cs="Times New Roman" w:eastAsia="Times New Roman" w:hAnsi="Times New Roman"/>
          <w:sz w:val="21"/>
          <w:szCs w:val="21"/>
          <w:color w:val="auto"/>
        </w:rPr>
        <w:t>”), the Participant shall be credited, as of the payment date for such Dividend, with an additional number of PSUs (each, an “</w:t>
      </w:r>
      <w:r>
        <w:rPr>
          <w:rFonts w:ascii="Times New Roman" w:cs="Times New Roman" w:eastAsia="Times New Roman" w:hAnsi="Times New Roman"/>
          <w:sz w:val="21"/>
          <w:szCs w:val="21"/>
          <w:u w:val="single" w:color="auto"/>
          <w:color w:val="auto"/>
        </w:rPr>
        <w:t>Additional PSU</w:t>
      </w:r>
      <w:r>
        <w:rPr>
          <w:rFonts w:ascii="Times New Roman" w:cs="Times New Roman" w:eastAsia="Times New Roman" w:hAnsi="Times New Roman"/>
          <w:sz w:val="21"/>
          <w:szCs w:val="21"/>
          <w:color w:val="auto"/>
        </w:rPr>
        <w:t>”) equal to the quotient obtained by dividing (x) the product of (i) the number of PSUs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PSU shall be treated as a PSU granted hereunder and shall be subject to all terms and conditions set forth in this Agreement and the Plan.</w:t>
      </w:r>
    </w:p>
    <w:p>
      <w:pPr>
        <w:spacing w:after="0" w:line="166" w:lineRule="exact"/>
        <w:rPr>
          <w:rFonts w:ascii="Times New Roman" w:cs="Times New Roman" w:eastAsia="Times New Roman" w:hAnsi="Times New Roman"/>
          <w:sz w:val="21"/>
          <w:szCs w:val="21"/>
          <w:b w:val="1"/>
          <w:bCs w:val="1"/>
          <w:color w:val="auto"/>
        </w:rPr>
      </w:pPr>
    </w:p>
    <w:p>
      <w:pPr>
        <w:ind w:left="860" w:hanging="651"/>
        <w:spacing w:after="0"/>
        <w:tabs>
          <w:tab w:leader="none" w:pos="8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or Services.</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9" w:lineRule="auto"/>
        <w:tabs>
          <w:tab w:leader="none" w:pos="15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set forth herein, if the Participant’s employment with, or engagement to provide services to, the Company and its Affiliates terminates for any reason, all unvested PSUs shall be canceled immediately and the Participant shall not be entitled to receive any payments with respect thereto.</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Participant’s employment with, or engagement to provide services to, the Company is terminated prior to the Vesting Date of the PSUs subject to this Agreement on account of such Participant’s Disability, or (ii) the Participant dies</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6" w:name="page77"/>
    <w:bookmarkEnd w:id="76"/>
    <w:p>
      <w:pPr>
        <w:jc w:val="both"/>
        <w:ind w:left="1500" w:right="219"/>
        <w:spacing w:after="0" w:line="238" w:lineRule="auto"/>
        <w:rPr>
          <w:sz w:val="20"/>
          <w:szCs w:val="20"/>
          <w:color w:val="auto"/>
        </w:rPr>
      </w:pPr>
      <w:r>
        <w:rPr>
          <w:rFonts w:ascii="Times New Roman" w:cs="Times New Roman" w:eastAsia="Times New Roman" w:hAnsi="Times New Roman"/>
          <w:sz w:val="22"/>
          <w:szCs w:val="22"/>
          <w:color w:val="auto"/>
        </w:rPr>
        <w:t>while still in the employ or engagement of the Company or an Affiliate prior to the Vesting Date of the PSUs subject to this Agreement, then all earned (as determined by the Committee, in its sole discretion) but unvested PSUs subject to this Agreement shall vest in full on the date of the Participant’s Disability or death, as applicable.</w:t>
      </w:r>
    </w:p>
    <w:p>
      <w:pPr>
        <w:spacing w:after="0" w:line="177" w:lineRule="exact"/>
        <w:rPr>
          <w:sz w:val="20"/>
          <w:szCs w:val="20"/>
          <w:color w:val="auto"/>
        </w:rPr>
      </w:pPr>
    </w:p>
    <w:p>
      <w:pPr>
        <w:jc w:val="both"/>
        <w:ind w:left="1500" w:right="219" w:hanging="643"/>
        <w:spacing w:after="0" w:line="235"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or a Subsidiary is terminated prior to the Vesting Date of the PSUs subject to this Agreement on account of such Participant’s Retirement, then all earned (as determined by the Committee, in its sole discretion) but unvested PSUs subject to this Agreement shall remain outstanding on the date of the Participant’s Retirement, and remain subject to the procedures for vesting and settlement as described in Section 2 above. For purposes of this Section 4(c):</w:t>
      </w:r>
    </w:p>
    <w:p>
      <w:pPr>
        <w:spacing w:after="0" w:line="183" w:lineRule="exact"/>
        <w:rPr>
          <w:rFonts w:ascii="Times New Roman" w:cs="Times New Roman" w:eastAsia="Times New Roman" w:hAnsi="Times New Roman"/>
          <w:sz w:val="22"/>
          <w:szCs w:val="22"/>
          <w:color w:val="auto"/>
        </w:rPr>
      </w:pPr>
    </w:p>
    <w:p>
      <w:pPr>
        <w:jc w:val="both"/>
        <w:ind w:left="2160" w:right="219" w:hanging="655"/>
        <w:spacing w:after="0" w:line="253" w:lineRule="auto"/>
        <w:tabs>
          <w:tab w:leader="none" w:pos="216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(i) the termination of the Participant’s employment with the Company or a Subsidiary was (a) voluntarily made by the Participant, or</w:t>
      </w:r>
    </w:p>
    <w:p>
      <w:pPr>
        <w:jc w:val="both"/>
        <w:ind w:left="21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mutually agreed upon by between the Participant and the Company, and, in each case, without Cause, as determined by the Committee, in its sole discretion, (ii) the Participant has provided a minimum of five Years of Service to the Company or a Subsidiary and attained a minimum age of 60, in each case, as of the date of such termination, and (iii) the Participant has provided six months advanced notice of such Participant’s consideration of retirement to the Company (or to the Board, if the Participant is subject to Section 16 of the Exchange Act), as determined by the Committee in its sole discretion.</w:t>
      </w:r>
    </w:p>
    <w:p>
      <w:pPr>
        <w:spacing w:after="0" w:line="178" w:lineRule="exact"/>
        <w:rPr>
          <w:sz w:val="20"/>
          <w:szCs w:val="20"/>
          <w:color w:val="auto"/>
        </w:rPr>
      </w:pPr>
    </w:p>
    <w:p>
      <w:pPr>
        <w:jc w:val="both"/>
        <w:ind w:left="2160" w:right="219" w:hanging="655"/>
        <w:spacing w:after="0" w:line="235" w:lineRule="auto"/>
        <w:tabs>
          <w:tab w:leader="none" w:pos="21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xml:space="preserve">” means a Participant’s total number of years of employment with the Company or a Subsidiary based on a period of employment beginning on the Participant’s date of hire by the Company or a Subsidiary and ending on the date of termination of the Participant’s employment with the Company or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Years of Services shall not include any period of a Participant’s employment with a Subsidiary or a business acquired by the Company prior to the date that such Subsidiary or business was acquired by the Company.</w:t>
      </w:r>
    </w:p>
    <w:p>
      <w:pPr>
        <w:spacing w:after="0" w:line="174" w:lineRule="exact"/>
        <w:rPr>
          <w:rFonts w:ascii="Times New Roman" w:cs="Times New Roman" w:eastAsia="Times New Roman" w:hAnsi="Times New Roman"/>
          <w:sz w:val="22"/>
          <w:szCs w:val="22"/>
          <w:color w:val="auto"/>
        </w:rPr>
      </w:pPr>
    </w:p>
    <w:p>
      <w:pPr>
        <w:jc w:val="both"/>
        <w:ind w:left="860" w:right="219" w:hanging="651"/>
        <w:spacing w:after="0" w:line="235" w:lineRule="auto"/>
        <w:tabs>
          <w:tab w:leader="none" w:pos="8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Stockholder. </w:t>
      </w:r>
      <w:r>
        <w:rPr>
          <w:rFonts w:ascii="Times New Roman" w:cs="Times New Roman" w:eastAsia="Times New Roman" w:hAnsi="Times New Roman"/>
          <w:sz w:val="22"/>
          <w:szCs w:val="22"/>
          <w:color w:val="auto"/>
        </w:rPr>
        <w:t>The Participant shall not be deemed for any purpose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 of any shares of Common Stock underlying the PSUs unless, until and to the extent that (i) the Company shall have issued and delivered to the Participant the shares of Common Stock underlying the PSUs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7" w:name="page78"/>
    <w:bookmarkEnd w:id="77"/>
    <w:p>
      <w:pPr>
        <w:ind w:left="860" w:hanging="651"/>
        <w:spacing w:after="0"/>
        <w:tabs>
          <w:tab w:leader="none" w:pos="8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Legal Requirements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5" w:lineRule="auto"/>
        <w:tabs>
          <w:tab w:leader="none" w:pos="15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granting and settlement of the PSUs,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vesting and settlement of the PSUs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PSUs, settlement of the PSUs or any payment or transfer of the PSUs, and to take any such other action as the Committee or the Company deem necessary to satisfy all obligations for the payment of such withholding taxes (up to the maximum permissible withholding amounts). In its sole discretion, the Company may permit the Participant to satisfy, in whole or in part, the tax obligations by withholding shares of Common Stock that would otherwise be deliverable to the Participant upon settlement of the PSUs with a Fair Market Value equal to such withholding liability.</w:t>
      </w:r>
    </w:p>
    <w:p>
      <w:pPr>
        <w:spacing w:after="0" w:line="174"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left="1500" w:right="219" w:hanging="643"/>
        <w:spacing w:after="0" w:line="258" w:lineRule="auto"/>
        <w:tabs>
          <w:tab w:leader="none" w:pos="15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Participants</w:t>
      </w:r>
      <w:r>
        <w:rPr>
          <w:rFonts w:ascii="Times New Roman" w:cs="Times New Roman" w:eastAsia="Times New Roman" w:hAnsi="Times New Roman"/>
          <w:sz w:val="22"/>
          <w:szCs w:val="22"/>
          <w:color w:val="auto"/>
        </w:rPr>
        <w:t>. Notwithstanding anything to the contrary contained herein, the Committee may cancel the PSU award, in whole or in part, if:</w:t>
      </w:r>
    </w:p>
    <w:p>
      <w:pPr>
        <w:spacing w:after="0" w:line="158" w:lineRule="exact"/>
        <w:rPr>
          <w:rFonts w:ascii="Times New Roman" w:cs="Times New Roman" w:eastAsia="Times New Roman" w:hAnsi="Times New Roman"/>
          <w:sz w:val="22"/>
          <w:szCs w:val="22"/>
          <w:color w:val="auto"/>
        </w:rPr>
      </w:pPr>
    </w:p>
    <w:p>
      <w:pPr>
        <w:jc w:val="both"/>
        <w:ind w:left="2160" w:right="219" w:hanging="655"/>
        <w:spacing w:after="0" w:line="233" w:lineRule="auto"/>
        <w:tabs>
          <w:tab w:leader="none" w:pos="216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if the Participant violates the covenants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settlement of the PSUs, the sale or other transfer of the PSUs, or the sale of shares of Common Stock acquired in respect of the PSUs, and must promptly repay such amounts to the Company. If the Participant receives any amount in excess of what the Participant should have received under</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8" w:name="page79"/>
    <w:bookmarkEnd w:id="78"/>
    <w:p>
      <w:pPr>
        <w:jc w:val="both"/>
        <w:ind w:left="2160" w:right="219"/>
        <w:spacing w:after="0" w:line="255" w:lineRule="auto"/>
        <w:rPr>
          <w:sz w:val="20"/>
          <w:szCs w:val="20"/>
          <w:color w:val="auto"/>
        </w:rPr>
      </w:pPr>
      <w:r>
        <w:rPr>
          <w:rFonts w:ascii="Times New Roman" w:cs="Times New Roman" w:eastAsia="Times New Roman" w:hAnsi="Times New Roman"/>
          <w:sz w:val="21"/>
          <w:szCs w:val="21"/>
          <w:color w:val="auto"/>
        </w:rPr>
        <w:t>the terms of the PSUs for any reason (including without limitation by reason of a financial restatement, mistake in calculations or other administrative error), all as determined by the Committee, then the Participant shall be required to promptly repay any such excess amount to the Company.</w:t>
      </w:r>
    </w:p>
    <w:p>
      <w:pPr>
        <w:spacing w:after="0" w:line="162" w:lineRule="exact"/>
        <w:rPr>
          <w:sz w:val="20"/>
          <w:szCs w:val="20"/>
          <w:color w:val="auto"/>
        </w:rPr>
      </w:pPr>
    </w:p>
    <w:p>
      <w:pPr>
        <w:jc w:val="both"/>
        <w:ind w:left="2160" w:right="219" w:hanging="655"/>
        <w:spacing w:after="0" w:line="239" w:lineRule="auto"/>
        <w:tabs>
          <w:tab w:leader="none" w:pos="216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 accordance with the Company’s Amended and Restated Executive Compensation Clawback Policy – Calculation Errors, as amended from time to time, or a similar policy applicable to the Company’s employees generally.</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Dodd-Frank Compliant Policy</w:t>
      </w:r>
      <w:r>
        <w:rPr>
          <w:rFonts w:ascii="Times New Roman" w:cs="Times New Roman" w:eastAsia="Times New Roman" w:hAnsi="Times New Roman"/>
          <w:sz w:val="22"/>
          <w:szCs w:val="22"/>
          <w:color w:val="auto"/>
        </w:rPr>
        <w:t>. To the extent required by applicable law and/or the rules and regulations of the NASDAQ or any other securities exchange or inter-dealer quotation system on which the Common Stock is listed or quoted, or if so required pursuant to a written policy adopted by the Company, the PSUs shall be subject (including on a retroactive basis) to clawback, forfeiture or similar requirements (and such requirements shall be deemed incorporated by reference into this Agreement), including but not limited to the Company’s Policy for the Recovery of Erroneously Awarded Compensation, as may be amended from time to time, applicable to the Covered Executive Officers (as defined therein).</w:t>
      </w:r>
    </w:p>
    <w:p>
      <w:pPr>
        <w:spacing w:after="0" w:line="179"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39" w:hanging="643"/>
        <w:spacing w:after="0" w:line="238" w:lineRule="auto"/>
        <w:tabs>
          <w:tab w:leader="none" w:pos="15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is incorporated herein and forms part of this Agreement.</w:t>
      </w:r>
    </w:p>
    <w:p>
      <w:pPr>
        <w:spacing w:after="0" w:line="176" w:lineRule="exact"/>
        <w:rPr>
          <w:rFonts w:ascii="Times New Roman" w:cs="Times New Roman" w:eastAsia="Times New Roman" w:hAnsi="Times New Roman"/>
          <w:sz w:val="22"/>
          <w:szCs w:val="22"/>
          <w:color w:val="auto"/>
        </w:rPr>
      </w:pPr>
    </w:p>
    <w:p>
      <w:pPr>
        <w:jc w:val="both"/>
        <w:ind w:left="1500" w:right="239" w:hanging="643"/>
        <w:spacing w:after="0" w:line="247" w:lineRule="auto"/>
        <w:tabs>
          <w:tab w:leader="none" w:pos="15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Participant violates any of the restrictive covenants referred to in this Section 8, in addition to any other remedy that may be available at law or in equity, the PSUs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1" w:lineRule="exact"/>
        <w:rPr>
          <w:rFonts w:ascii="Times New Roman" w:cs="Times New Roman" w:eastAsia="Times New Roman" w:hAnsi="Times New Roman"/>
          <w:sz w:val="21"/>
          <w:szCs w:val="21"/>
          <w:color w:val="auto"/>
        </w:rPr>
      </w:pPr>
    </w:p>
    <w:p>
      <w:pPr>
        <w:jc w:val="both"/>
        <w:ind w:left="1500" w:right="239" w:hanging="643"/>
        <w:spacing w:after="0" w:line="261" w:lineRule="auto"/>
        <w:tabs>
          <w:tab w:leader="none" w:pos="15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in this Agreement, the restrictive covenants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shall not apply to the Participant if the Participant resides, or primarily provides services to the Company or any of its Affiliates, in the State of California.</w:t>
      </w:r>
    </w:p>
    <w:p>
      <w:pPr>
        <w:spacing w:after="0" w:line="153"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51" w:lineRule="auto"/>
        <w:tabs>
          <w:tab w:leader="none" w:pos="15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The PSUs may not be assigned, alienated, pledged, attached, sold or otherwise transferred or encumbered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by the Participant other than by will or by the laws of descent and distribution, pursuant to a qualified domestic relations order or as otherwise permitted under Section 14(b) of the Plan. Any attempted Transfer of the PSUs contrary to the provisions hereof, and the levy of</w:t>
      </w: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9" w:name="page80"/>
    <w:bookmarkEnd w:id="79"/>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any execution, attachment or similar process upon the PSUs, shall be null and void and without effect.</w:t>
      </w:r>
    </w:p>
    <w:p>
      <w:pPr>
        <w:spacing w:after="0" w:line="158" w:lineRule="exact"/>
        <w:rPr>
          <w:sz w:val="20"/>
          <w:szCs w:val="20"/>
          <w:color w:val="auto"/>
        </w:rPr>
      </w:pPr>
    </w:p>
    <w:p>
      <w:pPr>
        <w:jc w:val="both"/>
        <w:ind w:left="1500" w:right="219" w:hanging="643"/>
        <w:spacing w:after="0" w:line="236"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PSUs will not be subject to interest and penalties under Section 409A.</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in respect of the PSUs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78" w:lineRule="exact"/>
        <w:rPr>
          <w:rFonts w:ascii="Times New Roman" w:cs="Times New Roman" w:eastAsia="Times New Roman" w:hAnsi="Times New Roman"/>
          <w:sz w:val="22"/>
          <w:szCs w:val="22"/>
          <w:color w:val="auto"/>
        </w:rPr>
      </w:pPr>
    </w:p>
    <w:p>
      <w:pPr>
        <w:jc w:val="both"/>
        <w:ind w:left="1500" w:right="239" w:hanging="643"/>
        <w:spacing w:after="0" w:line="239"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0" w:lineRule="exact"/>
        <w:rPr>
          <w:rFonts w:ascii="Times New Roman" w:cs="Times New Roman" w:eastAsia="Times New Roman" w:hAnsi="Times New Roman"/>
          <w:sz w:val="22"/>
          <w:szCs w:val="22"/>
          <w:color w:val="auto"/>
        </w:rPr>
      </w:pPr>
    </w:p>
    <w:p>
      <w:pPr>
        <w:jc w:val="both"/>
        <w:ind w:left="1500" w:right="239" w:hanging="643"/>
        <w:spacing w:after="0" w:line="244"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 or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 consultant or employee of the Company or any of its Affiliates or shall interfere</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0" w:name="page81"/>
    <w:bookmarkEnd w:id="80"/>
    <w:p>
      <w:pPr>
        <w:jc w:val="both"/>
        <w:ind w:left="1500" w:right="239"/>
        <w:spacing w:after="0" w:line="244" w:lineRule="auto"/>
        <w:rPr>
          <w:sz w:val="20"/>
          <w:szCs w:val="20"/>
          <w:color w:val="auto"/>
        </w:rPr>
      </w:pPr>
      <w:r>
        <w:rPr>
          <w:rFonts w:ascii="Times New Roman" w:cs="Times New Roman" w:eastAsia="Times New Roman" w:hAnsi="Times New Roman"/>
          <w:sz w:val="22"/>
          <w:szCs w:val="22"/>
          <w:color w:val="auto"/>
        </w:rPr>
        <w:t>with or restrict in any way the rights of the Company or any of its Affiliates, which are hereby expressly reserved, to remove, terminate or discharge the Participant at any time for any reason whatsoever.</w:t>
      </w:r>
    </w:p>
    <w:p>
      <w:pPr>
        <w:spacing w:after="0" w:line="173" w:lineRule="exact"/>
        <w:rPr>
          <w:sz w:val="20"/>
          <w:szCs w:val="20"/>
          <w:color w:val="auto"/>
        </w:rPr>
      </w:pPr>
    </w:p>
    <w:p>
      <w:pPr>
        <w:jc w:val="both"/>
        <w:ind w:left="1500" w:right="219" w:hanging="643"/>
        <w:spacing w:after="0" w:line="239"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of Common Stock resulting from an adjustment of the PSUs pursuant to Section 11 of the Plan or otherwise, the Company shall be entitled to pay to the Participant an amount in cash equal to the Fair Market Value of such fractional share.</w:t>
      </w:r>
    </w:p>
    <w:p>
      <w:pPr>
        <w:spacing w:after="0" w:line="180" w:lineRule="exact"/>
        <w:rPr>
          <w:rFonts w:ascii="Times New Roman" w:cs="Times New Roman" w:eastAsia="Times New Roman" w:hAnsi="Times New Roman"/>
          <w:sz w:val="22"/>
          <w:szCs w:val="22"/>
          <w:color w:val="auto"/>
        </w:rPr>
      </w:pPr>
    </w:p>
    <w:p>
      <w:pPr>
        <w:jc w:val="both"/>
        <w:ind w:left="1500" w:right="239" w:hanging="643"/>
        <w:spacing w:after="0" w:line="244"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Exhibits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in accordance with the terms of such agreement. No change, modification or waiver of any provision of this Agreement shall be valid unless the same be in writing and signed by the parties hereto, except for any changes permitted without consent under Section 11 or 12 of the Plan.</w:t>
      </w:r>
    </w:p>
    <w:p>
      <w:pPr>
        <w:spacing w:after="0" w:line="187"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6" w:lineRule="exact"/>
        <w:rPr>
          <w:rFonts w:ascii="Times New Roman" w:cs="Times New Roman" w:eastAsia="Times New Roman" w:hAnsi="Times New Roman"/>
          <w:sz w:val="22"/>
          <w:szCs w:val="22"/>
          <w:color w:val="auto"/>
        </w:rPr>
      </w:pPr>
    </w:p>
    <w:p>
      <w:pPr>
        <w:jc w:val="both"/>
        <w:ind w:left="2160" w:right="219" w:hanging="655"/>
        <w:spacing w:after="0" w:line="245" w:lineRule="auto"/>
        <w:tabs>
          <w:tab w:leader="none" w:pos="216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 Consent to Jurisdiction</w:t>
      </w:r>
      <w:r>
        <w:rPr>
          <w:rFonts w:ascii="Times New Roman" w:cs="Times New Roman" w:eastAsia="Times New Roman" w:hAnsi="Times New Roman"/>
          <w:sz w:val="21"/>
          <w:szCs w:val="21"/>
          <w:color w:val="auto"/>
        </w:rPr>
        <w:t>. All disputes between or among any Persons arising out of or in any way connected with the Plan, this Agreement or the PSUs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1" w:name="page82"/>
    <w:bookmarkEnd w:id="81"/>
    <w:p>
      <w:pPr>
        <w:jc w:val="both"/>
        <w:ind w:left="2160" w:right="219"/>
        <w:spacing w:after="0" w:line="238" w:lineRule="auto"/>
        <w:rPr>
          <w:sz w:val="20"/>
          <w:szCs w:val="20"/>
          <w:color w:val="auto"/>
        </w:rPr>
      </w:pPr>
      <w:r>
        <w:rPr>
          <w:rFonts w:ascii="Times New Roman" w:cs="Times New Roman" w:eastAsia="Times New Roman" w:hAnsi="Times New Roman"/>
          <w:sz w:val="22"/>
          <w:szCs w:val="22"/>
          <w:color w:val="auto"/>
        </w:rPr>
        <w:t>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7" w:lineRule="exact"/>
        <w:rPr>
          <w:sz w:val="20"/>
          <w:szCs w:val="20"/>
          <w:color w:val="auto"/>
        </w:rPr>
      </w:pPr>
    </w:p>
    <w:p>
      <w:pPr>
        <w:jc w:val="both"/>
        <w:ind w:left="2160" w:right="219" w:hanging="655"/>
        <w:spacing w:after="0" w:line="246" w:lineRule="auto"/>
        <w:tabs>
          <w:tab w:leader="none" w:pos="216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0" w:lineRule="exact"/>
        <w:rPr>
          <w:rFonts w:ascii="Times New Roman" w:cs="Times New Roman" w:eastAsia="Times New Roman" w:hAnsi="Times New Roman"/>
          <w:sz w:val="21"/>
          <w:szCs w:val="21"/>
          <w:color w:val="auto"/>
        </w:rPr>
      </w:pPr>
    </w:p>
    <w:p>
      <w:pPr>
        <w:jc w:val="both"/>
        <w:ind w:left="1500" w:right="219" w:hanging="643"/>
        <w:spacing w:after="0" w:line="244" w:lineRule="auto"/>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73" w:lineRule="exact"/>
        <w:rPr>
          <w:rFonts w:ascii="Times New Roman" w:cs="Times New Roman" w:eastAsia="Times New Roman" w:hAnsi="Times New Roman"/>
          <w:sz w:val="22"/>
          <w:szCs w:val="22"/>
          <w:color w:val="auto"/>
        </w:rPr>
      </w:pPr>
    </w:p>
    <w:p>
      <w:pPr>
        <w:jc w:val="both"/>
        <w:ind w:left="1500" w:right="239" w:hanging="643"/>
        <w:spacing w:after="0" w:line="238" w:lineRule="auto"/>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 and Delivery</w:t>
      </w:r>
      <w:r>
        <w:rPr>
          <w:rFonts w:ascii="Times New Roman" w:cs="Times New Roman" w:eastAsia="Times New Roman" w:hAnsi="Times New Roman"/>
          <w:sz w:val="22"/>
          <w:szCs w:val="22"/>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Participation in Plan</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2" w:name="page83"/>
    <w:bookmarkEnd w:id="82"/>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Performance Stock Unit Award Agreement has been executed by the Company and the Participant as of the day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-13970</wp:posOffset>
            </wp:positionV>
            <wp:extent cx="20554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055495" cy="8255"/>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22"/>
          <w:szCs w:val="22"/>
          <w:color w:val="auto"/>
        </w:rPr>
        <w:t>Name:</w:t>
      </w:r>
    </w:p>
    <w:p>
      <w:pPr>
        <w:ind w:left="54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433070</wp:posOffset>
            </wp:positionV>
            <wp:extent cx="24676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467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[______________] PSU Award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3" w:name="page84"/>
    <w:bookmarkEnd w:id="83"/>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202[_] PSU Award Agreement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Determination of Performance Goals and Earned PSUs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84" w:name="page85"/>
    <w:bookmarkEnd w:id="8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 attached)</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61207516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85" w:name="page86"/>
    <w:bookmarkEnd w:id="8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OMNIBUS EQUITY INCENTIVE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9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THIS RESTRICTED STOCK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[__________], 20[__]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by and between Latham Group, Inc., a Delaware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Plan, pursuant to which shares of restricted stock (the “</w:t>
      </w:r>
      <w:r>
        <w:rPr>
          <w:rFonts w:ascii="Times New Roman" w:cs="Times New Roman" w:eastAsia="Times New Roman" w:hAnsi="Times New Roman"/>
          <w:sz w:val="22"/>
          <w:szCs w:val="22"/>
          <w:u w:val="single" w:color="auto"/>
          <w:color w:val="auto"/>
        </w:rPr>
        <w:t>Restricted Shares</w:t>
      </w:r>
      <w:r>
        <w:rPr>
          <w:rFonts w:ascii="Times New Roman" w:cs="Times New Roman" w:eastAsia="Times New Roman" w:hAnsi="Times New Roman"/>
          <w:sz w:val="22"/>
          <w:szCs w:val="22"/>
          <w:color w:val="auto"/>
        </w:rPr>
        <w:t>”) may be granted; and</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WHEREAS, the Committee has determined that it is in the best interests of the Company and its stockholders to grant the Restricted Shares provided for herein to the Participant on the terms and subject to the conditions set forth herein.</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6" w:lineRule="exact"/>
        <w:rPr>
          <w:sz w:val="20"/>
          <w:szCs w:val="20"/>
          <w:color w:val="auto"/>
        </w:rPr>
      </w:pPr>
    </w:p>
    <w:p>
      <w:pPr>
        <w:ind w:left="860" w:hanging="651"/>
        <w:spacing w:after="0"/>
        <w:tabs>
          <w:tab w:leader="none" w:pos="8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Shares.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44" w:lineRule="auto"/>
        <w:tabs>
          <w:tab w:leader="none" w:pos="14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 total of [_____] Restricted Shares, on the terms and subject to the conditions set forth in this Agreement and as otherwise provided in the Plan. The Restricted Shares shall vest in accordance with Section 2.</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4" w:lineRule="auto"/>
        <w:tabs>
          <w:tab w:leader="none" w:pos="14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5"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Settlement. </w:t>
      </w:r>
      <w:r>
        <w:rPr>
          <w:rFonts w:ascii="Times New Roman" w:cs="Times New Roman" w:eastAsia="Times New Roman" w:hAnsi="Times New Roman"/>
          <w:sz w:val="22"/>
          <w:szCs w:val="22"/>
          <w:color w:val="auto"/>
        </w:rPr>
        <w:t>Except as may otherwise be provided herein,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continued employment with, or engagement to provide services to, the Company and any of its Affiliates, the Restricted Shares shall vest as follows: [_____] (any date on which Restricted Shares vest,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Any fractional Restricted Shares resulting from the application of the vesting schedule shall be aggregated and the Restricted Shares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such aggregation shall vest on the final Vesting Date. Upon vesting, the Restricted Shares shall no longer be subject to the transfer restrictions pursuant to Section 14(b) of the Plan or cancellation pursuant to Section 6 hereof.</w:t>
      </w:r>
    </w:p>
    <w:p>
      <w:pPr>
        <w:spacing w:after="0" w:line="169" w:lineRule="exact"/>
        <w:rPr>
          <w:sz w:val="20"/>
          <w:szCs w:val="20"/>
          <w:color w:val="auto"/>
        </w:rPr>
      </w:pPr>
    </w:p>
    <w:p>
      <w:pPr>
        <w:jc w:val="both"/>
        <w:ind w:left="200" w:right="219" w:firstLine="9"/>
        <w:spacing w:after="0" w:line="234" w:lineRule="auto"/>
        <w:tabs>
          <w:tab w:leader="none" w:pos="84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Issuance. </w:t>
      </w:r>
      <w:r>
        <w:rPr>
          <w:rFonts w:ascii="Times New Roman" w:cs="Times New Roman" w:eastAsia="Times New Roman" w:hAnsi="Times New Roman"/>
          <w:sz w:val="22"/>
          <w:szCs w:val="22"/>
          <w:color w:val="auto"/>
        </w:rPr>
        <w:t>The Restricted Shares shall be issued by the Company and shall be registered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Participant’s name on the stock transfer books of the Company promptly after the date hereof in book-entry form, subject to the Company’s directions at all times prior to the date the Restricted Shares vest. As a condition to the receipt of the Restricted Shares, the Participant shall at the request of the Company deliver to the Company one or more stock powers, duly endorsed in blank, relating to the Restricted Shares. The Committee may cause a legend or legends to be put on any stock certificate relating to the Restricted Shares to make appropriate reference to such restrictions as the Committee may deem advisable under the Plan or as may be required by the rules, regulations, and other requirements of the Securities and Exchange Commission, any exchange that lists the Restricted Shares, and any applicable federal or state laws.</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9"/>
        <w:spacing w:after="0" w:line="236" w:lineRule="auto"/>
        <w:tabs>
          <w:tab w:leader="none" w:pos="84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Stockholder; Dividends. </w:t>
      </w:r>
      <w:r>
        <w:rPr>
          <w:rFonts w:ascii="Times New Roman" w:cs="Times New Roman" w:eastAsia="Times New Roman" w:hAnsi="Times New Roman"/>
          <w:sz w:val="22"/>
          <w:szCs w:val="22"/>
          <w:color w:val="auto"/>
        </w:rPr>
        <w:t>The Participant shall be the record owner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Shares and shall have all rights of a stockholder of the Company, including, if applicable, the right to vote the Restricted Shares and to receive any dividends upon vesting of such Restricted Shares, subject to the restrictions set forth in the Plan and this Agreement. Any cash or in-kind dividends paid with respect to unvested Restricted Shares shall be withheld by the Company and shall be paid to the Participant, without interest, only when, and if, such Restricted Shares vest.</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9"/>
        <w:spacing w:after="0" w:line="242" w:lineRule="auto"/>
        <w:tabs>
          <w:tab w:leader="none" w:pos="84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83(b) Election. </w:t>
      </w:r>
      <w:r>
        <w:rPr>
          <w:rFonts w:ascii="Times New Roman" w:cs="Times New Roman" w:eastAsia="Times New Roman" w:hAnsi="Times New Roman"/>
          <w:sz w:val="22"/>
          <w:szCs w:val="22"/>
          <w:color w:val="auto"/>
        </w:rPr>
        <w:t>As a condition subsequent to the issuance of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the Participant shall file an election under Section 83(b) of the Code within 30 days of the Date of Grant and shall promptly provide written evidence of any such election to the Company. The Participant acknowledges and agrees that the Company shall bear no responsibility or liability for any tax consequences to the Participant relating to Section 83 of the Code or to the making of (or failure to make) an election pursuant to Section 83(b) of the Code with respect to the Restricted Shares.]</w:t>
      </w:r>
      <w:r>
        <w:rPr>
          <w:rFonts w:ascii="Times New Roman" w:cs="Times New Roman" w:eastAsia="Times New Roman" w:hAnsi="Times New Roman"/>
          <w:sz w:val="32"/>
          <w:szCs w:val="32"/>
          <w:u w:val="single" w:color="auto"/>
          <w:color w:val="0000EE"/>
          <w:vertAlign w:val="superscript"/>
        </w:rPr>
        <w:t>1</w:t>
      </w:r>
    </w:p>
    <w:p>
      <w:pPr>
        <w:spacing w:after="0" w:line="42"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9" w:lineRule="auto"/>
        <w:tabs>
          <w:tab w:leader="none" w:pos="149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if the Participant’s employment with, or engagement to provide services to, the Company or any of its Affiliates terminates for any reason, all unvested Restricted Shares shall be canceled immediately and the Participant shall not be entitled to receive any payments with respect thereto.</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51" w:lineRule="auto"/>
        <w:tabs>
          <w:tab w:leader="none" w:pos="1496"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the Participant’s employment with, directorship with, or engagement to provide services to, the Company is terminated prior to the final Vesting Date of the Restricted Shares subject to this Agreement on account of such Participant’s Disability, or (ii) the Participant dies while still a director of, or still in the employ or engagement of the Company or an Affiliate prior to the final Vesting Date of the Restricted Shares subject to this Agreement, then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158750</wp:posOffset>
            </wp:positionV>
            <wp:extent cx="1362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7"/>
          <w:szCs w:val="17"/>
          <w:color w:val="auto"/>
        </w:rPr>
        <w:t>Include if applicable.</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7" w:name="page88"/>
    <w:bookmarkEnd w:id="8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remaining unvested Restricted Shares subject to this Agreement shall vest in full on the date of the Participant’s Disability or death, as applicable.</w:t>
      </w:r>
    </w:p>
    <w:p>
      <w:pPr>
        <w:spacing w:after="0" w:line="158" w:lineRule="exact"/>
        <w:rPr>
          <w:sz w:val="20"/>
          <w:szCs w:val="20"/>
          <w:color w:val="auto"/>
        </w:rPr>
      </w:pPr>
    </w:p>
    <w:p>
      <w:pPr>
        <w:jc w:val="both"/>
        <w:ind w:left="200" w:right="219" w:firstLine="657"/>
        <w:spacing w:after="0" w:line="236" w:lineRule="auto"/>
        <w:tabs>
          <w:tab w:leader="none" w:pos="14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or a Subsidiary is terminated prior to the final Vesting Date of the Restricted Shares subject to this Agreement on account of such Participant’s Retirement, then provided that a portion of the Restricted Shares subject to this Agreement have vested as of the date of the Participant’s Retirement, all remaining unvested Restricted Shares subject to this Agreement shall continue to vest in accordance with Section 2 on and following the date of the Participant’s Retirement. For purposes of this Section 6(c):</w:t>
      </w:r>
    </w:p>
    <w:p>
      <w:pPr>
        <w:spacing w:after="0" w:line="181" w:lineRule="exact"/>
        <w:rPr>
          <w:rFonts w:ascii="Times New Roman" w:cs="Times New Roman" w:eastAsia="Times New Roman" w:hAnsi="Times New Roman"/>
          <w:sz w:val="22"/>
          <w:szCs w:val="22"/>
          <w:color w:val="auto"/>
        </w:rPr>
      </w:pPr>
    </w:p>
    <w:p>
      <w:pPr>
        <w:jc w:val="both"/>
        <w:ind w:left="2160" w:right="219" w:hanging="655"/>
        <w:spacing w:after="0" w:line="253" w:lineRule="auto"/>
        <w:tabs>
          <w:tab w:leader="none" w:pos="216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(i) the termination of the Participant’s employment with the Company or a Subsidiary was (a) voluntarily made by the Participant, or</w:t>
      </w:r>
    </w:p>
    <w:p>
      <w:pPr>
        <w:jc w:val="both"/>
        <w:ind w:left="21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mutually agreed upon by between the Participant and the Company, and, in each case, without Cause, as determined by the Committee, in its sole discretion, (ii) the Participant has provided a minimum of five Years of Service to the Company or a Subsidiary and attained a minimum age of 60, in each case, as of the date of such termination, and (iii) the Participant has provided six months advanced notice of such Participant’s consideration of retirement to the Company (or to the Board, if the Participant is subject to Section 16 of the Exchange Act), as determined by the Committee in its sole discretion.</w:t>
      </w:r>
    </w:p>
    <w:p>
      <w:pPr>
        <w:spacing w:after="0" w:line="178" w:lineRule="exact"/>
        <w:rPr>
          <w:sz w:val="20"/>
          <w:szCs w:val="20"/>
          <w:color w:val="auto"/>
        </w:rPr>
      </w:pPr>
    </w:p>
    <w:p>
      <w:pPr>
        <w:jc w:val="both"/>
        <w:ind w:left="2160" w:right="219" w:hanging="655"/>
        <w:spacing w:after="0" w:line="235" w:lineRule="auto"/>
        <w:tabs>
          <w:tab w:leader="none" w:pos="216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xml:space="preserve">” means a Participant’s total number of years of employment with the Company or a Subsidiary based on a period of employment beginning on the Participant’s date of hire by the Company or a Subsidiary and ending on the date of termination of the Participant’s employment with the Company or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Years of Services shall not include any period of a Participant’s employment with a Subsidiary or a business acquired by the Company prior to the date that such Subsidiary or business was acquired by the Company.</w:t>
      </w:r>
    </w:p>
    <w:p>
      <w:pPr>
        <w:spacing w:after="0" w:line="174"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Legal Requirements.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3" w:lineRule="auto"/>
        <w:tabs>
          <w:tab w:leader="none" w:pos="14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granting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Committee shall have the right to impose such restriction on any Restricted Share as it deems necessary or advisable under applicable federal securities laws, the rules and regulations of any stock exchange or market upon which such Restricted Shares are then listed or traded, and/or any blue sky or state securities laws applicable to such Restricted Shares.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87"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vesting of the Restricted Shares shall be subject to the Participant satisfying any applicable U.S. federal, state and local tax withholding obligations and</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Common Stock upon vesting of Restricted Shares.</w:t>
      </w:r>
    </w:p>
    <w:p>
      <w:pPr>
        <w:spacing w:after="0" w:line="179" w:lineRule="exact"/>
        <w:rPr>
          <w:sz w:val="20"/>
          <w:szCs w:val="20"/>
          <w:color w:val="auto"/>
        </w:rPr>
      </w:pPr>
    </w:p>
    <w:p>
      <w:pPr>
        <w:jc w:val="both"/>
        <w:ind w:left="200" w:right="219" w:firstLine="9"/>
        <w:spacing w:after="0" w:line="243" w:lineRule="auto"/>
        <w:tabs>
          <w:tab w:leader="none" w:pos="848"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Clawback. </w:t>
      </w:r>
      <w:r>
        <w:rPr>
          <w:rFonts w:ascii="Times New Roman" w:cs="Times New Roman" w:eastAsia="Times New Roman" w:hAnsi="Times New Roman"/>
          <w:sz w:val="21"/>
          <w:szCs w:val="21"/>
          <w:color w:val="auto"/>
        </w:rPr>
        <w:t>Notwithstanding anything to the contrary contained herein, the Committee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cancel this Restricted Share award if 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violates the covenants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of the Restricted Shares, the sale or other transfer of the Restricted Shares, or the sale of shares of Common Stock acquired in respect of the Restricted Shares, and must promptly repay such amounts to the Company. If the Participant receives any amount in excess of what the Participant should have received under the terms of this Agreement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Restricted Shares shall be subject (including on a retroactive basis) to clawback, forfeiture or similar requirements (and such requirements shall be deemed incorporated by reference into this Agreement).</w:t>
      </w:r>
    </w:p>
    <w:p>
      <w:pPr>
        <w:spacing w:after="0" w:line="184" w:lineRule="exact"/>
        <w:rPr>
          <w:rFonts w:ascii="Times New Roman" w:cs="Times New Roman" w:eastAsia="Times New Roman" w:hAnsi="Times New Roman"/>
          <w:sz w:val="21"/>
          <w:szCs w:val="21"/>
          <w:b w:val="1"/>
          <w:bCs w:val="1"/>
          <w:color w:val="auto"/>
        </w:rPr>
      </w:pPr>
    </w:p>
    <w:p>
      <w:pPr>
        <w:ind w:left="860" w:hanging="651"/>
        <w:spacing w:after="0"/>
        <w:tabs>
          <w:tab w:leader="none" w:pos="8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9" w:lineRule="auto"/>
        <w:tabs>
          <w:tab w:leader="none" w:pos="149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incorporated herein and forms part of this Agreement.</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48" w:lineRule="auto"/>
        <w:tabs>
          <w:tab w:leader="none" w:pos="1496"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Participant violates any of the restrictive covenants referred to in this Section 9, in addition to any other remedy that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ind w:left="860" w:hanging="651"/>
        <w:spacing w:after="0"/>
        <w:tabs>
          <w:tab w:leader="none" w:pos="8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657"/>
        <w:spacing w:after="0" w:line="236" w:lineRule="auto"/>
        <w:tabs>
          <w:tab w:leader="none" w:pos="14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Restricted Shares may not be assigned, alienated, pledged, attached, sold or otherwise transferred or encumbered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by the Participant other than by will or by the laws of descent and distribution, pursuant to a qualified domestic relations order or as otherwise permitted under Section 14(b) of the Plan. Any attempted Transfer of the Restricted Shares contrary to the provisions hereof, and the levy of any execution, attachment or similar process upon the Restricted Shares, shall be null and void and without effect.</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Lock-Up Agreement</w:t>
      </w:r>
      <w:r>
        <w:rPr>
          <w:rFonts w:ascii="Times New Roman" w:cs="Times New Roman" w:eastAsia="Times New Roman" w:hAnsi="Times New Roman"/>
          <w:sz w:val="22"/>
          <w:szCs w:val="22"/>
          <w:color w:val="auto"/>
        </w:rPr>
        <w:t xml:space="preserve">. Unless otherwise determined by the Board, Restricted Shares and any shares of Common Stock acquired in respect of any Restricted Shares will be subject to the lock-up restrictions as set forth in Section 14(k) of the Plan and any additional restrictions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49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Restricted Shares will not be subject to interest and penalties under Section 409A.</w:t>
      </w:r>
    </w:p>
    <w:p>
      <w:pPr>
        <w:spacing w:after="0" w:line="173" w:lineRule="exact"/>
        <w:rPr>
          <w:rFonts w:ascii="Times New Roman" w:cs="Times New Roman" w:eastAsia="Times New Roman" w:hAnsi="Times New Roman"/>
          <w:sz w:val="21"/>
          <w:szCs w:val="21"/>
          <w:color w:val="auto"/>
        </w:rPr>
      </w:pPr>
    </w:p>
    <w:p>
      <w:pPr>
        <w:jc w:val="both"/>
        <w:ind w:left="200" w:right="219" w:firstLine="657"/>
        <w:spacing w:after="0" w:line="235" w:lineRule="auto"/>
        <w:tabs>
          <w:tab w:leader="none" w:pos="14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0" w:name="page91"/>
    <w:bookmarkEnd w:id="90"/>
    <w:p>
      <w:pPr>
        <w:jc w:val="both"/>
        <w:ind w:left="200" w:right="219" w:firstLine="657"/>
        <w:spacing w:after="0" w:line="238"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 or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of Common Stock resulting from an adjustment of the Restricted Shares pursuant to Section 12 of the Plan or otherwise, the Company shall be entitled to pay to the Participant an amount in cash equal to the Fair Market Value of such fractional share.</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4"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 accordance with the terms of such agreement. No change, modification or waiver of any provision of this Agreement shall be valid unless the same be in writing and signed by the parties hereto, except for any changes permitted without consent under Section 12 or 13 of the Plan.</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0" w:lineRule="exact"/>
        <w:rPr>
          <w:rFonts w:ascii="Times New Roman" w:cs="Times New Roman" w:eastAsia="Times New Roman" w:hAnsi="Times New Roman"/>
          <w:sz w:val="22"/>
          <w:szCs w:val="22"/>
          <w:color w:val="auto"/>
        </w:rPr>
      </w:pPr>
    </w:p>
    <w:p>
      <w:pPr>
        <w:jc w:val="both"/>
        <w:ind w:left="860" w:right="219" w:firstLine="645"/>
        <w:spacing w:after="0" w:line="245" w:lineRule="auto"/>
        <w:tabs>
          <w:tab w:leader="none" w:pos="215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Resolution; Consent to Jurisdiction</w:t>
      </w:r>
      <w:r>
        <w:rPr>
          <w:rFonts w:ascii="Times New Roman" w:cs="Times New Roman" w:eastAsia="Times New Roman" w:hAnsi="Times New Roman"/>
          <w:sz w:val="21"/>
          <w:szCs w:val="21"/>
          <w:color w:val="auto"/>
        </w:rPr>
        <w:t>. All disputes between or among any Persons arising out of or in any way connected with the Plan, this Agreement or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w:t>
      </w: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1" w:name="page92"/>
    <w:bookmarkEnd w:id="91"/>
    <w:p>
      <w:pPr>
        <w:ind w:left="860" w:right="239"/>
        <w:spacing w:after="0" w:line="258" w:lineRule="auto"/>
        <w:rPr>
          <w:sz w:val="20"/>
          <w:szCs w:val="20"/>
          <w:color w:val="auto"/>
        </w:rPr>
      </w:pPr>
      <w:r>
        <w:rPr>
          <w:rFonts w:ascii="Times New Roman" w:cs="Times New Roman" w:eastAsia="Times New Roman" w:hAnsi="Times New Roman"/>
          <w:sz w:val="22"/>
          <w:szCs w:val="22"/>
          <w:color w:val="auto"/>
        </w:rPr>
        <w:t>known address of such Person, such service to become effective ten (10) days after such mailing.</w:t>
      </w:r>
    </w:p>
    <w:p>
      <w:pPr>
        <w:spacing w:after="0" w:line="158" w:lineRule="exact"/>
        <w:rPr>
          <w:sz w:val="20"/>
          <w:szCs w:val="20"/>
          <w:color w:val="auto"/>
        </w:rPr>
      </w:pPr>
    </w:p>
    <w:p>
      <w:pPr>
        <w:jc w:val="both"/>
        <w:ind w:left="860" w:right="219" w:firstLine="645"/>
        <w:spacing w:after="0" w:line="247" w:lineRule="auto"/>
        <w:tabs>
          <w:tab w:leader="none" w:pos="215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w:t>
      </w:r>
    </w:p>
    <w:p>
      <w:pPr>
        <w:spacing w:after="0" w:line="1" w:lineRule="exact"/>
        <w:rPr>
          <w:rFonts w:ascii="Times New Roman" w:cs="Times New Roman" w:eastAsia="Times New Roman" w:hAnsi="Times New Roman"/>
          <w:sz w:val="21"/>
          <w:szCs w:val="21"/>
          <w:color w:val="auto"/>
        </w:rPr>
      </w:pPr>
    </w:p>
    <w:p>
      <w:pPr>
        <w:jc w:val="both"/>
        <w:ind w:left="860" w:right="219" w:hanging="3"/>
        <w:spacing w:after="0" w:line="233" w:lineRule="auto"/>
        <w:tabs>
          <w:tab w:leader="none" w:pos="124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9" w:lineRule="exact"/>
        <w:rPr>
          <w:sz w:val="20"/>
          <w:szCs w:val="20"/>
          <w:color w:val="auto"/>
        </w:rPr>
      </w:pPr>
    </w:p>
    <w:p>
      <w:pPr>
        <w:jc w:val="both"/>
        <w:ind w:left="200" w:right="219" w:firstLine="657"/>
        <w:spacing w:after="0" w:line="244"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 and Delivery.</w:t>
      </w:r>
      <w:r>
        <w:rPr>
          <w:rFonts w:ascii="Times New Roman" w:cs="Times New Roman" w:eastAsia="Times New Roman" w:hAnsi="Times New Roman"/>
          <w:sz w:val="22"/>
          <w:szCs w:val="22"/>
          <w:color w:val="auto"/>
        </w:rPr>
        <w:t xml:space="preserve">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Participation in Plan</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2" w:name="page93"/>
    <w:bookmarkEnd w:id="92"/>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9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Restricted Stock Award Agreement has been executed by the Company and the Participant as of the day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-13970</wp:posOffset>
            </wp:positionV>
            <wp:extent cx="20554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055495" cy="8255"/>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22"/>
          <w:szCs w:val="22"/>
          <w:color w:val="auto"/>
        </w:rPr>
        <w:t>Name:</w:t>
      </w:r>
    </w:p>
    <w:p>
      <w:pPr>
        <w:ind w:left="54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433070</wp:posOffset>
            </wp:positionV>
            <wp:extent cx="24676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467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[______________] Restricted Stock Award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both"/>
        <w:ind w:left="860" w:right="219" w:hanging="651"/>
        <w:spacing w:after="0" w:line="239" w:lineRule="auto"/>
        <w:tabs>
          <w:tab w:leader="none" w:pos="8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Participant’s employment with, or other engagement to provide services to, the Company or any of its Affiliates and for a period of twenty-four (24) months thereafter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Participant shall not, either directly or indirectly, for himself or herself or on behalf of or in conjunction with any other Person:</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61" w:lineRule="auto"/>
        <w:tabs>
          <w:tab w:leader="none" w:pos="15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57" w:lineRule="exact"/>
        <w:rPr>
          <w:rFonts w:ascii="Times New Roman" w:cs="Times New Roman" w:eastAsia="Times New Roman" w:hAnsi="Times New Roman"/>
          <w:sz w:val="21"/>
          <w:szCs w:val="21"/>
          <w:color w:val="auto"/>
        </w:rPr>
      </w:pPr>
    </w:p>
    <w:p>
      <w:pPr>
        <w:jc w:val="both"/>
        <w:ind w:left="1500" w:right="219" w:hanging="643"/>
        <w:spacing w:after="0" w:line="236" w:lineRule="auto"/>
        <w:tabs>
          <w:tab w:leader="none" w:pos="15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year period preceding the termination of Participant’s employment.</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33" w:lineRule="auto"/>
        <w:tabs>
          <w:tab w:leader="none" w:pos="8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84" w:lineRule="exact"/>
        <w:rPr>
          <w:rFonts w:ascii="Times New Roman" w:cs="Times New Roman" w:eastAsia="Times New Roman" w:hAnsi="Times New Roman"/>
          <w:sz w:val="22"/>
          <w:szCs w:val="22"/>
          <w:color w:val="auto"/>
        </w:rPr>
      </w:pPr>
    </w:p>
    <w:p>
      <w:pPr>
        <w:jc w:val="both"/>
        <w:ind w:left="860" w:right="219" w:hanging="651"/>
        <w:spacing w:after="0" w:line="244" w:lineRule="auto"/>
        <w:tabs>
          <w:tab w:leader="none" w:pos="8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w:t>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4" w:name="page95"/>
    <w:bookmarkEnd w:id="94"/>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or on the Participant’s behalf or (y) information that the Participant can demonstrate to have had rightfully in the Participant’s possession prior to the date on which the Participant first provided services to any Latham Company.</w:t>
      </w:r>
    </w:p>
    <w:p>
      <w:pPr>
        <w:spacing w:after="0" w:line="173" w:lineRule="exact"/>
        <w:rPr>
          <w:sz w:val="20"/>
          <w:szCs w:val="20"/>
          <w:color w:val="auto"/>
        </w:rPr>
      </w:pPr>
    </w:p>
    <w:p>
      <w:pPr>
        <w:jc w:val="both"/>
        <w:ind w:left="860" w:right="219" w:hanging="651"/>
        <w:spacing w:after="0" w:line="238" w:lineRule="auto"/>
        <w:tabs>
          <w:tab w:leader="none" w:pos="8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17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pricing, cost, or profit factors; quality programs; annual budget and long-range business plans; marketing plans and methods; contracts and bids; and business ideas and methods, store concepts, inventions, innovations, developments, graphic designs, website designs, patterns, specifications, procedures, databases and personnel.</w:t>
      </w:r>
    </w:p>
    <w:p>
      <w:pPr>
        <w:spacing w:after="0" w:line="187"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Latham Companies</w:t>
      </w:r>
      <w:r>
        <w:rPr>
          <w:rFonts w:ascii="Times New Roman" w:cs="Times New Roman" w:eastAsia="Times New Roman" w:hAnsi="Times New Roman"/>
          <w:sz w:val="22"/>
          <w:szCs w:val="22"/>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w:t>
      </w:r>
      <w:r>
        <w:rPr>
          <w:rFonts w:ascii="Times New Roman" w:cs="Times New Roman" w:eastAsia="Times New Roman" w:hAnsi="Times New Roman"/>
          <w:sz w:val="22"/>
          <w:szCs w:val="22"/>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5" w:lineRule="auto"/>
        <w:tabs>
          <w:tab w:leader="none" w:pos="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accepting any offer of employment during the Restricted Period, the Participant shall inform such employers of all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within two (2) business days of accepting an offer of employment with another employer, shall notify the Company of the name and address of the new employer and the title of the position accepted.</w:t>
      </w:r>
    </w:p>
    <w:p>
      <w:pPr>
        <w:spacing w:after="0" w:line="161" w:lineRule="exact"/>
        <w:rPr>
          <w:rFonts w:ascii="Times New Roman" w:cs="Times New Roman" w:eastAsia="Times New Roman" w:hAnsi="Times New Roman"/>
          <w:sz w:val="21"/>
          <w:szCs w:val="21"/>
          <w:color w:val="auto"/>
        </w:rPr>
      </w:pPr>
    </w:p>
    <w:p>
      <w:pPr>
        <w:ind w:left="860" w:right="239" w:hanging="651"/>
        <w:spacing w:after="0" w:line="282" w:lineRule="auto"/>
        <w:tabs>
          <w:tab w:leader="none" w:pos="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are severable and separate, and the unenforceability of any specific covenant shall not affect the provisions of any other covenant. If any provision of</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5" w:name="page96"/>
    <w:bookmarkEnd w:id="95"/>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77" w:lineRule="exact"/>
        <w:rPr>
          <w:sz w:val="20"/>
          <w:szCs w:val="20"/>
          <w:color w:val="auto"/>
        </w:rPr>
      </w:pPr>
    </w:p>
    <w:p>
      <w:pPr>
        <w:jc w:val="both"/>
        <w:ind w:left="860" w:right="219" w:hanging="651"/>
        <w:spacing w:after="0" w:line="241" w:lineRule="auto"/>
        <w:tabs>
          <w:tab w:leader="none" w:pos="8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as an agreement independent of any other provisions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 existence of any claim or cause of action the</w:t>
      </w:r>
    </w:p>
    <w:p>
      <w:pPr>
        <w:spacing w:after="0" w:line="2" w:lineRule="exact"/>
        <w:rPr>
          <w:sz w:val="20"/>
          <w:szCs w:val="20"/>
          <w:color w:val="auto"/>
        </w:rPr>
      </w:pPr>
    </w:p>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 xml:space="preserve">Participant may have against any Latham Company, whether predicated on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otherwise, shall not constitute a defense to the enforcement by any Latham Company of such covenants.</w:t>
      </w:r>
    </w:p>
    <w:p>
      <w:pPr>
        <w:spacing w:after="0" w:line="178" w:lineRule="exact"/>
        <w:rPr>
          <w:sz w:val="20"/>
          <w:szCs w:val="20"/>
          <w:color w:val="auto"/>
        </w:rPr>
      </w:pPr>
    </w:p>
    <w:p>
      <w:pPr>
        <w:jc w:val="both"/>
        <w:ind w:left="860" w:right="239" w:hanging="651"/>
        <w:spacing w:after="0" w:line="239" w:lineRule="auto"/>
        <w:tabs>
          <w:tab w:leader="none" w:pos="8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disputes between or among any Persons arising out of or in any way connected with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waives, to the fullest extent permitted by applicable law, any right it may have to a trial by jury in any legal proceeding directly or indirectly arising out of or relating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Times New Roman" w:cs="Times New Roman" w:eastAsia="Times New Roman" w:hAnsi="Times New Roman"/>
          <w:sz w:val="22"/>
          <w:szCs w:val="22"/>
          <w:color w:val="auto"/>
        </w:rPr>
      </w:pPr>
    </w:p>
    <w:p>
      <w:pPr>
        <w:jc w:val="both"/>
        <w:ind w:left="860" w:right="219" w:hanging="651"/>
        <w:spacing w:after="0" w:line="238" w:lineRule="auto"/>
        <w:tabs>
          <w:tab w:leader="none" w:pos="8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has carefully read and considered the provisions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having done so, agrees that the restrictive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Insert any additional lock up restrictions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61207186</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7" w:name="page98"/>
    <w:bookmarkEnd w:id="9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OMNIBUS EQUITY INCENTIVE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82" w:lineRule="exact"/>
        <w:rPr>
          <w:sz w:val="20"/>
          <w:szCs w:val="20"/>
          <w:color w:val="auto"/>
        </w:rPr>
      </w:pPr>
    </w:p>
    <w:p>
      <w:pPr>
        <w:jc w:val="both"/>
        <w:ind w:left="200" w:right="239" w:firstLine="648"/>
        <w:spacing w:after="0" w:line="24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[__________], 20[__]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by and between Latham Group,</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Plan, pursuant to which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may be granted; and</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WHEREAS, the Committee has determined that it is in the best interests of the Company and its stockholders to grant the RSUs provided for herein to the Participant on the terms and subject to the conditions set forth herein; and</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6" w:lineRule="exact"/>
        <w:rPr>
          <w:sz w:val="20"/>
          <w:szCs w:val="20"/>
          <w:color w:val="auto"/>
        </w:rPr>
      </w:pPr>
    </w:p>
    <w:p>
      <w:pPr>
        <w:ind w:left="860" w:hanging="651"/>
        <w:spacing w:after="0"/>
        <w:tabs>
          <w:tab w:leader="none" w:pos="8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8" w:lineRule="auto"/>
        <w:tabs>
          <w:tab w:leader="none" w:pos="15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 total of [_____]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1216660</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8" w:name="page99"/>
    <w:bookmarkEnd w:id="98"/>
    <w:p>
      <w:pPr>
        <w:ind w:left="860" w:hanging="651"/>
        <w:spacing w:after="0"/>
        <w:tabs>
          <w:tab w:leader="none" w:pos="8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Settlement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6" w:lineRule="auto"/>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otherwise be provided herein, subject to the Participant’s continued employment with, or engagement to provide services to, the Company and any of its Affiliates, the RSUs shall vest as follows: [_____] (any date on which RSUs vest,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Upon vesting, the RSUs shall no longer be subject to the transfer restrictions pursuant to Section 14(b) of the Plan or cancellation pursuant to Section 4 hereof.</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55" w:lineRule="auto"/>
        <w:tabs>
          <w:tab w:leader="none" w:pos="150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RSU shall be settled within 10 days following the Vesting Date in shares of Common Stock. The Company shall issue or deliver to the Participant in book entry notation or, if applicable, stock certificate form, the number of shares of Common Stock the Participant is entitled to receive under the terms of this Agreement.</w:t>
      </w:r>
    </w:p>
    <w:p>
      <w:pPr>
        <w:spacing w:after="0" w:line="157" w:lineRule="exact"/>
        <w:rPr>
          <w:rFonts w:ascii="Times New Roman" w:cs="Times New Roman" w:eastAsia="Times New Roman" w:hAnsi="Times New Roman"/>
          <w:sz w:val="21"/>
          <w:szCs w:val="21"/>
          <w:color w:val="auto"/>
        </w:rPr>
      </w:pPr>
    </w:p>
    <w:p>
      <w:pPr>
        <w:jc w:val="both"/>
        <w:ind w:left="860" w:right="219" w:hanging="651"/>
        <w:spacing w:after="0" w:line="234" w:lineRule="auto"/>
        <w:tabs>
          <w:tab w:leader="none" w:pos="8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In the event of any issuance of a cash dividend on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(a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color w:val="auto"/>
        </w:rPr>
        <w:t>”), the Participant shall be credited, as of the payment date for such Dividend, with an additional number of RSUs (each, an “</w:t>
      </w:r>
      <w:r>
        <w:rPr>
          <w:rFonts w:ascii="Times New Roman" w:cs="Times New Roman" w:eastAsia="Times New Roman" w:hAnsi="Times New Roman"/>
          <w:sz w:val="22"/>
          <w:szCs w:val="22"/>
          <w:u w:val="single" w:color="auto"/>
          <w:color w:val="auto"/>
        </w:rPr>
        <w:t>Additional RSU</w:t>
      </w:r>
      <w:r>
        <w:rPr>
          <w:rFonts w:ascii="Times New Roman" w:cs="Times New Roman" w:eastAsia="Times New Roman" w:hAnsi="Times New Roman"/>
          <w:sz w:val="22"/>
          <w:szCs w:val="22"/>
          <w:color w:val="auto"/>
        </w:rPr>
        <w:t>”) equal to the quotient obtained by dividing (x) the product of (i) the number of RSUs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RSU shall be treated as an RSU granted hereunder and shall be subject to all terms and conditions set forth in this Agreement and the Plan.</w:t>
      </w:r>
    </w:p>
    <w:p>
      <w:pPr>
        <w:spacing w:after="0" w:line="179"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or Services.</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9" w:lineRule="auto"/>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set forth herein, if the Participant’s employment with, or engagement to provide services to, the Company and its Affiliates terminates for any reason, all unvested RSUs shall be canceled immediately and the Participant shall not be entitled to receive any payments with respect thereto.</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48" w:lineRule="auto"/>
        <w:tabs>
          <w:tab w:leader="none" w:pos="150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the Participant’s employment with, directorship with, or engagement to provide services to, the Company is terminated prior to the final Vesting Date of the RSUs subject to this Agreement on account of such Participant’s Disability, or (ii) the Participant dies while still a director of, or still in the employ or engagement of the Company or an Affiliate prior to the final Vesting Date of the RSUs subject to this Agreement, then all remaining unvested RSUs subject to this Agreement shall vest in in full on the date of the Participant’s Disability or death, as applicable.</w:t>
      </w:r>
    </w:p>
    <w:p>
      <w:pPr>
        <w:spacing w:after="0" w:line="170" w:lineRule="exact"/>
        <w:rPr>
          <w:rFonts w:ascii="Times New Roman" w:cs="Times New Roman" w:eastAsia="Times New Roman" w:hAnsi="Times New Roman"/>
          <w:sz w:val="21"/>
          <w:szCs w:val="21"/>
          <w:color w:val="auto"/>
        </w:rPr>
      </w:pPr>
    </w:p>
    <w:p>
      <w:pPr>
        <w:jc w:val="both"/>
        <w:ind w:left="1500" w:right="219" w:hanging="643"/>
        <w:spacing w:after="0" w:line="235" w:lineRule="auto"/>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or a Subsidiary is terminated prior to the final Vesting Date of the RSUs subject to this Agreement on account of such Participant’s Retirement, then provided that a portion of the RSUs subject to this Agreement have vested as of the date of the Participant’s Retirement, all remaining unvested RSUs subject to this Agreement shall continue to vest in accordance with Section 2 on and following the date of the Participant’s Retirement. For purposes of this Section 4(c):</w:t>
      </w: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9" w:name="page100"/>
    <w:bookmarkEnd w:id="99"/>
    <w:p>
      <w:pPr>
        <w:jc w:val="both"/>
        <w:ind w:left="2160" w:right="219" w:hanging="655"/>
        <w:spacing w:after="0" w:line="253" w:lineRule="auto"/>
        <w:tabs>
          <w:tab w:leader="none" w:pos="21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(i) the termination of the Participant’s employment with the Company or a Subsidiary was (a) voluntarily made by the Participant, or</w:t>
      </w:r>
    </w:p>
    <w:p>
      <w:pPr>
        <w:jc w:val="both"/>
        <w:ind w:left="21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mutually agreed upon by between the Participant and the Company, and, in each case, without Cause, as determined by the Committee, in its sole discretion, (ii) the Participant has provided a minimum of five Years of Service to the Company or a Subsidiary and attained a minimum age of 60, in each case, as of the date of such termination, and (iii) the Participant has provided six months advanced notice of such Participant’s consideration of retirement to the Company (or to the Board, if the Participant is subject to Section 16 of the Exchange Act), as determined by the Committee in its sole discretion.</w:t>
      </w:r>
    </w:p>
    <w:p>
      <w:pPr>
        <w:spacing w:after="0" w:line="178" w:lineRule="exact"/>
        <w:rPr>
          <w:sz w:val="20"/>
          <w:szCs w:val="20"/>
          <w:color w:val="auto"/>
        </w:rPr>
      </w:pPr>
    </w:p>
    <w:p>
      <w:pPr>
        <w:jc w:val="both"/>
        <w:ind w:left="2160" w:right="219" w:hanging="655"/>
        <w:spacing w:after="0" w:line="235" w:lineRule="auto"/>
        <w:tabs>
          <w:tab w:leader="none" w:pos="216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xml:space="preserve">” means a Participant’s total number of years of employment with the Company or a Subsidiary based on a period of employment beginning on the Participant’s date of hire by the Company or a Subsidiary and ending on the date of termination of the Participant’s employment with the Company or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Years of Services shall not include any period of a Participant’s employment with a Subsidiary or a business acquired by the Company prior to the date that such Subsidiary or business was acquired by the Company.</w:t>
      </w:r>
    </w:p>
    <w:p>
      <w:pPr>
        <w:spacing w:after="0" w:line="174" w:lineRule="exact"/>
        <w:rPr>
          <w:rFonts w:ascii="Times New Roman" w:cs="Times New Roman" w:eastAsia="Times New Roman" w:hAnsi="Times New Roman"/>
          <w:sz w:val="22"/>
          <w:szCs w:val="22"/>
          <w:color w:val="auto"/>
        </w:rPr>
      </w:pPr>
    </w:p>
    <w:p>
      <w:pPr>
        <w:jc w:val="both"/>
        <w:ind w:left="860" w:right="219" w:hanging="651"/>
        <w:spacing w:after="0" w:line="234" w:lineRule="auto"/>
        <w:tabs>
          <w:tab w:leader="none" w:pos="8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Stockholder. </w:t>
      </w:r>
      <w:r>
        <w:rPr>
          <w:rFonts w:ascii="Times New Roman" w:cs="Times New Roman" w:eastAsia="Times New Roman" w:hAnsi="Times New Roman"/>
          <w:sz w:val="22"/>
          <w:szCs w:val="22"/>
          <w:color w:val="auto"/>
        </w:rPr>
        <w:t>The Participant shall not be deemed for any purpose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 of any shares of Common Stock underlying the 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w:t>
      </w:r>
    </w:p>
    <w:p>
      <w:pPr>
        <w:spacing w:after="0" w:line="6" w:lineRule="exact"/>
        <w:rPr>
          <w:rFonts w:ascii="Times New Roman" w:cs="Times New Roman" w:eastAsia="Times New Roman" w:hAnsi="Times New Roman"/>
          <w:sz w:val="22"/>
          <w:szCs w:val="22"/>
          <w:b w:val="1"/>
          <w:bCs w:val="1"/>
          <w:color w:val="auto"/>
        </w:rPr>
      </w:pPr>
    </w:p>
    <w:p>
      <w:pPr>
        <w:ind w:left="860" w:right="219" w:hanging="3"/>
        <w:spacing w:after="0" w:line="237" w:lineRule="auto"/>
        <w:tabs>
          <w:tab w:leader="none" w:pos="119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preceding sentence to occur promptly following settlement as contemplated by this Agreement, subject to compliance with applicable laws.</w:t>
      </w:r>
    </w:p>
    <w:p>
      <w:pPr>
        <w:spacing w:after="0" w:line="174"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Legal Requirements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5" w:lineRule="auto"/>
        <w:tabs>
          <w:tab w:leader="none" w:pos="15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49" w:lineRule="auto"/>
        <w:tabs>
          <w:tab w:leader="none" w:pos="150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0" w:name="page101"/>
    <w:bookmarkEnd w:id="100"/>
    <w:p>
      <w:pPr>
        <w:jc w:val="both"/>
        <w:ind w:left="1500" w:right="219"/>
        <w:spacing w:after="0" w:line="234" w:lineRule="auto"/>
        <w:rPr>
          <w:sz w:val="20"/>
          <w:szCs w:val="20"/>
          <w:color w:val="auto"/>
        </w:rPr>
      </w:pPr>
      <w:r>
        <w:rPr>
          <w:rFonts w:ascii="Times New Roman" w:cs="Times New Roman" w:eastAsia="Times New Roman" w:hAnsi="Times New Roman"/>
          <w:sz w:val="22"/>
          <w:szCs w:val="22"/>
          <w:color w:val="auto"/>
        </w:rPr>
        <w:t>amount (in cash,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(up to the maximum permissible withholding amounts). In its sole discretion, the Company may permit the Participant to satisfy, in whole or in part, the tax obligations by withholding shares of Common Stock that would otherwise be deliverable to the Participant upon settlement of the RSUs with a Fair Market Value equal to such withholding liability.</w:t>
      </w:r>
    </w:p>
    <w:p>
      <w:pPr>
        <w:spacing w:after="0" w:line="179" w:lineRule="exact"/>
        <w:rPr>
          <w:sz w:val="20"/>
          <w:szCs w:val="20"/>
          <w:color w:val="auto"/>
        </w:rPr>
      </w:pPr>
    </w:p>
    <w:p>
      <w:pPr>
        <w:jc w:val="both"/>
        <w:ind w:left="860" w:right="219" w:hanging="651"/>
        <w:spacing w:after="0" w:line="243" w:lineRule="auto"/>
        <w:tabs>
          <w:tab w:leader="none" w:pos="86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Clawback. </w:t>
      </w:r>
      <w:r>
        <w:rPr>
          <w:rFonts w:ascii="Times New Roman" w:cs="Times New Roman" w:eastAsia="Times New Roman" w:hAnsi="Times New Roman"/>
          <w:sz w:val="21"/>
          <w:szCs w:val="21"/>
          <w:color w:val="auto"/>
        </w:rPr>
        <w:t>Notwithstanding anything to the contrary contained herein, the Committee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cancel the RSU award if 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if the Participant violates the covenants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82" w:lineRule="exact"/>
        <w:rPr>
          <w:rFonts w:ascii="Times New Roman" w:cs="Times New Roman" w:eastAsia="Times New Roman" w:hAnsi="Times New Roman"/>
          <w:sz w:val="21"/>
          <w:szCs w:val="21"/>
          <w:b w:val="1"/>
          <w:bCs w:val="1"/>
          <w:color w:val="auto"/>
        </w:rPr>
      </w:pPr>
    </w:p>
    <w:p>
      <w:pPr>
        <w:ind w:left="860" w:hanging="651"/>
        <w:spacing w:after="0"/>
        <w:tabs>
          <w:tab w:leader="none" w:pos="8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39" w:hanging="643"/>
        <w:spacing w:after="0" w:line="238" w:lineRule="auto"/>
        <w:tabs>
          <w:tab w:leader="none" w:pos="15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incorporated herein and forms part of this Agreement.</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Participant violates any of the restrictive covenants referred to in this Section 8, in addition to any other remedy that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1" w:name="page102"/>
    <w:bookmarkEnd w:id="101"/>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from bringing one or more actions in any applicable jurisdiction to recover damages as a result of the Participant’s breach of such restrictive covenants.</w:t>
      </w:r>
    </w:p>
    <w:p>
      <w:pPr>
        <w:spacing w:after="0" w:line="154" w:lineRule="exact"/>
        <w:rPr>
          <w:sz w:val="20"/>
          <w:szCs w:val="20"/>
          <w:color w:val="auto"/>
        </w:rPr>
      </w:pPr>
    </w:p>
    <w:p>
      <w:pPr>
        <w:ind w:left="860" w:hanging="651"/>
        <w:spacing w:after="0"/>
        <w:tabs>
          <w:tab w:leader="none" w:pos="8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5" w:lineRule="auto"/>
        <w:tabs>
          <w:tab w:leader="none" w:pos="15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RSUs may not be assigned, alienated, pledged, attached, sold or otherwise transferred or encumbered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by the Participant other than by will or by the laws of descent and distribution, pursuant to a qualified domestic relations order or as otherwise permitted under Section 14(b) of the Plan. Any attempted Transfer of the RSUs contrary to the provisions hereof, and the levy of any execution, attachment or similar process upon the RSUs, shall be null and void and without effect.</w:t>
      </w:r>
    </w:p>
    <w:p>
      <w:pPr>
        <w:spacing w:after="0" w:line="183"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2" w:name="page103"/>
    <w:bookmarkEnd w:id="102"/>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Company, to the attention of the General Counsel and to the Head of Human Resources at the Company’s principal executive office.</w:t>
      </w:r>
    </w:p>
    <w:p>
      <w:pPr>
        <w:spacing w:after="0" w:line="158" w:lineRule="exact"/>
        <w:rPr>
          <w:sz w:val="20"/>
          <w:szCs w:val="20"/>
          <w:color w:val="auto"/>
        </w:rPr>
      </w:pPr>
    </w:p>
    <w:p>
      <w:pPr>
        <w:jc w:val="both"/>
        <w:ind w:left="1500" w:right="219" w:hanging="643"/>
        <w:spacing w:after="0" w:line="239"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 or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of Common Stock resulting from an adjustment of the RSUs pursuant to Section 11 of the Plan or otherwise, the Company shall be entitled to pay to the Participant an amount in cash equal to the Fair Market Value of such fractional share.</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in accordance with the terms of such agreement. No change, modification or waiver of any provision of this Agreement shall be valid unless the same be in writing and signed by the parties hereto, except for any changes permitted without consent under Section 11 or 12 of the Plan.</w:t>
      </w:r>
    </w:p>
    <w:p>
      <w:pPr>
        <w:spacing w:after="0" w:line="187"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3" w:name="page104"/>
    <w:bookmarkEnd w:id="103"/>
    <w:p>
      <w:pPr>
        <w:jc w:val="both"/>
        <w:ind w:left="2160" w:right="219" w:hanging="655"/>
        <w:spacing w:after="0" w:line="232" w:lineRule="auto"/>
        <w:tabs>
          <w:tab w:leader="none" w:pos="21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 Consent to Jurisdiction</w:t>
      </w:r>
      <w:r>
        <w:rPr>
          <w:rFonts w:ascii="Times New Roman" w:cs="Times New Roman" w:eastAsia="Times New Roman" w:hAnsi="Times New Roman"/>
          <w:sz w:val="22"/>
          <w:szCs w:val="22"/>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91" w:lineRule="exact"/>
        <w:rPr>
          <w:rFonts w:ascii="Times New Roman" w:cs="Times New Roman" w:eastAsia="Times New Roman" w:hAnsi="Times New Roman"/>
          <w:sz w:val="22"/>
          <w:szCs w:val="22"/>
          <w:color w:val="auto"/>
        </w:rPr>
      </w:pPr>
    </w:p>
    <w:p>
      <w:pPr>
        <w:jc w:val="both"/>
        <w:ind w:left="2160" w:right="219" w:hanging="655"/>
        <w:spacing w:after="0" w:line="246" w:lineRule="auto"/>
        <w:tabs>
          <w:tab w:leader="none" w:pos="216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0" w:lineRule="exact"/>
        <w:rPr>
          <w:rFonts w:ascii="Times New Roman" w:cs="Times New Roman" w:eastAsia="Times New Roman" w:hAnsi="Times New Roman"/>
          <w:sz w:val="21"/>
          <w:szCs w:val="21"/>
          <w:color w:val="auto"/>
        </w:rPr>
      </w:pPr>
    </w:p>
    <w:p>
      <w:pPr>
        <w:jc w:val="both"/>
        <w:ind w:left="1500" w:right="219" w:hanging="643"/>
        <w:spacing w:after="0" w:line="244"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 and Delivery</w:t>
      </w:r>
      <w:r>
        <w:rPr>
          <w:rFonts w:ascii="Times New Roman" w:cs="Times New Roman" w:eastAsia="Times New Roman" w:hAnsi="Times New Roman"/>
          <w:sz w:val="22"/>
          <w:szCs w:val="22"/>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4" w:name="page105"/>
    <w:bookmarkEnd w:id="104"/>
    <w:p>
      <w:pPr>
        <w:jc w:val="both"/>
        <w:ind w:left="1500" w:right="219" w:hanging="643"/>
        <w:spacing w:after="0" w:line="236" w:lineRule="auto"/>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Participation in Plan</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5" w:name="page106"/>
    <w:bookmarkEnd w:id="105"/>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Restricted Stock Unit Award Agreement has been executed by the Company and the Participant as of the day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-13970</wp:posOffset>
            </wp:positionV>
            <wp:extent cx="20554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055495" cy="889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22"/>
          <w:szCs w:val="22"/>
          <w:color w:val="auto"/>
        </w:rPr>
        <w:t>Name:</w:t>
      </w:r>
    </w:p>
    <w:p>
      <w:pPr>
        <w:ind w:left="54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433070</wp:posOffset>
            </wp:positionV>
            <wp:extent cx="24676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2467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[______________] Restricted Stock Award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6" w:name="page107"/>
    <w:bookmarkEnd w:id="10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both"/>
        <w:ind w:left="700" w:right="219" w:hanging="491"/>
        <w:spacing w:after="0" w:line="239" w:lineRule="auto"/>
        <w:tabs>
          <w:tab w:leader="none" w:pos="7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Participant’s employment with, or other engagement to provide services to, the Company or any of its Affiliates and for a period of twenty-four (24) months thereafter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Participant shall not, either directly or indirectly, for himself or herself or on behalf of or in conjunction with any other Person:</w:t>
      </w:r>
    </w:p>
    <w:p>
      <w:pPr>
        <w:spacing w:after="0" w:line="207" w:lineRule="exact"/>
        <w:rPr>
          <w:rFonts w:ascii="Times New Roman" w:cs="Times New Roman" w:eastAsia="Times New Roman" w:hAnsi="Times New Roman"/>
          <w:sz w:val="22"/>
          <w:szCs w:val="22"/>
          <w:color w:val="auto"/>
        </w:rPr>
      </w:pPr>
    </w:p>
    <w:p>
      <w:pPr>
        <w:jc w:val="both"/>
        <w:ind w:left="1500" w:right="219" w:hanging="643"/>
        <w:spacing w:after="0" w:line="261" w:lineRule="auto"/>
        <w:tabs>
          <w:tab w:leader="none" w:pos="150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84" w:lineRule="exact"/>
        <w:rPr>
          <w:rFonts w:ascii="Times New Roman" w:cs="Times New Roman" w:eastAsia="Times New Roman" w:hAnsi="Times New Roman"/>
          <w:sz w:val="21"/>
          <w:szCs w:val="21"/>
          <w:color w:val="auto"/>
        </w:rPr>
      </w:pPr>
    </w:p>
    <w:p>
      <w:pPr>
        <w:jc w:val="both"/>
        <w:ind w:left="1500" w:right="219" w:hanging="643"/>
        <w:spacing w:after="0" w:line="236" w:lineRule="auto"/>
        <w:tabs>
          <w:tab w:leader="none" w:pos="15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year period preceding the termination of Participant’s employment.</w:t>
      </w:r>
    </w:p>
    <w:p>
      <w:pPr>
        <w:spacing w:after="0" w:line="208" w:lineRule="exact"/>
        <w:rPr>
          <w:rFonts w:ascii="Times New Roman" w:cs="Times New Roman" w:eastAsia="Times New Roman" w:hAnsi="Times New Roman"/>
          <w:sz w:val="22"/>
          <w:szCs w:val="22"/>
          <w:color w:val="auto"/>
        </w:rPr>
      </w:pPr>
    </w:p>
    <w:p>
      <w:pPr>
        <w:jc w:val="both"/>
        <w:ind w:left="860" w:right="219" w:hanging="651"/>
        <w:spacing w:after="0" w:line="233"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211" w:lineRule="exact"/>
        <w:rPr>
          <w:rFonts w:ascii="Times New Roman" w:cs="Times New Roman" w:eastAsia="Times New Roman" w:hAnsi="Times New Roman"/>
          <w:sz w:val="22"/>
          <w:szCs w:val="22"/>
          <w:color w:val="auto"/>
        </w:rPr>
      </w:pPr>
    </w:p>
    <w:p>
      <w:pPr>
        <w:jc w:val="both"/>
        <w:ind w:left="860" w:right="219" w:hanging="651"/>
        <w:spacing w:after="0" w:line="244" w:lineRule="auto"/>
        <w:tabs>
          <w:tab w:leader="none" w:pos="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107" w:name="page108"/>
    <w:bookmarkEnd w:id="107"/>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or on the Participant’s behalf or (y) information that the Participant can demonstrate to have had rightfully in the Participant’s possession prior to the date on which the Participant first provided services to any Latham Company.</w:t>
      </w:r>
    </w:p>
    <w:p>
      <w:pPr>
        <w:spacing w:after="0" w:line="200" w:lineRule="exact"/>
        <w:rPr>
          <w:sz w:val="20"/>
          <w:szCs w:val="20"/>
          <w:color w:val="auto"/>
        </w:rPr>
      </w:pPr>
    </w:p>
    <w:p>
      <w:pPr>
        <w:jc w:val="both"/>
        <w:ind w:left="860" w:right="219" w:hanging="651"/>
        <w:spacing w:after="0" w:line="238" w:lineRule="auto"/>
        <w:tabs>
          <w:tab w:leader="none" w:pos="8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20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pricing, cost, or profit factors; quality programs; annual budget and long-range business plans; marketing plans and methods; contracts and bids; and business ideas and methods, store concepts, inventions, innovations, developments, graphic designs, website designs, patterns, specifications, procedures, databases and personnel.</w:t>
      </w:r>
    </w:p>
    <w:p>
      <w:pPr>
        <w:spacing w:after="0" w:line="214"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Latham Companies</w:t>
      </w:r>
      <w:r>
        <w:rPr>
          <w:rFonts w:ascii="Times New Roman" w:cs="Times New Roman" w:eastAsia="Times New Roman" w:hAnsi="Times New Roman"/>
          <w:sz w:val="22"/>
          <w:szCs w:val="22"/>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207"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w:t>
      </w:r>
      <w:r>
        <w:rPr>
          <w:rFonts w:ascii="Times New Roman" w:cs="Times New Roman" w:eastAsia="Times New Roman" w:hAnsi="Times New Roman"/>
          <w:sz w:val="22"/>
          <w:szCs w:val="22"/>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206" w:lineRule="exact"/>
        <w:rPr>
          <w:rFonts w:ascii="Times New Roman" w:cs="Times New Roman" w:eastAsia="Times New Roman" w:hAnsi="Times New Roman"/>
          <w:sz w:val="22"/>
          <w:szCs w:val="22"/>
          <w:color w:val="auto"/>
        </w:rPr>
      </w:pPr>
    </w:p>
    <w:p>
      <w:pPr>
        <w:jc w:val="both"/>
        <w:ind w:left="860" w:right="219" w:hanging="651"/>
        <w:spacing w:after="0" w:line="255" w:lineRule="auto"/>
        <w:tabs>
          <w:tab w:leader="none" w:pos="8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accepting any offer of employment during the Restricted Period, the Participant shall inform such employers of all covenants in this Exhibit A and, within two (2) business days of accepting an offer of employment with another employer, shall notify the Company of the name and address of the new employer and the title of the position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8" w:name="page109"/>
    <w:bookmarkEnd w:id="108"/>
    <w:p>
      <w:pPr>
        <w:jc w:val="both"/>
        <w:ind w:left="860" w:right="219" w:hanging="651"/>
        <w:spacing w:after="0" w:line="248" w:lineRule="auto"/>
        <w:tabs>
          <w:tab w:leader="none" w:pos="8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are severable and separate, and the unenforceability of any specific covenant shall not affect the provisions of any other covenant. If any provision of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97" w:lineRule="exact"/>
        <w:rPr>
          <w:rFonts w:ascii="Times New Roman" w:cs="Times New Roman" w:eastAsia="Times New Roman" w:hAnsi="Times New Roman"/>
          <w:sz w:val="21"/>
          <w:szCs w:val="21"/>
          <w:color w:val="auto"/>
        </w:rPr>
      </w:pPr>
    </w:p>
    <w:p>
      <w:pPr>
        <w:jc w:val="both"/>
        <w:ind w:left="860" w:right="219" w:hanging="651"/>
        <w:spacing w:after="0" w:line="238" w:lineRule="auto"/>
        <w:tabs>
          <w:tab w:leader="none" w:pos="8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as an agreement independent of any other provisions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existence of any claim or cause of action the Participant may have against any Latham Company, whether predicated on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or otherwise, shall not constitute a defense to the enforcement by any Latham Company of such covenants.</w:t>
      </w:r>
    </w:p>
    <w:p>
      <w:pPr>
        <w:spacing w:after="0" w:line="203" w:lineRule="exact"/>
        <w:rPr>
          <w:rFonts w:ascii="Times New Roman" w:cs="Times New Roman" w:eastAsia="Times New Roman" w:hAnsi="Times New Roman"/>
          <w:sz w:val="22"/>
          <w:szCs w:val="22"/>
          <w:color w:val="auto"/>
        </w:rPr>
      </w:pPr>
    </w:p>
    <w:p>
      <w:pPr>
        <w:jc w:val="both"/>
        <w:ind w:left="860" w:right="239" w:hanging="651"/>
        <w:spacing w:after="0" w:line="239" w:lineRule="auto"/>
        <w:tabs>
          <w:tab w:leader="none" w:pos="8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7"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disputes between or among any Persons arising out of or in any way connected with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waives, to the fullest extent permitted by applicable law, any right it may have to a trial by jury in any legal proceeding directly or indirectly arising out of or relating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10" w:lineRule="exact"/>
        <w:rPr>
          <w:rFonts w:ascii="Times New Roman" w:cs="Times New Roman" w:eastAsia="Times New Roman" w:hAnsi="Times New Roman"/>
          <w:sz w:val="22"/>
          <w:szCs w:val="22"/>
          <w:color w:val="auto"/>
        </w:rPr>
      </w:pPr>
    </w:p>
    <w:p>
      <w:pPr>
        <w:ind w:left="860" w:right="219" w:hanging="651"/>
        <w:spacing w:after="0" w:line="258" w:lineRule="auto"/>
        <w:tabs>
          <w:tab w:leader="none" w:pos="8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has carefully read and considered the provisions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having done so, agrees that the restrictive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impose a fair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9" w:name="page110"/>
    <w:bookmarkEnd w:id="109"/>
    <w:p>
      <w:pPr>
        <w:jc w:val="both"/>
        <w:ind w:left="860" w:right="219"/>
        <w:spacing w:after="0"/>
        <w:rPr>
          <w:sz w:val="20"/>
          <w:szCs w:val="20"/>
          <w:color w:val="auto"/>
        </w:rPr>
      </w:pPr>
      <w:r>
        <w:rPr>
          <w:rFonts w:ascii="Times New Roman" w:cs="Times New Roman" w:eastAsia="Times New Roman" w:hAnsi="Times New Roman"/>
          <w:sz w:val="22"/>
          <w:szCs w:val="22"/>
          <w:color w:val="auto"/>
        </w:rPr>
        <w:t>reasonable restraint on the Participant and are reasonably required to protect the interests of the Latham Companies and their respective officers, directors, employees, and equityholders.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61207201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OMNIBUS EQUITY INCENTIVE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APPRECIATION RIGHT AWARD AGREEMENT</w:t>
      </w:r>
    </w:p>
    <w:p>
      <w:pPr>
        <w:spacing w:after="0" w:line="18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THIS STOCK APPRECIATION RIGHT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[__________], 20[__]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by and between Latham Group,</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Plan, pursuant to which stock appreciation rights (the “</w:t>
      </w:r>
      <w:r>
        <w:rPr>
          <w:rFonts w:ascii="Times New Roman" w:cs="Times New Roman" w:eastAsia="Times New Roman" w:hAnsi="Times New Roman"/>
          <w:sz w:val="22"/>
          <w:szCs w:val="22"/>
          <w:u w:val="single" w:color="auto"/>
          <w:color w:val="auto"/>
        </w:rPr>
        <w:t>SARs</w:t>
      </w:r>
      <w:r>
        <w:rPr>
          <w:rFonts w:ascii="Times New Roman" w:cs="Times New Roman" w:eastAsia="Times New Roman" w:hAnsi="Times New Roman"/>
          <w:sz w:val="22"/>
          <w:szCs w:val="22"/>
          <w:color w:val="auto"/>
        </w:rPr>
        <w:t>”) may be granted; and</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WHEREAS, the Committee has determined that it is in the best interests of the Company and its stockholders to grant the SARs provided for herein to the Participant on the terms and subject to the conditions set forth herein.</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6" w:lineRule="exact"/>
        <w:rPr>
          <w:sz w:val="20"/>
          <w:szCs w:val="20"/>
          <w:color w:val="auto"/>
        </w:rPr>
      </w:pPr>
    </w:p>
    <w:p>
      <w:pPr>
        <w:ind w:left="860" w:hanging="651"/>
        <w:spacing w:after="0"/>
        <w:tabs>
          <w:tab w:leader="none" w:pos="8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73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Grant. The Company hereby grants to the Participant a total of [​  ] SARs with a</w:t>
            </w:r>
          </w:p>
        </w:tc>
      </w:tr>
      <w:tr>
        <w:trPr>
          <w:trHeight w:val="223"/>
        </w:trPr>
        <w:tc>
          <w:tcPr>
            <w:tcW w:w="640" w:type="dxa"/>
            <w:vAlign w:val="bottom"/>
          </w:tcPr>
          <w:p>
            <w:pPr>
              <w:spacing w:after="0"/>
              <w:rPr>
                <w:sz w:val="19"/>
                <w:szCs w:val="19"/>
                <w:color w:val="auto"/>
              </w:rPr>
            </w:pPr>
          </w:p>
        </w:tc>
        <w:tc>
          <w:tcPr>
            <w:tcW w:w="5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w w:val="91"/>
              </w:rPr>
              <w:t>Strike</w:t>
            </w:r>
          </w:p>
        </w:tc>
        <w:tc>
          <w:tcPr>
            <w:tcW w:w="1040" w:type="dxa"/>
            <w:vAlign w:val="bottom"/>
          </w:tcPr>
          <w:p>
            <w:pPr>
              <w:ind w:left="80"/>
              <w:spacing w:after="0" w:line="223" w:lineRule="exact"/>
              <w:rPr>
                <w:sz w:val="20"/>
                <w:szCs w:val="20"/>
                <w:color w:val="auto"/>
              </w:rPr>
            </w:pPr>
            <w:r>
              <w:rPr>
                <w:rFonts w:ascii="Times New Roman" w:cs="Times New Roman" w:eastAsia="Times New Roman" w:hAnsi="Times New Roman"/>
                <w:sz w:val="22"/>
                <w:szCs w:val="22"/>
                <w:color w:val="auto"/>
              </w:rPr>
              <w:t>Price of $[</w:t>
            </w:r>
          </w:p>
        </w:tc>
        <w:tc>
          <w:tcPr>
            <w:tcW w:w="440" w:type="dxa"/>
            <w:vAlign w:val="bottom"/>
            <w:tcBorders>
              <w:bottom w:val="single" w:sz="8" w:color="auto"/>
            </w:tcBorders>
          </w:tcPr>
          <w:p>
            <w:pPr>
              <w:spacing w:after="0"/>
              <w:rPr>
                <w:sz w:val="19"/>
                <w:szCs w:val="19"/>
                <w:color w:val="auto"/>
              </w:rPr>
            </w:pPr>
          </w:p>
        </w:tc>
        <w:tc>
          <w:tcPr>
            <w:tcW w:w="3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6"/>
              </w:rPr>
              <w:t>], on the terms and subject to the conditions</w:t>
            </w:r>
          </w:p>
        </w:tc>
        <w:tc>
          <w:tcPr>
            <w:tcW w:w="280" w:type="dxa"/>
            <w:vAlign w:val="bottom"/>
            <w:tcBorders>
              <w:top w:val="single" w:sz="8" w:color="auto"/>
            </w:tcBorders>
          </w:tcPr>
          <w:p>
            <w:pPr>
              <w:spacing w:after="0"/>
              <w:rPr>
                <w:sz w:val="19"/>
                <w:szCs w:val="19"/>
                <w:color w:val="auto"/>
              </w:rPr>
            </w:pPr>
          </w:p>
        </w:tc>
        <w:tc>
          <w:tcPr>
            <w:tcW w:w="13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6"/>
              </w:rPr>
              <w:t>set forth in this</w:t>
            </w:r>
          </w:p>
        </w:tc>
      </w:tr>
    </w:tbl>
    <w:p>
      <w:pPr>
        <w:jc w:val="both"/>
        <w:ind w:left="1500" w:right="219"/>
        <w:spacing w:after="0" w:line="246" w:lineRule="auto"/>
        <w:rPr>
          <w:sz w:val="20"/>
          <w:szCs w:val="20"/>
          <w:color w:val="auto"/>
        </w:rPr>
      </w:pPr>
      <w:r>
        <w:rPr>
          <w:rFonts w:ascii="Times New Roman" w:cs="Times New Roman" w:eastAsia="Times New Roman" w:hAnsi="Times New Roman"/>
          <w:sz w:val="21"/>
          <w:szCs w:val="21"/>
          <w:color w:val="auto"/>
        </w:rPr>
        <w:t>Agreement and as otherwise provided in the Plan, pursuant to which the Participant shall be eligible to receive a number of shares of Common Stock with a Fair Market Value, determined on the date of exercise, equal to the product of (i) the aggregate number of vested SARs exercised multiplied by (ii) the excess of (A) the Fair Market Value of a share of Common Stock, determined on the date of exercise, over</w:t>
      </w:r>
    </w:p>
    <w:p>
      <w:pPr>
        <w:spacing w:after="0" w:line="1" w:lineRule="exact"/>
        <w:rPr>
          <w:sz w:val="20"/>
          <w:szCs w:val="20"/>
          <w:color w:val="auto"/>
        </w:rPr>
      </w:pPr>
    </w:p>
    <w:p>
      <w:pPr>
        <w:jc w:val="both"/>
        <w:ind w:left="1500" w:right="219" w:firstLine="5"/>
        <w:spacing w:after="0" w:line="247" w:lineRule="auto"/>
        <w:tabs>
          <w:tab w:leader="none" w:pos="1897"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Strike Price specified above, subject to Participant’s fulfillment of the vesting and other conditions set forth in this Agreement. The SARs may only be settled in shares of Common Stock and shall vest in accordance with Section 2. The SARs subject to this Agreement are not being issued in tandem with an Option.</w:t>
      </w:r>
    </w:p>
    <w:p>
      <w:pPr>
        <w:spacing w:after="0" w:line="169" w:lineRule="exact"/>
        <w:rPr>
          <w:rFonts w:ascii="Times New Roman" w:cs="Times New Roman" w:eastAsia="Times New Roman" w:hAnsi="Times New Roman"/>
          <w:sz w:val="21"/>
          <w:szCs w:val="21"/>
          <w:color w:val="auto"/>
        </w:rPr>
      </w:pPr>
    </w:p>
    <w:p>
      <w:pPr>
        <w:jc w:val="both"/>
        <w:ind w:left="1500" w:right="219" w:hanging="643"/>
        <w:spacing w:after="0" w:line="247" w:lineRule="auto"/>
        <w:tabs>
          <w:tab w:leader="none" w:pos="15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by Reference</w:t>
      </w:r>
      <w:r>
        <w:rPr>
          <w:rFonts w:ascii="Times New Roman" w:cs="Times New Roman" w:eastAsia="Times New Roman" w:hAnsi="Times New Roman"/>
          <w:sz w:val="21"/>
          <w:szCs w:val="21"/>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1" w:name="page112"/>
    <w:bookmarkEnd w:id="111"/>
    <w:p>
      <w:pPr>
        <w:jc w:val="both"/>
        <w:ind w:left="1500" w:right="239"/>
        <w:spacing w:after="0" w:line="244" w:lineRule="auto"/>
        <w:rPr>
          <w:sz w:val="20"/>
          <w:szCs w:val="20"/>
          <w:color w:val="auto"/>
        </w:rPr>
      </w:pPr>
      <w:r>
        <w:rPr>
          <w:rFonts w:ascii="Times New Roman" w:cs="Times New Roman" w:eastAsia="Times New Roman" w:hAnsi="Times New Roman"/>
          <w:sz w:val="22"/>
          <w:szCs w:val="22"/>
          <w:color w:val="auto"/>
        </w:rPr>
        <w:t>Agreement. The Participant acknowledges that the Participant has received a copy of the Plan and has had an opportunity to review the Plan and agrees to be bound by all the terms and provisions of the Plan.</w:t>
      </w:r>
    </w:p>
    <w:p>
      <w:pPr>
        <w:spacing w:after="0" w:line="169" w:lineRule="exact"/>
        <w:rPr>
          <w:sz w:val="20"/>
          <w:szCs w:val="20"/>
          <w:color w:val="auto"/>
        </w:rPr>
      </w:pPr>
    </w:p>
    <w:p>
      <w:pPr>
        <w:jc w:val="both"/>
        <w:ind w:left="200" w:right="219" w:firstLine="9"/>
        <w:spacing w:after="0" w:line="255" w:lineRule="auto"/>
        <w:tabs>
          <w:tab w:leader="none" w:pos="848"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Except as may otherwise be provided herein, subject to the Participant’s continued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appointment as a director of, or engagement to provide services to, the</w:t>
      </w:r>
    </w:p>
    <w:p>
      <w:pPr>
        <w:jc w:val="both"/>
        <w:ind w:left="200" w:right="219"/>
        <w:spacing w:after="0" w:line="24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Company or any of its Affiliates, the SARs shall vest and become exercisable in equal installments on each of the first [​ ] anniversaries of the Date of Grant (each such date,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b w:val="1"/>
          <w:bCs w:val="1"/>
          <w:color w:val="auto"/>
        </w:rPr>
      </w:pPr>
    </w:p>
    <w:p>
      <w:pPr>
        <w:jc w:val="both"/>
        <w:ind w:left="200" w:right="219"/>
        <w:spacing w:after="0" w:line="23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resulting aggregate number of vested SARs will be rounded to the nearest whole number, provided that the Participant may not vest in more than the number of SARs set forth in Section</w:t>
      </w:r>
    </w:p>
    <w:p>
      <w:pPr>
        <w:spacing w:after="0" w:line="1" w:lineRule="exact"/>
        <w:rPr>
          <w:rFonts w:ascii="Times New Roman" w:cs="Times New Roman" w:eastAsia="Times New Roman" w:hAnsi="Times New Roman"/>
          <w:sz w:val="21"/>
          <w:szCs w:val="21"/>
          <w:b w:val="1"/>
          <w:bCs w:val="1"/>
          <w:color w:val="auto"/>
        </w:rPr>
      </w:pPr>
    </w:p>
    <w:p>
      <w:pPr>
        <w:ind w:left="2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1(a).</w:t>
      </w:r>
    </w:p>
    <w:p>
      <w:pPr>
        <w:spacing w:after="0" w:line="178" w:lineRule="exact"/>
        <w:rPr>
          <w:rFonts w:ascii="Times New Roman" w:cs="Times New Roman" w:eastAsia="Times New Roman" w:hAnsi="Times New Roman"/>
          <w:sz w:val="21"/>
          <w:szCs w:val="21"/>
          <w:b w:val="1"/>
          <w:bCs w:val="1"/>
          <w:color w:val="auto"/>
        </w:rPr>
      </w:pPr>
    </w:p>
    <w:p>
      <w:pPr>
        <w:jc w:val="both"/>
        <w:ind w:left="200" w:right="239" w:firstLine="9"/>
        <w:spacing w:after="0" w:line="255" w:lineRule="auto"/>
        <w:tabs>
          <w:tab w:leader="none" w:pos="848"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 or Services</w:t>
      </w:r>
      <w:r>
        <w:rPr>
          <w:rFonts w:ascii="Times New Roman" w:cs="Times New Roman" w:eastAsia="Times New Roman" w:hAnsi="Times New Roman"/>
          <w:sz w:val="21"/>
          <w:szCs w:val="21"/>
          <w:color w:val="auto"/>
        </w:rPr>
        <w:t>. Except as otherwise expressly set forth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the Participant’s employment with, membership on the board of directors of, or engagement to</w:t>
      </w:r>
    </w:p>
    <w:p>
      <w:pPr>
        <w:jc w:val="both"/>
        <w:ind w:left="200" w:right="219"/>
        <w:spacing w:after="0" w:line="24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 services to, the Company and its Affiliates terminates for any reason, the unvested portion of the SARs shall be canceled immediately and the Participant shall immediately forfeit without</w:t>
      </w:r>
    </w:p>
    <w:p>
      <w:pPr>
        <w:spacing w:after="0" w:line="1" w:lineRule="exact"/>
        <w:rPr>
          <w:rFonts w:ascii="Times New Roman" w:cs="Times New Roman" w:eastAsia="Times New Roman" w:hAnsi="Times New Roman"/>
          <w:sz w:val="21"/>
          <w:szCs w:val="21"/>
          <w:b w:val="1"/>
          <w:bCs w:val="1"/>
          <w:color w:val="auto"/>
        </w:rPr>
      </w:pPr>
    </w:p>
    <w:p>
      <w:pPr>
        <w:jc w:val="both"/>
        <w:ind w:left="200" w:right="219"/>
        <w:spacing w:after="0" w:line="23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any consideration any rights to the shares of Common Stock subject to such unvested portion. If the Participant’s employment with, membership on the board of directors of, or engagement to</w:t>
      </w:r>
    </w:p>
    <w:p>
      <w:pPr>
        <w:spacing w:after="0" w:line="1" w:lineRule="exact"/>
        <w:rPr>
          <w:rFonts w:ascii="Times New Roman" w:cs="Times New Roman" w:eastAsia="Times New Roman" w:hAnsi="Times New Roman"/>
          <w:sz w:val="21"/>
          <w:szCs w:val="21"/>
          <w:b w:val="1"/>
          <w:bCs w:val="1"/>
          <w:color w:val="auto"/>
        </w:rPr>
      </w:pPr>
    </w:p>
    <w:p>
      <w:pPr>
        <w:jc w:val="both"/>
        <w:ind w:left="200" w:right="219"/>
        <w:spacing w:after="0" w:line="23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provide services to, the Company and its Affiliates terminates on account of such Participant’s Disability or death, then the unvested portion of the SAR shall vest in full on the date of such</w:t>
      </w:r>
    </w:p>
    <w:p>
      <w:pPr>
        <w:spacing w:after="0" w:line="1" w:lineRule="exact"/>
        <w:rPr>
          <w:rFonts w:ascii="Times New Roman" w:cs="Times New Roman" w:eastAsia="Times New Roman" w:hAnsi="Times New Roman"/>
          <w:sz w:val="21"/>
          <w:szCs w:val="21"/>
          <w:b w:val="1"/>
          <w:bCs w:val="1"/>
          <w:color w:val="auto"/>
        </w:rPr>
      </w:pPr>
    </w:p>
    <w:p>
      <w:pPr>
        <w:jc w:val="both"/>
        <w:ind w:left="200" w:right="239"/>
        <w:spacing w:after="0" w:line="24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Participant’s Disability or death, as applicable. If the Participant’s employment with or engagement to provide services to the Company and its Affiliates terminates on account of such Participant’s</w:t>
      </w:r>
    </w:p>
    <w:p>
      <w:pPr>
        <w:spacing w:after="0" w:line="1" w:lineRule="exact"/>
        <w:rPr>
          <w:rFonts w:ascii="Times New Roman" w:cs="Times New Roman" w:eastAsia="Times New Roman" w:hAnsi="Times New Roman"/>
          <w:sz w:val="21"/>
          <w:szCs w:val="21"/>
          <w:b w:val="1"/>
          <w:bCs w:val="1"/>
          <w:color w:val="auto"/>
        </w:rPr>
      </w:pPr>
    </w:p>
    <w:p>
      <w:pPr>
        <w:ind w:left="2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Retirement, then the unvested portion of the SAR shall continue to vest in accordance with Section</w:t>
      </w:r>
    </w:p>
    <w:p>
      <w:pPr>
        <w:spacing w:after="0" w:line="1" w:lineRule="exact"/>
        <w:rPr>
          <w:rFonts w:ascii="Times New Roman" w:cs="Times New Roman" w:eastAsia="Times New Roman" w:hAnsi="Times New Roman"/>
          <w:sz w:val="21"/>
          <w:szCs w:val="21"/>
          <w:b w:val="1"/>
          <w:bCs w:val="1"/>
          <w:color w:val="auto"/>
        </w:rPr>
      </w:pPr>
    </w:p>
    <w:p>
      <w:pPr>
        <w:spacing w:after="0"/>
        <w:tabs>
          <w:tab w:leader="none" w:pos="0" w:val="left"/>
        </w:tabs>
        <w:numPr>
          <w:ilvl w:val="0"/>
          <w:numId w:val="97"/>
        </w:numPr>
        <w:rPr>
          <w:rFonts w:ascii="Times New Roman" w:cs="Times New Roman" w:eastAsia="Times New Roman" w:hAnsi="Times New Roman"/>
          <w:sz w:val="22"/>
          <w:szCs w:val="22"/>
          <w:color w:val="auto"/>
        </w:rPr>
      </w:pPr>
    </w:p>
    <w:p>
      <w:pPr>
        <w:spacing w:after="0" w:line="178"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5" w:lineRule="auto"/>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all or any portion of the SARs be exercisable after the tenth annual anniversary of the Date of Grant (such ten-year period, the “</w:t>
      </w:r>
      <w:r>
        <w:rPr>
          <w:rFonts w:ascii="Times New Roman" w:cs="Times New Roman" w:eastAsia="Times New Roman" w:hAnsi="Times New Roman"/>
          <w:sz w:val="22"/>
          <w:szCs w:val="22"/>
          <w:u w:val="single" w:color="auto"/>
          <w:color w:val="auto"/>
        </w:rPr>
        <w:t>SAR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SAR Period would expire at a time when trading in the shares of Common Stock is prohibited by the Company’s securities trading policy (or Company-imposed “blackout period”), the SAR Period shall be automatically extended until the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the expiration of such prohibition (but not to the extent that any such extension would otherwise violate Section 409A of the Code).</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prior to the end of the SAR Period, the Participant’s employment with, directorship with, or engagement to provide services to, the Company and all Affiliates is terminated without Cause or by the Participant for any reason, then the SARs shall expire on the earlier of the last day of the SAR Period or the date that is 90 days after the date of such termination;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if the Participant’s employment, directorship or engagement to provide services to the Company and its Affiliates is terminated and the Participant is subsequently rehired, reappointed or reengaged by the Company or any Affiliate within 90 days following such termination and prior to the expiration of the SARs, the Participant shall not be considered to have undergone a termination of employment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-5826125</wp:posOffset>
            </wp:positionV>
            <wp:extent cx="2476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2" w:name="page113"/>
    <w:bookmarkEnd w:id="112"/>
    <w:p>
      <w:pPr>
        <w:jc w:val="both"/>
        <w:ind w:left="1500" w:right="219"/>
        <w:spacing w:after="0" w:line="238" w:lineRule="auto"/>
        <w:rPr>
          <w:sz w:val="20"/>
          <w:szCs w:val="20"/>
          <w:color w:val="auto"/>
        </w:rPr>
      </w:pPr>
      <w:r>
        <w:rPr>
          <w:rFonts w:ascii="Times New Roman" w:cs="Times New Roman" w:eastAsia="Times New Roman" w:hAnsi="Times New Roman"/>
          <w:sz w:val="22"/>
          <w:szCs w:val="22"/>
          <w:color w:val="auto"/>
        </w:rPr>
        <w:t>as applicable (including under Section 3), and therefore the unvested and vested SARs shall continue in the ordinary course under this Agreement. In the event of a termination described in this subsection (b), the SARs shall remain exercisable by the Participant until its expiration only to the extent that the SARs were exercisable at the time of such termination.</w:t>
      </w:r>
    </w:p>
    <w:p>
      <w:pPr>
        <w:spacing w:after="0" w:line="177" w:lineRule="exact"/>
        <w:rPr>
          <w:sz w:val="20"/>
          <w:szCs w:val="20"/>
          <w:color w:val="auto"/>
        </w:rPr>
      </w:pPr>
    </w:p>
    <w:p>
      <w:pPr>
        <w:jc w:val="both"/>
        <w:ind w:left="1500" w:right="219" w:hanging="643"/>
        <w:spacing w:after="0" w:line="236" w:lineRule="auto"/>
        <w:tabs>
          <w:tab w:leader="none" w:pos="15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Participant’s employment with, directorship with, or engagement to provide services to, the Company is terminated prior to the end of the SAR Period on account of such Participant’s Disability, (ii) the Participant dies while still a director of, or still in the employ or engagement of the Company or an Affiliate, or</w:t>
      </w:r>
    </w:p>
    <w:p>
      <w:pPr>
        <w:jc w:val="both"/>
        <w:ind w:left="1500" w:right="219" w:firstLine="5"/>
        <w:spacing w:after="0" w:line="232" w:lineRule="auto"/>
        <w:tabs>
          <w:tab w:leader="none" w:pos="189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dies following a termination described in subsection (b) above but prior to the expiration of the SARs, the SARs shall expire on the earlier of the last day of the SAR Period or the date that is one year after the date of termination on account of Disability or death of the Participant, as applicable. In such event, the SARs shall remain exercisable by the Participant or Participant’s beneficiary, as applicable, until its expiration only to the extent that the SARs were exercisable by the Participant at the time of such event.</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or a Subsidiary is terminated prior to the end of the SAR Period on account of such Participant’s Retirement, the SARs shall expire on the earlier of the last day of the SAR Period or the date that is 90 days after the date of termination on account of Retirement of the Participant. For purposes of this Section 4(d):</w:t>
      </w:r>
    </w:p>
    <w:p>
      <w:pPr>
        <w:spacing w:after="0" w:line="176" w:lineRule="exact"/>
        <w:rPr>
          <w:rFonts w:ascii="Times New Roman" w:cs="Times New Roman" w:eastAsia="Times New Roman" w:hAnsi="Times New Roman"/>
          <w:sz w:val="22"/>
          <w:szCs w:val="22"/>
          <w:color w:val="auto"/>
        </w:rPr>
      </w:pPr>
    </w:p>
    <w:p>
      <w:pPr>
        <w:jc w:val="both"/>
        <w:ind w:left="2160" w:right="219" w:hanging="655"/>
        <w:spacing w:after="0" w:line="253" w:lineRule="auto"/>
        <w:tabs>
          <w:tab w:leader="none" w:pos="216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(i) the termination of the Participant’s employment with the Company or a Subsidiary was (a) voluntarily made by the Participant, or</w:t>
      </w:r>
    </w:p>
    <w:p>
      <w:pPr>
        <w:jc w:val="both"/>
        <w:ind w:left="216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mutually agreed upon by between the Participant and the Company, and, in each case, without Cause, as determined by the Committee, in its sole discretion, (ii) the Participant has provided a minimum of five Years of Service to the Company or a Subsidiary and attained a minimum age of 60, in each case, as of the date of such termination, and (iii) the Participant has provided six months advanced notice of such Participant’s consideration of retirement to the Company (or to the Board, if the Participant is subject to Section 16 of the Exchange Act), as determined by the Committee in its sole discretion.</w:t>
      </w:r>
    </w:p>
    <w:p>
      <w:pPr>
        <w:spacing w:after="0" w:line="178" w:lineRule="exact"/>
        <w:rPr>
          <w:sz w:val="20"/>
          <w:szCs w:val="20"/>
          <w:color w:val="auto"/>
        </w:rPr>
      </w:pPr>
    </w:p>
    <w:p>
      <w:pPr>
        <w:jc w:val="both"/>
        <w:ind w:left="2160" w:right="219" w:hanging="655"/>
        <w:spacing w:after="0" w:line="235" w:lineRule="auto"/>
        <w:tabs>
          <w:tab w:leader="none" w:pos="21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xml:space="preserve">” means a Participant’s total number of years of employment with the Company or a Subsidiary based on a period of employment beginning on the Participant’s date of hire by the Company or a Subsidiary and ending on the date of termination of the Participant’s employment with the Company or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Years of Services shall not include any period of a Participant’s employment with a Subsidiary or a business acquired by the Company prior to the date that such Subsidiary or business was acquired by the Company.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3" w:name="page114"/>
    <w:bookmarkEnd w:id="113"/>
    <w:p>
      <w:pPr>
        <w:jc w:val="both"/>
        <w:ind w:left="1500" w:right="219" w:hanging="643"/>
        <w:spacing w:after="0" w:line="239" w:lineRule="auto"/>
        <w:tabs>
          <w:tab w:leader="none" w:pos="15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ceases employment with or engagement to provide services to the Company or any Affiliates or is removed as a director due to a termination for Cause, the SARs (whether vested or unvested) shall expire immediately upon such termination.</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2" w:lineRule="auto"/>
        <w:tabs>
          <w:tab w:leader="none" w:pos="84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Exercise and Form of Payment</w:t>
      </w:r>
      <w:r>
        <w:rPr>
          <w:rFonts w:ascii="Times New Roman" w:cs="Times New Roman" w:eastAsia="Times New Roman" w:hAnsi="Times New Roman"/>
          <w:sz w:val="22"/>
          <w:szCs w:val="22"/>
          <w:color w:val="auto"/>
        </w:rPr>
        <w:t>. No shares of Common Stock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delivered pursuant to any exercise of the SARs until payment in full to the Company of the Strike Price and an amount equal to any U.S. federal, state, local and non-U.S. income and employment taxes required to be withheld. The SARs may be exercised by delivery of written or electronic notice of exercise to the Company or its designee (including a third-party-administrator) in accordance with the terms hereof. The Strike Price and all applicable required withholding taxes shall be payable (i) in cash, check, cash equivalent and/or in shares of Common Stock valued at the Fair Market Value at the time the SARs are exercised (including, pursuant to procedures approved by the Committee, by means of attestation of ownership of a sufficient number of shares of Common Stock in lieu of actual delivery of such shares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shares of Common Stock are not subject to any pledge or other security interest; or (ii) by such other method as the Committee may permit, including without limitation: (A) in other property having a Fair Market Value equal to the Strike Price and all applicable required withholding taxes or (B)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SARs and to deliver promptly to the Company an amount equal to the Strike Price and all applicable required withholding taxes; or (C) by means of a “net exercise” procedure effected by withholding the number of shares of Common Stock otherwise deliverable in respect of the SARs that are needed to pay for the Strike Price and all applicable required withholding taxes. Any fractional shares of Common Stock resulting from the application of this Section 5 shall be settled in cash.</w:t>
      </w:r>
    </w:p>
    <w:p>
      <w:pPr>
        <w:spacing w:after="0" w:line="182" w:lineRule="exact"/>
        <w:rPr>
          <w:rFonts w:ascii="Times New Roman" w:cs="Times New Roman" w:eastAsia="Times New Roman" w:hAnsi="Times New Roman"/>
          <w:sz w:val="22"/>
          <w:szCs w:val="22"/>
          <w:b w:val="1"/>
          <w:bCs w:val="1"/>
          <w:color w:val="auto"/>
        </w:rPr>
      </w:pPr>
    </w:p>
    <w:p>
      <w:pPr>
        <w:jc w:val="both"/>
        <w:ind w:left="200" w:right="219" w:firstLine="9"/>
        <w:spacing w:after="0" w:line="238" w:lineRule="auto"/>
        <w:tabs>
          <w:tab w:leader="none" w:pos="84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 of Shares of Common Stock</w:t>
      </w:r>
      <w:r>
        <w:rPr>
          <w:rFonts w:ascii="Times New Roman" w:cs="Times New Roman" w:eastAsia="Times New Roman" w:hAnsi="Times New Roman"/>
          <w:sz w:val="22"/>
          <w:szCs w:val="22"/>
          <w:color w:val="auto"/>
        </w:rPr>
        <w:t>. Upon exercise of the SARs, the Participant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the number of shares of Common Stock in accordance with Section 1(a). The Company shall issue or deliver to the Participant in book entry notation or, if applicable, stock certificate form, the number of shares of Common Stock the Participant is entitled to receive under the terms of this Agreement as soon as practicable; and, when possible, in the same calendar year.</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9"/>
        <w:spacing w:after="0" w:line="235" w:lineRule="auto"/>
        <w:tabs>
          <w:tab w:leader="none" w:pos="84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a Stockholder</w:t>
      </w:r>
      <w:r>
        <w:rPr>
          <w:rFonts w:ascii="Times New Roman" w:cs="Times New Roman" w:eastAsia="Times New Roman" w:hAnsi="Times New Roman"/>
          <w:sz w:val="22"/>
          <w:szCs w:val="22"/>
          <w:color w:val="auto"/>
        </w:rPr>
        <w:t>. The Participant shall not be deemed for any purpose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 of any shares of Common Stock subject to the SARs unless, until and to the extent that (i) the SARs shall have been exercised pursuant to its terms, (ii) the Company shall have issued and delivered to the Participant the shares of Common Stock and (iii) the Participant’s name shall have been entered as a stockholder of record with respect to such shares of Common Stock on the books of the Company. The Company shall cause the actions described in clauses (ii) and (iii) of the preceding sentence to occur promptly following settlement as contemplated by this Agreement, subject to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4" w:name="page115"/>
    <w:bookmarkEnd w:id="114"/>
    <w:p>
      <w:pPr>
        <w:ind w:left="860" w:hanging="651"/>
        <w:spacing w:after="0"/>
        <w:tabs>
          <w:tab w:leader="none" w:pos="8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Legal Requirements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47" w:lineRule="auto"/>
        <w:tabs>
          <w:tab w:leader="none" w:pos="150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The granting, exercise and settlement of the SARs,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71" w:lineRule="exact"/>
        <w:rPr>
          <w:rFonts w:ascii="Times New Roman" w:cs="Times New Roman" w:eastAsia="Times New Roman" w:hAnsi="Times New Roman"/>
          <w:sz w:val="21"/>
          <w:szCs w:val="21"/>
          <w:color w:val="auto"/>
        </w:rPr>
      </w:pPr>
    </w:p>
    <w:p>
      <w:pPr>
        <w:jc w:val="both"/>
        <w:ind w:left="1500" w:right="219" w:hanging="643"/>
        <w:spacing w:after="0" w:line="244" w:lineRule="auto"/>
        <w:tabs>
          <w:tab w:leader="none" w:pos="150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exercise and settlement of the SARs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SARs, settlement of the SARs or any payment or transfer of the SARs, and to take any such other action as the Committee or the Company deem necessary to satisfy all obligations for the payment of such withholding taxes (up to the maximum permissible withholding amounts). In its sole discretion, the Company may permit the Participant to satisfy, in whole or in part, the tax obligations by withholding shares of Common Stock that would otherwise be deliverable to the Participant upon settlement of the SARs with a Fair Market Value equal to such withholding liability.</w:t>
      </w:r>
    </w:p>
    <w:p>
      <w:pPr>
        <w:spacing w:after="0" w:line="174" w:lineRule="exact"/>
        <w:rPr>
          <w:rFonts w:ascii="Times New Roman" w:cs="Times New Roman" w:eastAsia="Times New Roman" w:hAnsi="Times New Roman"/>
          <w:sz w:val="21"/>
          <w:szCs w:val="21"/>
          <w:color w:val="auto"/>
        </w:rPr>
      </w:pPr>
    </w:p>
    <w:p>
      <w:pPr>
        <w:jc w:val="both"/>
        <w:ind w:left="200" w:right="219" w:firstLine="9"/>
        <w:spacing w:after="0" w:line="243" w:lineRule="auto"/>
        <w:tabs>
          <w:tab w:leader="none" w:pos="848"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Notwithstanding anything to the contrary contained herein, the Committee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cancel the SARs award if the Participant, without the consent of the Company, has engaged in or engages in activity that is in conflict with or adverse to the interest of the Company or any Affiliate while employed by, serving as a director of, or otherwise providing services to, the Company or any Affiliate, including fraud or conduct contributing to any financial restatements or irregularities, or if the Participant violates the covenants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exercise and settlement of the SARs, the sale or other transfer of the SARs, or the sale of shares of Common Stock acquired in respect of the SARs, and must promptly repay such amounts to the Company. If the Participant receives any amount in excess of what the Participant should have received under the terms of the SARs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SARs shall be subject (including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15" w:name="page116"/>
    <w:bookmarkEnd w:id="11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on a retroactive basis) to clawback, forfeiture or similar requirements (and such requirements shall be deemed incorporated by reference into this Agreement).</w:t>
      </w:r>
    </w:p>
    <w:p>
      <w:pPr>
        <w:spacing w:after="0" w:line="154" w:lineRule="exact"/>
        <w:rPr>
          <w:sz w:val="20"/>
          <w:szCs w:val="20"/>
          <w:color w:val="auto"/>
        </w:rPr>
      </w:pPr>
    </w:p>
    <w:p>
      <w:pPr>
        <w:ind w:left="860" w:hanging="651"/>
        <w:spacing w:after="0"/>
        <w:tabs>
          <w:tab w:leader="none" w:pos="8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39" w:hanging="643"/>
        <w:spacing w:after="0" w:line="238" w:lineRule="auto"/>
        <w:tabs>
          <w:tab w:leader="none" w:pos="15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incorporated herein and forms part of this Agreement.</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47" w:lineRule="auto"/>
        <w:tabs>
          <w:tab w:leader="none" w:pos="150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Participant violates any of the restrictive covenants referred to in this Section 10, in addition to any other remedy that may be available at law or in equity, the SARs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67"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500" w:right="219" w:hanging="643"/>
        <w:spacing w:after="0" w:line="235" w:lineRule="auto"/>
        <w:tabs>
          <w:tab w:leader="none" w:pos="15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SARs may not be assigned, alienated, pledged, attached, sold or otherwise transferred or encumbered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by the Participant other than by will or by the laws of descent and distribution, pursuant to a qualified domestic relations order or as otherwise permitted under Section 14(b) of the Plan. Any attempted Transfer of the SARs contrary to the provisions hereof, and the levy of any execution, attachment or similar process upon the SARs, shall be null and void and without effect.</w:t>
      </w:r>
    </w:p>
    <w:p>
      <w:pPr>
        <w:spacing w:after="0" w:line="183"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46" w:lineRule="auto"/>
        <w:tabs>
          <w:tab w:leader="none" w:pos="150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SARs are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6" w:name="page117"/>
    <w:bookmarkEnd w:id="116"/>
    <w:p>
      <w:pPr>
        <w:jc w:val="both"/>
        <w:ind w:left="1500" w:right="219"/>
        <w:spacing w:after="0" w:line="238" w:lineRule="auto"/>
        <w:rPr>
          <w:sz w:val="20"/>
          <w:szCs w:val="20"/>
          <w:color w:val="auto"/>
        </w:rPr>
      </w:pPr>
      <w:r>
        <w:rPr>
          <w:rFonts w:ascii="Times New Roman" w:cs="Times New Roman" w:eastAsia="Times New Roman" w:hAnsi="Times New Roman"/>
          <w:sz w:val="22"/>
          <w:szCs w:val="22"/>
          <w:color w:val="auto"/>
        </w:rPr>
        <w:t>Participant of the applicable provision without materially increasing the cost to the Company or contravening the provisions of Section 409A of the Code. This Section 11(c) does not create an obligation on the part of the Company to modify the Plan or this Agreement and does not guarantee that the SARs will not be subject to interest and penalties under Section 409A.</w:t>
      </w:r>
    </w:p>
    <w:p>
      <w:pPr>
        <w:spacing w:after="0" w:line="177" w:lineRule="exact"/>
        <w:rPr>
          <w:sz w:val="20"/>
          <w:szCs w:val="20"/>
          <w:color w:val="auto"/>
        </w:rPr>
      </w:pPr>
    </w:p>
    <w:p>
      <w:pPr>
        <w:jc w:val="both"/>
        <w:ind w:left="1500" w:right="219" w:hanging="643"/>
        <w:spacing w:after="0" w:line="235"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78" w:lineRule="exact"/>
        <w:rPr>
          <w:rFonts w:ascii="Times New Roman" w:cs="Times New Roman" w:eastAsia="Times New Roman" w:hAnsi="Times New Roman"/>
          <w:sz w:val="22"/>
          <w:szCs w:val="22"/>
          <w:color w:val="auto"/>
        </w:rPr>
      </w:pPr>
    </w:p>
    <w:p>
      <w:pPr>
        <w:jc w:val="both"/>
        <w:ind w:left="1500" w:right="239" w:hanging="643"/>
        <w:spacing w:after="0" w:line="239"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 Directorship or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 consultant, director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of Common Stock resulting from an adjustment of the SARs pursuant to Section 11 of the Plan or otherwise, the Company shall be entitled to pay to the Participant an amount in cash equal to the Fair Market Value of such fractional share.</w:t>
      </w:r>
    </w:p>
    <w:p>
      <w:pPr>
        <w:spacing w:after="0" w:line="180" w:lineRule="exact"/>
        <w:rPr>
          <w:rFonts w:ascii="Times New Roman" w:cs="Times New Roman" w:eastAsia="Times New Roman" w:hAnsi="Times New Roman"/>
          <w:sz w:val="22"/>
          <w:szCs w:val="22"/>
          <w:color w:val="auto"/>
        </w:rPr>
      </w:pPr>
    </w:p>
    <w:p>
      <w:pPr>
        <w:jc w:val="both"/>
        <w:ind w:left="1500" w:right="239" w:hanging="643"/>
        <w:spacing w:after="0" w:line="244"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49" w:lineRule="auto"/>
        <w:tabs>
          <w:tab w:leader="none" w:pos="150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(including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7" w:name="page118"/>
    <w:bookmarkEnd w:id="117"/>
    <w:p>
      <w:pPr>
        <w:jc w:val="both"/>
        <w:ind w:left="1500" w:right="219"/>
        <w:spacing w:after="0" w:line="238" w:lineRule="auto"/>
        <w:rPr>
          <w:sz w:val="20"/>
          <w:szCs w:val="20"/>
          <w:color w:val="auto"/>
        </w:rPr>
      </w:pPr>
      <w:r>
        <w:rPr>
          <w:rFonts w:ascii="Times New Roman" w:cs="Times New Roman" w:eastAsia="Times New Roman" w:hAnsi="Times New Roman"/>
          <w:sz w:val="22"/>
          <w:szCs w:val="22"/>
          <w:color w:val="auto"/>
        </w:rPr>
        <w:t xml:space="preserve">which shall continue to apply to the Participant in addition to the covenants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in accordance with the terms of such agreement. No change, modification or waiver of any provision of this Agreement shall be valid unless the same be in writing and signed by the parties hereto, except for any changes permitted without consent under Section 11 or 12 of the Plan.</w:t>
      </w:r>
    </w:p>
    <w:p>
      <w:pPr>
        <w:spacing w:after="0" w:line="177" w:lineRule="exact"/>
        <w:rPr>
          <w:sz w:val="20"/>
          <w:szCs w:val="20"/>
          <w:color w:val="auto"/>
        </w:rPr>
      </w:pPr>
    </w:p>
    <w:p>
      <w:pPr>
        <w:jc w:val="both"/>
        <w:ind w:left="1500" w:right="219" w:hanging="643"/>
        <w:spacing w:after="0" w:line="238"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6" w:lineRule="exact"/>
        <w:rPr>
          <w:rFonts w:ascii="Times New Roman" w:cs="Times New Roman" w:eastAsia="Times New Roman" w:hAnsi="Times New Roman"/>
          <w:sz w:val="22"/>
          <w:szCs w:val="22"/>
          <w:color w:val="auto"/>
        </w:rPr>
      </w:pPr>
    </w:p>
    <w:p>
      <w:pPr>
        <w:jc w:val="both"/>
        <w:ind w:left="2160" w:right="219" w:hanging="655"/>
        <w:spacing w:after="0" w:line="232" w:lineRule="auto"/>
        <w:tabs>
          <w:tab w:leader="none" w:pos="216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All disputes between or among any Persons arising out of or in any way connected with the Plan, this Agreement or the SARs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91" w:lineRule="exact"/>
        <w:rPr>
          <w:rFonts w:ascii="Times New Roman" w:cs="Times New Roman" w:eastAsia="Times New Roman" w:hAnsi="Times New Roman"/>
          <w:sz w:val="22"/>
          <w:szCs w:val="22"/>
          <w:color w:val="auto"/>
        </w:rPr>
      </w:pPr>
    </w:p>
    <w:p>
      <w:pPr>
        <w:jc w:val="both"/>
        <w:ind w:left="2160" w:right="219" w:hanging="655"/>
        <w:spacing w:after="0" w:line="246" w:lineRule="auto"/>
        <w:tabs>
          <w:tab w:leader="none" w:pos="216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0" w:lineRule="exact"/>
        <w:rPr>
          <w:rFonts w:ascii="Times New Roman" w:cs="Times New Roman" w:eastAsia="Times New Roman" w:hAnsi="Times New Roman"/>
          <w:sz w:val="21"/>
          <w:szCs w:val="21"/>
          <w:color w:val="auto"/>
        </w:rPr>
      </w:pPr>
    </w:p>
    <w:p>
      <w:pPr>
        <w:jc w:val="both"/>
        <w:ind w:left="1500" w:right="219" w:hanging="643"/>
        <w:spacing w:after="0" w:line="244"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8" w:name="page119"/>
    <w:bookmarkEnd w:id="118"/>
    <w:p>
      <w:pPr>
        <w:jc w:val="both"/>
        <w:ind w:left="1500" w:right="239" w:hanging="643"/>
        <w:spacing w:after="0" w:line="238"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 and Delivery</w:t>
      </w:r>
      <w:r>
        <w:rPr>
          <w:rFonts w:ascii="Times New Roman" w:cs="Times New Roman" w:eastAsia="Times New Roman" w:hAnsi="Times New Roman"/>
          <w:sz w:val="22"/>
          <w:szCs w:val="22"/>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Participation in Plan</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9" w:name="page120"/>
    <w:bookmarkEnd w:id="119"/>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Stock Appreciation Right Award Agreement has been executed by the Company and the Participant as of the day first written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200" w:lineRule="exact"/>
        <w:rPr>
          <w:sz w:val="20"/>
          <w:szCs w:val="20"/>
          <w:color w:val="auto"/>
        </w:rPr>
      </w:pPr>
    </w:p>
    <w:p>
      <w:pPr>
        <w:spacing w:after="0" w:line="2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-13970</wp:posOffset>
            </wp:positionV>
            <wp:extent cx="2235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223583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w:t>
      </w:r>
    </w:p>
    <w:p>
      <w:pPr>
        <w:jc w:val="center"/>
        <w:ind w:right="37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587375</wp:posOffset>
            </wp:positionV>
            <wp:extent cx="24676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2467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[______________] Stock Appreciation Right Award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both"/>
        <w:ind w:left="860" w:right="219" w:hanging="651"/>
        <w:spacing w:after="0" w:line="239" w:lineRule="auto"/>
        <w:tabs>
          <w:tab w:leader="none" w:pos="8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Participant’s employment with, or other engagement to provide services to, the Company or any of its Affiliates and for a period of twenty-four (24) months thereafter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Participant shall not, either directly or indirectly, for himself or herself or on behalf of or in conjunction with any other Person:</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61" w:lineRule="auto"/>
        <w:tabs>
          <w:tab w:leader="none" w:pos="155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57" w:lineRule="exact"/>
        <w:rPr>
          <w:rFonts w:ascii="Times New Roman" w:cs="Times New Roman" w:eastAsia="Times New Roman" w:hAnsi="Times New Roman"/>
          <w:sz w:val="21"/>
          <w:szCs w:val="21"/>
          <w:color w:val="auto"/>
        </w:rPr>
      </w:pPr>
    </w:p>
    <w:p>
      <w:pPr>
        <w:jc w:val="both"/>
        <w:ind w:left="1500" w:right="219" w:hanging="643"/>
        <w:spacing w:after="0" w:line="236" w:lineRule="auto"/>
        <w:tabs>
          <w:tab w:leader="none" w:pos="150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year period preceding the termination of Participant’s employment.</w:t>
      </w:r>
    </w:p>
    <w:p>
      <w:pPr>
        <w:spacing w:after="0" w:line="181" w:lineRule="exact"/>
        <w:rPr>
          <w:rFonts w:ascii="Times New Roman" w:cs="Times New Roman" w:eastAsia="Times New Roman" w:hAnsi="Times New Roman"/>
          <w:sz w:val="22"/>
          <w:szCs w:val="22"/>
          <w:color w:val="auto"/>
        </w:rPr>
      </w:pPr>
    </w:p>
    <w:p>
      <w:pPr>
        <w:jc w:val="both"/>
        <w:ind w:left="860" w:right="219" w:hanging="651"/>
        <w:spacing w:after="0" w:line="233" w:lineRule="auto"/>
        <w:tabs>
          <w:tab w:leader="none" w:pos="8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84" w:lineRule="exact"/>
        <w:rPr>
          <w:rFonts w:ascii="Times New Roman" w:cs="Times New Roman" w:eastAsia="Times New Roman" w:hAnsi="Times New Roman"/>
          <w:sz w:val="22"/>
          <w:szCs w:val="22"/>
          <w:color w:val="auto"/>
        </w:rPr>
      </w:pPr>
    </w:p>
    <w:p>
      <w:pPr>
        <w:jc w:val="both"/>
        <w:ind w:left="860" w:right="219" w:hanging="651"/>
        <w:spacing w:after="0" w:line="244" w:lineRule="auto"/>
        <w:tabs>
          <w:tab w:leader="none" w:pos="86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21" w:name="page122"/>
    <w:bookmarkEnd w:id="121"/>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or on the Participant’s behalf or (y) information that the Participant can demonstrate to have had rightfully in the Participant’s possession prior to the date on which the Participant first provided services to any Latham Company.</w:t>
      </w:r>
    </w:p>
    <w:p>
      <w:pPr>
        <w:spacing w:after="0" w:line="173" w:lineRule="exact"/>
        <w:rPr>
          <w:sz w:val="20"/>
          <w:szCs w:val="20"/>
          <w:color w:val="auto"/>
        </w:rPr>
      </w:pPr>
    </w:p>
    <w:p>
      <w:pPr>
        <w:jc w:val="both"/>
        <w:ind w:left="860" w:right="219" w:hanging="651"/>
        <w:spacing w:after="0" w:line="238" w:lineRule="auto"/>
        <w:tabs>
          <w:tab w:leader="none" w:pos="8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17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pricing, cost, or profit factors; quality programs; annual budget and long-range business plans; marketing plans and methods; contracts and bids; and business ideas and methods, store concepts, inventions, innovations, developments, graphic designs, website designs, patterns, specifications, procedures, databases and personnel.</w:t>
      </w:r>
    </w:p>
    <w:p>
      <w:pPr>
        <w:spacing w:after="0" w:line="187"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Latham Companies</w:t>
      </w:r>
      <w:r>
        <w:rPr>
          <w:rFonts w:ascii="Times New Roman" w:cs="Times New Roman" w:eastAsia="Times New Roman" w:hAnsi="Times New Roman"/>
          <w:sz w:val="22"/>
          <w:szCs w:val="22"/>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w:t>
      </w:r>
      <w:r>
        <w:rPr>
          <w:rFonts w:ascii="Times New Roman" w:cs="Times New Roman" w:eastAsia="Times New Roman" w:hAnsi="Times New Roman"/>
          <w:sz w:val="22"/>
          <w:szCs w:val="22"/>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55" w:lineRule="auto"/>
        <w:tabs>
          <w:tab w:leader="none" w:pos="8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accepting any offer of employment during the Restricted Period, the Participant shall inform such employers of all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within two (2) business days of accepting an offer of employment with another employer, shall notify the Company of the name and address of the new employer and the title of the position accepted.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2" w:name="page123"/>
    <w:bookmarkEnd w:id="122"/>
    <w:p>
      <w:pPr>
        <w:jc w:val="both"/>
        <w:ind w:left="860" w:right="219" w:hanging="651"/>
        <w:spacing w:after="0" w:line="248" w:lineRule="auto"/>
        <w:tabs>
          <w:tab w:leader="none" w:pos="86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covenants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are severable and separate, and the unenforceability of any specific covenant shall not affect the provisions of any other covenant. If any provision of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70" w:lineRule="exact"/>
        <w:rPr>
          <w:rFonts w:ascii="Times New Roman" w:cs="Times New Roman" w:eastAsia="Times New Roman" w:hAnsi="Times New Roman"/>
          <w:sz w:val="21"/>
          <w:szCs w:val="21"/>
          <w:color w:val="auto"/>
        </w:rPr>
      </w:pPr>
    </w:p>
    <w:p>
      <w:pPr>
        <w:jc w:val="both"/>
        <w:ind w:left="860" w:right="219" w:hanging="651"/>
        <w:spacing w:after="0" w:line="238" w:lineRule="auto"/>
        <w:tabs>
          <w:tab w:leader="none" w:pos="8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as an agreement independent of any other provisions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existence of any claim or cause of action the Participant may have against any Latham Company, whether predicated on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otherwise, shall not constitute a defense to the enforcement by any Latham Company of such covenants.</w:t>
      </w:r>
    </w:p>
    <w:p>
      <w:pPr>
        <w:spacing w:after="0" w:line="176" w:lineRule="exact"/>
        <w:rPr>
          <w:rFonts w:ascii="Times New Roman" w:cs="Times New Roman" w:eastAsia="Times New Roman" w:hAnsi="Times New Roman"/>
          <w:sz w:val="22"/>
          <w:szCs w:val="22"/>
          <w:color w:val="auto"/>
        </w:rPr>
      </w:pPr>
    </w:p>
    <w:p>
      <w:pPr>
        <w:jc w:val="both"/>
        <w:ind w:left="860" w:right="239" w:hanging="651"/>
        <w:spacing w:after="0" w:line="239" w:lineRule="auto"/>
        <w:tabs>
          <w:tab w:leader="none" w:pos="8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0"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disputes between or among any Persons arising out of or in any way connected with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34" w:lineRule="auto"/>
        <w:tabs>
          <w:tab w:leader="none" w:pos="15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waives, to the fullest extent permitted by applicable law, any right it may have to a trial by jury in any legal proceeding directly or indirectly arising out of or relating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Times New Roman" w:cs="Times New Roman" w:eastAsia="Times New Roman" w:hAnsi="Times New Roman"/>
          <w:sz w:val="22"/>
          <w:szCs w:val="22"/>
          <w:color w:val="auto"/>
        </w:rPr>
      </w:pPr>
    </w:p>
    <w:p>
      <w:pPr>
        <w:ind w:left="860" w:right="219" w:hanging="651"/>
        <w:spacing w:after="0" w:line="241" w:lineRule="auto"/>
        <w:tabs>
          <w:tab w:leader="none" w:pos="8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has carefully read and considered the provisions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having done so, agrees that the restrictive covenants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impose a fair 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767080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3" w:name="page124"/>
    <w:bookmarkEnd w:id="123"/>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reasonable restraint on the Participant and are reasonably required to protect the interests of the Latham Companies and their respective officers, directors, employees, and equityholders.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61207768</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November 5,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8"/>
              </w:rPr>
              <w:t>/s/ Scott M. Rajeski</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Chief Executive Officer and President</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96"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November 5,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9"/>
              </w:rPr>
              <w:t>/s/ Oliver C. Gloe</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Chief Financial Officer</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September 27, 2025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Scott M. Rajeski,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November 5,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 Scott M. Rajeski</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Executive Officer and President</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September 27, 2025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November 5, 2025</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/s/ Oliver C. Gloe</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Financial Officer</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decimal"/>
      <w:start w:val="1"/>
    </w:lvl>
    <w:lvl w:ilvl="1">
      <w:lvlJc w:val="left"/>
      <w:lvlText w:val="(%2)"/>
      <w:numFmt w:val="decimal"/>
      <w:start w:val="1"/>
    </w:lvl>
  </w:abstractNum>
  <w:abstractNum w:abstractNumId="3">
    <w:nsid w:val="15B5AF5C"/>
    <w:multiLevelType w:val="hybridMultilevel"/>
    <w:lvl w:ilvl="0">
      <w:lvlJc w:val="left"/>
      <w:lvlText w:val="%1."/>
      <w:numFmt w:val="decimal"/>
      <w:start w:val="13"/>
    </w:lvl>
    <w:lvl w:ilvl="1">
      <w:lvlJc w:val="left"/>
      <w:lvlText w:val="%2"/>
      <w:numFmt w:val="decimal"/>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1)"/>
      <w:numFmt w:val="lowerRoman"/>
      <w:start w:val="5"/>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Letter"/>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lowerRoman"/>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lvl w:ilvl="1">
      <w:lvlJc w:val="left"/>
      <w:lvlText w:val="**"/>
      <w:numFmt w:val="bullet"/>
      <w:start w:val="1"/>
    </w:lvl>
  </w:abstractNum>
  <w:abstractNum w:abstractNumId="16">
    <w:nsid w:val="1DBABF00"/>
    <w:multiLevelType w:val="hybridMultilevel"/>
    <w:lvl w:ilvl="0">
      <w:lvlJc w:val="left"/>
      <w:lvlText w:val="%1."/>
      <w:numFmt w:val="decimal"/>
      <w:start w:val="1"/>
    </w:lvl>
    <w:lvl w:ilvl="1">
      <w:lvlJc w:val="left"/>
      <w:lvlText w:val="%2."/>
      <w:numFmt w:val="lowerLetter"/>
      <w:start w:val="1"/>
    </w:lvl>
  </w:abstractNum>
  <w:abstractNum w:abstractNumId="17">
    <w:nsid w:val="4AD084E9"/>
    <w:multiLevelType w:val="hybridMultilevel"/>
    <w:lvl w:ilvl="0">
      <w:lvlJc w:val="left"/>
      <w:lvlText w:val="(%1)"/>
      <w:numFmt w:val="lowerLetter"/>
      <w:start w:val="1"/>
    </w:lvl>
  </w:abstractNum>
  <w:abstractNum w:abstractNumId="18">
    <w:nsid w:val="1F48EAA1"/>
    <w:multiLevelType w:val="hybridMultilevel"/>
    <w:lvl w:ilvl="0">
      <w:lvlJc w:val="left"/>
      <w:lvlText w:val="(%1)"/>
      <w:numFmt w:val="lowerLetter"/>
      <w:start w:val="1"/>
    </w:lvl>
  </w:abstractNum>
  <w:abstractNum w:abstractNumId="19">
    <w:nsid w:val="1381823A"/>
    <w:multiLevelType w:val="hybridMultilevel"/>
    <w:lvl w:ilvl="0">
      <w:lvlJc w:val="left"/>
      <w:lvlText w:val="(%1)"/>
      <w:numFmt w:val="lowerLetter"/>
      <w:start w:val="3"/>
    </w:lvl>
    <w:lvl w:ilvl="1">
      <w:lvlJc w:val="left"/>
      <w:lvlText w:val="(%2)"/>
      <w:numFmt w:val="lowerRoman"/>
      <w:start w:val="1"/>
    </w:lvl>
  </w:abstractNum>
  <w:abstractNum w:abstractNumId="20">
    <w:nsid w:val="5DB70AE5"/>
    <w:multiLevelType w:val="hybridMultilevel"/>
    <w:lvl w:ilvl="0">
      <w:lvlJc w:val="left"/>
      <w:lvlText w:val="(%1)"/>
      <w:numFmt w:val="lowerLetter"/>
      <w:start w:val="1"/>
    </w:lvl>
  </w:abstractNum>
  <w:abstractNum w:abstractNumId="21">
    <w:nsid w:val="100F8FCA"/>
    <w:multiLevelType w:val="hybridMultilevel"/>
    <w:lvl w:ilvl="0">
      <w:lvlJc w:val="left"/>
      <w:lvlText w:val="(%1)"/>
      <w:numFmt w:val="lowerLetter"/>
      <w:start w:val="24"/>
    </w:lvl>
  </w:abstractNum>
  <w:abstractNum w:abstractNumId="22">
    <w:nsid w:val="6590700B"/>
    <w:multiLevelType w:val="hybridMultilevel"/>
    <w:lvl w:ilvl="0">
      <w:lvlJc w:val="left"/>
      <w:lvlText w:val="(%1)"/>
      <w:numFmt w:val="lowerLetter"/>
      <w:start w:val="4"/>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Roman"/>
      <w:start w:val="2"/>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lowerLetter"/>
      <w:start w:val="1"/>
    </w:lvl>
  </w:abstractNum>
  <w:abstractNum w:abstractNumId="30">
    <w:nsid w:val="1EBA5D23"/>
    <w:multiLevelType w:val="hybridMultilevel"/>
    <w:lvl w:ilvl="0">
      <w:lvlJc w:val="left"/>
      <w:lvlText w:val="%1"/>
      <w:numFmt w:val="decimal"/>
      <w:start w:val="1"/>
    </w:lvl>
    <w:lvl w:ilvl="1">
      <w:lvlJc w:val="left"/>
      <w:lvlText w:val="(%2)"/>
      <w:numFmt w:val="lowerLetter"/>
      <w:start w:val="2"/>
    </w:lvl>
  </w:abstractNum>
  <w:abstractNum w:abstractNumId="31">
    <w:nsid w:val="661E3F1E"/>
    <w:multiLevelType w:val="hybridMultilevel"/>
    <w:lvl w:ilvl="0">
      <w:lvlJc w:val="left"/>
      <w:lvlText w:val="%1."/>
      <w:numFmt w:val="decimal"/>
      <w:start w:val="2"/>
    </w:lvl>
    <w:lvl w:ilvl="1">
      <w:lvlJc w:val="left"/>
      <w:lvlText w:val="%2"/>
      <w:numFmt w:val="lowerLetter"/>
      <w:start w:val="1"/>
    </w:lvl>
  </w:abstractNum>
  <w:abstractNum w:abstractNumId="32">
    <w:nsid w:val="5DC79EA8"/>
    <w:multiLevelType w:val="hybridMultilevel"/>
    <w:lvl w:ilvl="0">
      <w:lvlJc w:val="left"/>
      <w:lvlText w:val="%1."/>
      <w:numFmt w:val="decimal"/>
      <w:start w:val="3"/>
    </w:lvl>
  </w:abstractNum>
  <w:abstractNum w:abstractNumId="33">
    <w:nsid w:val="540A471C"/>
    <w:multiLevelType w:val="hybridMultilevel"/>
    <w:lvl w:ilvl="0">
      <w:lvlJc w:val="left"/>
      <w:lvlText w:val="%1."/>
      <w:numFmt w:val="decimal"/>
      <w:start w:val="4"/>
    </w:lvl>
    <w:lvl w:ilvl="1">
      <w:lvlJc w:val="left"/>
      <w:lvlText w:val="(%2)"/>
      <w:numFmt w:val="lowerLetter"/>
      <w:start w:val="1"/>
    </w:lvl>
  </w:abstractNum>
  <w:abstractNum w:abstractNumId="34">
    <w:nsid w:val="7BD3EE7B"/>
    <w:multiLevelType w:val="hybridMultilevel"/>
    <w:lvl w:ilvl="0">
      <w:lvlJc w:val="left"/>
      <w:lvlText w:val="(%1)"/>
      <w:numFmt w:val="lowerLetter"/>
      <w:start w:val="4"/>
    </w:lvl>
    <w:lvl w:ilvl="1">
      <w:lvlJc w:val="left"/>
      <w:lvlText w:val="(%2)"/>
      <w:numFmt w:val="lowerLetter"/>
      <w:start w:val="9"/>
    </w:lvl>
  </w:abstractNum>
  <w:abstractNum w:abstractNumId="35">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6">
    <w:nsid w:val="613EFDC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7">
    <w:nsid w:val="BF72B1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8">
    <w:nsid w:val="11447B73"/>
    <w:multiLevelType w:val="hybridMultilevel"/>
    <w:lvl w:ilvl="0">
      <w:lvlJc w:val="left"/>
      <w:lvlText w:val="%1."/>
      <w:numFmt w:val="decimal"/>
      <w:start w:val="6"/>
    </w:lvl>
    <w:lvl w:ilvl="1">
      <w:lvlJc w:val="left"/>
      <w:lvlText w:val="(%2)"/>
      <w:numFmt w:val="lowerLetter"/>
      <w:start w:val="1"/>
    </w:lvl>
  </w:abstractNum>
  <w:abstractNum w:abstractNumId="39">
    <w:nsid w:val="42963E5A"/>
    <w:multiLevelType w:val="hybridMultilevel"/>
    <w:lvl w:ilvl="0">
      <w:lvlJc w:val="left"/>
      <w:lvlText w:val="%1."/>
      <w:numFmt w:val="decimal"/>
      <w:start w:val="8"/>
    </w:lvl>
    <w:lvl w:ilvl="1">
      <w:lvlJc w:val="left"/>
      <w:lvlText w:val="(%2)"/>
      <w:numFmt w:val="lowerLetter"/>
      <w:start w:val="1"/>
    </w:lvl>
  </w:abstractNum>
  <w:abstractNum w:abstractNumId="40">
    <w:nsid w:val="A0382C5"/>
    <w:multiLevelType w:val="hybridMultilevel"/>
    <w:lvl w:ilvl="0">
      <w:lvlJc w:val="left"/>
      <w:lvlText w:val="(%1)"/>
      <w:numFmt w:val="lowerLetter"/>
      <w:start w:val="2"/>
    </w:lvl>
  </w:abstractNum>
  <w:abstractNum w:abstractNumId="41">
    <w:nsid w:val="8F2B15E"/>
    <w:multiLevelType w:val="hybridMultilevel"/>
    <w:lvl w:ilvl="0">
      <w:lvlJc w:val="left"/>
      <w:lvlText w:val="(%1)"/>
      <w:numFmt w:val="lowerLetter"/>
      <w:start w:val="9"/>
    </w:lvl>
    <w:lvl w:ilvl="1">
      <w:lvlJc w:val="left"/>
      <w:lvlText w:val="(%2)"/>
      <w:numFmt w:val="lowerRoman"/>
      <w:start w:val="1"/>
    </w:lvl>
  </w:abstractNum>
  <w:abstractNum w:abstractNumId="42">
    <w:nsid w:val="1A32234B"/>
    <w:multiLevelType w:val="hybridMultilevel"/>
    <w:lvl w:ilvl="0">
      <w:lvlJc w:val="left"/>
      <w:lvlText w:val="(%1)"/>
      <w:numFmt w:val="lowerLetter"/>
      <w:start w:val="13"/>
    </w:lvl>
  </w:abstractNum>
  <w:abstractNum w:abstractNumId="43">
    <w:nsid w:val="3B0FD379"/>
    <w:multiLevelType w:val="hybridMultilevel"/>
    <w:lvl w:ilvl="0">
      <w:lvlJc w:val="left"/>
      <w:lvlText w:val="%1."/>
      <w:numFmt w:val="decimal"/>
      <w:start w:val="1"/>
    </w:lvl>
    <w:lvl w:ilvl="1">
      <w:lvlJc w:val="left"/>
      <w:lvlText w:val="%2."/>
      <w:numFmt w:val="lowerLetter"/>
      <w:start w:val="1"/>
    </w:lvl>
  </w:abstractNum>
  <w:abstractNum w:abstractNumId="44">
    <w:nsid w:val="68EB2F63"/>
    <w:multiLevelType w:val="hybridMultilevel"/>
    <w:lvl w:ilvl="0">
      <w:lvlJc w:val="left"/>
      <w:lvlText w:val="%1."/>
      <w:numFmt w:val="decimal"/>
      <w:start w:val="4"/>
    </w:lvl>
    <w:lvl w:ilvl="1">
      <w:lvlJc w:val="left"/>
      <w:lvlText w:val="%2."/>
      <w:numFmt w:val="lowerLetter"/>
      <w:start w:val="1"/>
    </w:lvl>
  </w:abstractNum>
  <w:abstractNum w:abstractNumId="45">
    <w:nsid w:val="4962813B"/>
    <w:multiLevelType w:val="hybridMultilevel"/>
    <w:lvl w:ilvl="0">
      <w:lvlJc w:val="left"/>
      <w:lvlText w:val="%1"/>
      <w:numFmt w:val="decimal"/>
      <w:start w:val="1"/>
    </w:lvl>
    <w:lvl w:ilvl="1">
      <w:lvlJc w:val="left"/>
      <w:lvlText w:val="%2."/>
      <w:numFmt w:val="lowerLetter"/>
      <w:start w:val="4"/>
    </w:lvl>
  </w:abstractNum>
  <w:abstractNum w:abstractNumId="46">
    <w:nsid w:val="60B6DF70"/>
    <w:multiLevelType w:val="hybridMultilevel"/>
    <w:lvl w:ilvl="0">
      <w:lvlJc w:val="left"/>
      <w:lvlText w:val="%1."/>
      <w:numFmt w:val="decimal"/>
      <w:start w:val="7"/>
    </w:lvl>
    <w:lvl w:ilvl="1">
      <w:lvlJc w:val="left"/>
      <w:lvlText w:val="%2"/>
      <w:numFmt w:val="lowerLetter"/>
      <w:start w:val="1"/>
    </w:lvl>
  </w:abstractNum>
  <w:abstractNum w:abstractNumId="47">
    <w:nsid w:val="6A5EE64"/>
    <w:multiLevelType w:val="hybridMultilevel"/>
    <w:lvl w:ilvl="0">
      <w:lvlJc w:val="left"/>
      <w:lvlText w:val="%1"/>
      <w:numFmt w:val="decimal"/>
      <w:start w:val="1"/>
    </w:lvl>
    <w:lvl w:ilvl="1">
      <w:lvlJc w:val="left"/>
      <w:lvlText w:val="%2."/>
      <w:numFmt w:val="lowerLetter"/>
      <w:start w:val="1"/>
    </w:lvl>
  </w:abstractNum>
  <w:abstractNum w:abstractNumId="48">
    <w:nsid w:val="14330624"/>
    <w:multiLevelType w:val="hybridMultilevel"/>
    <w:lvl w:ilvl="0">
      <w:lvlJc w:val="left"/>
      <w:lvlText w:val="%1."/>
      <w:numFmt w:val="decimal"/>
      <w:start w:val="13"/>
    </w:lvl>
    <w:lvl w:ilvl="1">
      <w:lvlJc w:val="left"/>
      <w:lvlText w:val="%2"/>
      <w:numFmt w:val="lowerLetter"/>
      <w:start w:val="1"/>
    </w:lvl>
  </w:abstractNum>
  <w:abstractNum w:abstractNumId="49">
    <w:nsid w:val="7FFFCA11"/>
    <w:multiLevelType w:val="hybridMultilevel"/>
    <w:lvl w:ilvl="0">
      <w:lvlJc w:val="left"/>
      <w:lvlText w:val="%1."/>
      <w:numFmt w:val="decimal"/>
      <w:start w:val="1"/>
    </w:lvl>
    <w:lvl w:ilvl="1">
      <w:lvlJc w:val="left"/>
      <w:lvlText w:val="(%2)"/>
      <w:numFmt w:val="lowerLetter"/>
      <w:start w:val="1"/>
    </w:lvl>
  </w:abstractNum>
  <w:abstractNum w:abstractNumId="50">
    <w:nsid w:val="1A27709E"/>
    <w:multiLevelType w:val="hybridMultilevel"/>
    <w:lvl w:ilvl="0">
      <w:lvlJc w:val="left"/>
      <w:lvlText w:val="%1."/>
      <w:numFmt w:val="decimal"/>
      <w:start w:val="2"/>
    </w:lvl>
    <w:lvl w:ilvl="1">
      <w:lvlJc w:val="left"/>
      <w:lvlText w:val="(%2)"/>
      <w:numFmt w:val="lowerLetter"/>
      <w:start w:val="1"/>
    </w:lvl>
  </w:abstractNum>
  <w:abstractNum w:abstractNumId="51">
    <w:nsid w:val="71EA1109"/>
    <w:multiLevelType w:val="hybridMultilevel"/>
    <w:lvl w:ilvl="0">
      <w:lvlJc w:val="left"/>
      <w:lvlText w:val="(%1)"/>
      <w:numFmt w:val="lowerLetter"/>
      <w:start w:val="3"/>
    </w:lvl>
    <w:lvl w:ilvl="1">
      <w:lvlJc w:val="left"/>
      <w:lvlText w:val="(%2)"/>
      <w:numFmt w:val="lowerLetter"/>
      <w:start w:val="9"/>
    </w:lvl>
  </w:abstractNum>
  <w:abstractNum w:abstractNumId="52">
    <w:nsid w:val="100F59DC"/>
    <w:multiLevelType w:val="hybridMultilevel"/>
    <w:lvl w:ilvl="0">
      <w:lvlJc w:val="left"/>
      <w:lvlText w:val="%1"/>
      <w:numFmt w:val="decimal"/>
      <w:start w:val="1"/>
    </w:lvl>
    <w:lvl w:ilvl="1">
      <w:lvlJc w:val="left"/>
      <w:lvlText w:val="(%2)"/>
      <w:numFmt w:val="lowerRoman"/>
      <w:start w:val="2"/>
    </w:lvl>
  </w:abstractNum>
  <w:abstractNum w:abstractNumId="53">
    <w:nsid w:val="7FB7E0AA"/>
    <w:multiLevelType w:val="hybridMultilevel"/>
    <w:lvl w:ilvl="0">
      <w:lvlJc w:val="left"/>
      <w:lvlText w:val="%1."/>
      <w:numFmt w:val="decimal"/>
      <w:start w:val="5"/>
    </w:lvl>
    <w:lvl w:ilvl="1">
      <w:lvlJc w:val="left"/>
      <w:lvlText w:val="%2"/>
      <w:numFmt w:val="lowerRoman"/>
      <w:start w:val="1"/>
    </w:lvl>
  </w:abstractNum>
  <w:abstractNum w:abstractNumId="54">
    <w:nsid w:val="6EB5B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6">
    <w:nsid w:val="94211F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7">
    <w:nsid w:val="885E1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8">
    <w:nsid w:val="76272110"/>
    <w:multiLevelType w:val="hybridMultilevel"/>
    <w:lvl w:ilvl="0">
      <w:lvlJc w:val="left"/>
      <w:lvlText w:val="(%1)"/>
      <w:numFmt w:val="lowerLetter"/>
      <w:start w:val="2"/>
    </w:lvl>
  </w:abstractNum>
  <w:abstractNum w:abstractNumId="59">
    <w:nsid w:val="4C04A8AF"/>
    <w:multiLevelType w:val="hybridMultilevel"/>
    <w:lvl w:ilvl="0">
      <w:lvlJc w:val="left"/>
      <w:lvlText w:val="(%1)"/>
      <w:numFmt w:val="lowerLetter"/>
      <w:start w:val="8"/>
    </w:lvl>
    <w:lvl w:ilvl="1">
      <w:lvlJc w:val="left"/>
      <w:lvlText w:val="(%2)"/>
      <w:numFmt w:val="lowerRoman"/>
      <w:start w:val="1"/>
    </w:lvl>
  </w:abstractNum>
  <w:abstractNum w:abstractNumId="60">
    <w:nsid w:val="1716703B"/>
    <w:multiLevelType w:val="hybridMultilevel"/>
    <w:lvl w:ilvl="0">
      <w:lvlJc w:val="left"/>
      <w:lvlText w:val="%1"/>
      <w:numFmt w:val="lowerLetter"/>
      <w:start w:val="1"/>
    </w:lvl>
    <w:lvl w:ilvl="1">
      <w:lvlJc w:val="left"/>
      <w:lvlText w:val="(%2)"/>
      <w:numFmt w:val="lowerLetter"/>
      <w:start w:val="35"/>
    </w:lvl>
  </w:abstractNum>
  <w:abstractNum w:abstractNumId="61">
    <w:nsid w:val="14E17E33"/>
    <w:multiLevelType w:val="hybridMultilevel"/>
    <w:lvl w:ilvl="0">
      <w:lvlJc w:val="left"/>
      <w:lvlText w:val="(%1)"/>
      <w:numFmt w:val="lowerLetter"/>
      <w:start w:val="13"/>
    </w:lvl>
    <w:lvl w:ilvl="1">
      <w:lvlJc w:val="left"/>
      <w:lvlText w:val="%2"/>
      <w:numFmt w:val="lowerLetter"/>
      <w:start w:val="1"/>
    </w:lvl>
  </w:abstractNum>
  <w:abstractNum w:abstractNumId="62">
    <w:nsid w:val="3222E7CD"/>
    <w:multiLevelType w:val="hybridMultilevel"/>
    <w:lvl w:ilvl="0">
      <w:lvlJc w:val="left"/>
      <w:lvlText w:val="%1."/>
      <w:numFmt w:val="decimal"/>
      <w:start w:val="1"/>
    </w:lvl>
    <w:lvl w:ilvl="1">
      <w:lvlJc w:val="left"/>
      <w:lvlText w:val="(%2)"/>
      <w:numFmt w:val="lowerLetter"/>
      <w:start w:val="1"/>
    </w:lvl>
  </w:abstractNum>
  <w:abstractNum w:abstractNumId="63">
    <w:nsid w:val="74DE0EE3"/>
    <w:multiLevelType w:val="hybridMultilevel"/>
    <w:lvl w:ilvl="0">
      <w:lvlJc w:val="left"/>
      <w:lvlText w:val="%1."/>
      <w:numFmt w:val="decimal"/>
      <w:start w:val="3"/>
    </w:lvl>
    <w:lvl w:ilvl="1">
      <w:lvlJc w:val="left"/>
      <w:lvlText w:val="(%2)"/>
      <w:numFmt w:val="lowerLetter"/>
      <w:start w:val="1"/>
    </w:lvl>
  </w:abstractNum>
  <w:abstractNum w:abstractNumId="64">
    <w:nsid w:val="68EBC550"/>
    <w:multiLevelType w:val="hybridMultilevel"/>
    <w:lvl w:ilvl="0">
      <w:lvlJc w:val="left"/>
      <w:lvlText w:val="(%1)"/>
      <w:numFmt w:val="lowerLetter"/>
      <w:start w:val="3"/>
    </w:lvl>
    <w:lvl w:ilvl="1">
      <w:lvlJc w:val="left"/>
      <w:lvlText w:val="(%2)"/>
      <w:numFmt w:val="lowerLetter"/>
      <w:start w:val="9"/>
    </w:lvl>
  </w:abstractNum>
  <w:abstractNum w:abstractNumId="65">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6">
    <w:nsid w:val="46B7D44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7">
    <w:nsid w:val="4A2AC315"/>
    <w:multiLevelType w:val="hybridMultilevel"/>
    <w:lvl w:ilvl="0">
      <w:lvlJc w:val="left"/>
      <w:lvlText w:val="%1."/>
      <w:numFmt w:val="decimal"/>
      <w:start w:val="8"/>
    </w:lvl>
    <w:lvl w:ilvl="1">
      <w:lvlJc w:val="left"/>
      <w:lvlText w:val="(%2)"/>
      <w:numFmt w:val="lowerLetter"/>
      <w:start w:val="1"/>
    </w:lvl>
  </w:abstractNum>
  <w:abstractNum w:abstractNumId="68">
    <w:nsid w:val="39EE015C"/>
    <w:multiLevelType w:val="hybridMultilevel"/>
    <w:lvl w:ilvl="0">
      <w:lvlJc w:val="left"/>
      <w:lvlText w:val="%1."/>
      <w:numFmt w:val="decimal"/>
      <w:start w:val="10"/>
    </w:lvl>
    <w:lvl w:ilvl="1">
      <w:lvlJc w:val="left"/>
      <w:lvlText w:val="(%2)"/>
      <w:numFmt w:val="lowerLetter"/>
      <w:start w:val="1"/>
    </w:lvl>
  </w:abstractNum>
  <w:abstractNum w:abstractNumId="69">
    <w:nsid w:val="57FC4FBB"/>
    <w:multiLevelType w:val="hybridMultilevel"/>
    <w:lvl w:ilvl="0">
      <w:lvlJc w:val="left"/>
      <w:lvlText w:val="(%1)"/>
      <w:numFmt w:val="lowerLetter"/>
      <w:start w:val="7"/>
    </w:lvl>
    <w:lvl w:ilvl="1">
      <w:lvlJc w:val="left"/>
      <w:lvlText w:val="(%2)"/>
      <w:numFmt w:val="lowerLetter"/>
      <w:start w:val="9"/>
    </w:lvl>
  </w:abstractNum>
  <w:abstractNum w:abstractNumId="70">
    <w:nsid w:val="CC1016F"/>
    <w:multiLevelType w:val="hybridMultilevel"/>
    <w:lvl w:ilvl="0">
      <w:lvlJc w:val="left"/>
      <w:lvlText w:val="%1"/>
      <w:numFmt w:val="upperLetter"/>
      <w:start w:val="1"/>
    </w:lvl>
    <w:lvl w:ilvl="1">
      <w:lvlJc w:val="left"/>
      <w:lvlText w:val="(%2)"/>
      <w:numFmt w:val="lowerRoman"/>
      <w:start w:val="2"/>
    </w:lvl>
  </w:abstractNum>
  <w:abstractNum w:abstractNumId="71">
    <w:nsid w:val="43F18422"/>
    <w:multiLevelType w:val="hybridMultilevel"/>
    <w:lvl w:ilvl="0">
      <w:lvlJc w:val="left"/>
      <w:lvlText w:val="(%1)"/>
      <w:numFmt w:val="upperLetter"/>
      <w:start w:val="1"/>
    </w:lvl>
    <w:lvl w:ilvl="1">
      <w:lvlJc w:val="left"/>
      <w:lvlText w:val="%2"/>
      <w:numFmt w:val="lowerRoman"/>
      <w:start w:val="1"/>
    </w:lvl>
  </w:abstractNum>
  <w:abstractNum w:abstractNumId="72">
    <w:nsid w:val="60EF0119"/>
    <w:multiLevelType w:val="hybridMultilevel"/>
    <w:lvl w:ilvl="0">
      <w:lvlJc w:val="left"/>
      <w:lvlText w:val="(%1)"/>
      <w:numFmt w:val="lowerLetter"/>
      <w:start w:val="13"/>
    </w:lvl>
  </w:abstractNum>
  <w:abstractNum w:abstractNumId="73">
    <w:nsid w:val="26F324BA"/>
    <w:multiLevelType w:val="hybridMultilevel"/>
    <w:lvl w:ilvl="0">
      <w:lvlJc w:val="left"/>
      <w:lvlText w:val="%1."/>
      <w:numFmt w:val="decimal"/>
      <w:start w:val="1"/>
    </w:lvl>
    <w:lvl w:ilvl="1">
      <w:lvlJc w:val="left"/>
      <w:lvlText w:val="%2."/>
      <w:numFmt w:val="lowerLetter"/>
      <w:start w:val="1"/>
    </w:lvl>
  </w:abstractNum>
  <w:abstractNum w:abstractNumId="74">
    <w:nsid w:val="7F01579B"/>
    <w:multiLevelType w:val="hybridMultilevel"/>
    <w:lvl w:ilvl="0">
      <w:lvlJc w:val="left"/>
      <w:lvlText w:val="%1."/>
      <w:numFmt w:val="decimal"/>
      <w:start w:val="4"/>
    </w:lvl>
    <w:lvl w:ilvl="1">
      <w:lvlJc w:val="left"/>
      <w:lvlText w:val="%2."/>
      <w:numFmt w:val="lowerLetter"/>
      <w:start w:val="1"/>
    </w:lvl>
  </w:abstractNum>
  <w:abstractNum w:abstractNumId="75">
    <w:nsid w:val="49DA307D"/>
    <w:multiLevelType w:val="hybridMultilevel"/>
    <w:lvl w:ilvl="0">
      <w:lvlJc w:val="left"/>
      <w:lvlText w:val="%1."/>
      <w:numFmt w:val="decimal"/>
      <w:start w:val="8"/>
    </w:lvl>
  </w:abstractNum>
  <w:abstractNum w:abstractNumId="76">
    <w:nsid w:val="7055A5F5"/>
    <w:multiLevelType w:val="hybridMultilevel"/>
    <w:lvl w:ilvl="0">
      <w:lvlJc w:val="left"/>
      <w:lvlText w:val="%1."/>
      <w:numFmt w:val="decimal"/>
      <w:start w:val="9"/>
    </w:lvl>
    <w:lvl w:ilvl="1">
      <w:lvlJc w:val="left"/>
      <w:lvlText w:val="%2."/>
      <w:numFmt w:val="lowerLetter"/>
      <w:start w:val="1"/>
    </w:lvl>
  </w:abstractNum>
  <w:abstractNum w:abstractNumId="77">
    <w:nsid w:val="5FB8370B"/>
    <w:multiLevelType w:val="hybridMultilevel"/>
    <w:lvl w:ilvl="0">
      <w:lvlJc w:val="left"/>
      <w:lvlText w:val="%1."/>
      <w:numFmt w:val="decimal"/>
      <w:start w:val="1"/>
    </w:lvl>
    <w:lvl w:ilvl="1">
      <w:lvlJc w:val="left"/>
      <w:lvlText w:val="(%2)"/>
      <w:numFmt w:val="lowerLetter"/>
      <w:start w:val="1"/>
    </w:lvl>
  </w:abstractNum>
  <w:abstractNum w:abstractNumId="78">
    <w:nsid w:val="50801EE1"/>
    <w:multiLevelType w:val="hybridMultilevel"/>
    <w:lvl w:ilvl="0">
      <w:lvlJc w:val="left"/>
      <w:lvlText w:val="%1."/>
      <w:numFmt w:val="decimal"/>
      <w:start w:val="2"/>
    </w:lvl>
    <w:lvl w:ilvl="1">
      <w:lvlJc w:val="left"/>
      <w:lvlText w:val="(%2)"/>
      <w:numFmt w:val="lowerLetter"/>
      <w:start w:val="1"/>
    </w:lvl>
  </w:abstractNum>
  <w:abstractNum w:abstractNumId="79">
    <w:nsid w:val="488AC1A"/>
    <w:multiLevelType w:val="hybridMultilevel"/>
    <w:lvl w:ilvl="0">
      <w:lvlJc w:val="left"/>
      <w:lvlText w:val="(%1)"/>
      <w:numFmt w:val="lowerLetter"/>
      <w:start w:val="9"/>
    </w:lvl>
  </w:abstractNum>
  <w:abstractNum w:abstractNumId="80">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1">
    <w:nsid w:val="6AA78F7F"/>
    <w:multiLevelType w:val="hybridMultilevel"/>
    <w:lvl w:ilvl="0">
      <w:lvlJc w:val="left"/>
      <w:lvlText w:val="%1."/>
      <w:numFmt w:val="decimal"/>
      <w:start w:val="5"/>
    </w:lvl>
    <w:lvl w:ilvl="1">
      <w:lvlJc w:val="left"/>
      <w:lvlText w:val="(%2)"/>
      <w:numFmt w:val="lowerLetter"/>
      <w:start w:val="35"/>
    </w:lvl>
    <w:lvl w:ilvl="2">
      <w:lvlJc w:val="left"/>
      <w:lvlText w:val="%3"/>
      <w:numFmt w:val="lowerRoman"/>
      <w:start w:val="1"/>
    </w:lvl>
  </w:abstractNum>
  <w:abstractNum w:abstractNumId="82">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6FC75AF8"/>
    <w:multiLevelType w:val="hybridMultilevel"/>
    <w:lvl w:ilvl="0">
      <w:lvlJc w:val="left"/>
      <w:lvlText w:val="%1."/>
      <w:numFmt w:val="decimal"/>
      <w:start w:val="7"/>
    </w:lvl>
    <w:lvl w:ilvl="1">
      <w:lvlJc w:val="left"/>
      <w:lvlText w:val="(%2)"/>
      <w:numFmt w:val="lowerLetter"/>
      <w:start w:val="1"/>
    </w:lvl>
  </w:abstractNum>
  <w:abstractNum w:abstractNumId="84">
    <w:nsid w:val="6A5F7029"/>
    <w:multiLevelType w:val="hybridMultilevel"/>
    <w:lvl w:ilvl="0">
      <w:lvlJc w:val="left"/>
      <w:lvlText w:val="%1."/>
      <w:numFmt w:val="decimal"/>
      <w:start w:val="9"/>
    </w:lvl>
    <w:lvl w:ilvl="1">
      <w:lvlJc w:val="left"/>
      <w:lvlText w:val="(%2)"/>
      <w:numFmt w:val="lowerLetter"/>
      <w:start w:val="1"/>
    </w:lvl>
  </w:abstractNum>
  <w:abstractNum w:abstractNumId="85">
    <w:nsid w:val="7D5E18F8"/>
    <w:multiLevelType w:val="hybridMultilevel"/>
    <w:lvl w:ilvl="0">
      <w:lvlJc w:val="left"/>
      <w:lvlText w:val="(%1)"/>
      <w:numFmt w:val="lowerLetter"/>
      <w:start w:val="6"/>
    </w:lvl>
  </w:abstractNum>
  <w:abstractNum w:abstractNumId="86">
    <w:nsid w:val="5F3534A4"/>
    <w:multiLevelType w:val="hybridMultilevel"/>
    <w:lvl w:ilvl="0">
      <w:lvlJc w:val="left"/>
      <w:lvlText w:val="%1"/>
      <w:numFmt w:val="lowerLetter"/>
      <w:start w:val="1"/>
    </w:lvl>
    <w:lvl w:ilvl="1">
      <w:lvlJc w:val="left"/>
      <w:lvlText w:val="(%2)"/>
      <w:numFmt w:val="lowerRoman"/>
      <w:start w:val="1"/>
    </w:lvl>
  </w:abstractNum>
  <w:abstractNum w:abstractNumId="87">
    <w:nsid w:val="73A1821B"/>
    <w:multiLevelType w:val="hybridMultilevel"/>
    <w:lvl w:ilvl="0">
      <w:lvlJc w:val="left"/>
      <w:lvlText w:val="(%1)"/>
      <w:numFmt w:val="lowerLetter"/>
      <w:start w:val="13"/>
    </w:lvl>
    <w:lvl w:ilvl="1">
      <w:lvlJc w:val="left"/>
      <w:lvlText w:val="%2"/>
      <w:numFmt w:val="lowerRoman"/>
      <w:start w:val="1"/>
    </w:lvl>
  </w:abstractNum>
  <w:abstractNum w:abstractNumId="88">
    <w:nsid w:val="7DE67713"/>
    <w:multiLevelType w:val="hybridMultilevel"/>
    <w:lvl w:ilvl="0">
      <w:lvlJc w:val="left"/>
      <w:lvlText w:val="(%1)"/>
      <w:numFmt w:val="lowerLetter"/>
      <w:start w:val="16"/>
    </w:lvl>
  </w:abstractNum>
  <w:abstractNum w:abstractNumId="89">
    <w:nsid w:val="555C55B5"/>
    <w:multiLevelType w:val="hybridMultilevel"/>
    <w:lvl w:ilvl="0">
      <w:lvlJc w:val="left"/>
      <w:lvlText w:val="%1."/>
      <w:numFmt w:val="decimal"/>
      <w:start w:val="1"/>
    </w:lvl>
    <w:lvl w:ilvl="1">
      <w:lvlJc w:val="left"/>
      <w:lvlText w:val="%2."/>
      <w:numFmt w:val="lowerLetter"/>
      <w:start w:val="1"/>
    </w:lvl>
  </w:abstractNum>
  <w:abstractNum w:abstractNumId="90">
    <w:nsid w:val="3FA62ACA"/>
    <w:multiLevelType w:val="hybridMultilevel"/>
    <w:lvl w:ilvl="0">
      <w:lvlJc w:val="left"/>
      <w:lvlText w:val="%1."/>
      <w:numFmt w:val="decimal"/>
      <w:start w:val="4"/>
    </w:lvl>
    <w:lvl w:ilvl="1">
      <w:lvlJc w:val="left"/>
      <w:lvlText w:val="%2."/>
      <w:numFmt w:val="lowerLetter"/>
      <w:start w:val="1"/>
    </w:lvl>
  </w:abstractNum>
  <w:abstractNum w:abstractNumId="91">
    <w:nsid w:val="14FCE74E"/>
    <w:multiLevelType w:val="hybridMultilevel"/>
    <w:lvl w:ilvl="0">
      <w:lvlJc w:val="left"/>
      <w:lvlText w:val="%1."/>
      <w:numFmt w:val="decimal"/>
      <w:start w:val="7"/>
    </w:lvl>
    <w:lvl w:ilvl="1">
      <w:lvlJc w:val="left"/>
      <w:lvlText w:val="%2."/>
      <w:numFmt w:val="lowerLetter"/>
      <w:start w:val="1"/>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1"/>
      <w:numFmt w:val="lowerLetter"/>
      <w:start w:val="1"/>
    </w:lvl>
    <w:lvl w:ilvl="1">
      <w:lvlJc w:val="left"/>
      <w:lvlText w:val="(%2)"/>
      <w:numFmt w:val="upperLetter"/>
      <w:start w:val="2"/>
    </w:lvl>
  </w:abstractNum>
  <w:abstractNum w:abstractNumId="94">
    <w:nsid w:val="9DAF632"/>
    <w:multiLevelType w:val="hybridMultilevel"/>
    <w:lvl w:ilvl="0">
      <w:lvlJc w:val="left"/>
      <w:lvlText w:val="(%1)"/>
      <w:numFmt w:val="lowerLetter"/>
      <w:start w:val="2"/>
    </w:lvl>
    <w:lvl w:ilvl="1">
      <w:lvlJc w:val="left"/>
      <w:lvlText w:val="%2"/>
      <w:numFmt w:val="upperLetter"/>
      <w:start w:val="1"/>
    </w:lvl>
  </w:abstractNum>
  <w:abstractNum w:abstractNumId="95">
    <w:nsid w:val="53299938"/>
    <w:multiLevelType w:val="hybridMultilevel"/>
    <w:lvl w:ilvl="0">
      <w:lvlJc w:val="left"/>
      <w:lvlText w:val="%1."/>
      <w:numFmt w:val="decimal"/>
      <w:start w:val="2"/>
    </w:lvl>
    <w:lvl w:ilvl="1">
      <w:lvlJc w:val="left"/>
      <w:lvlText w:val="%2"/>
      <w:numFmt w:val="lowerLetter"/>
      <w:start w:val="1"/>
    </w:lvl>
  </w:abstractNum>
  <w:abstractNum w:abstractNumId="96">
    <w:nsid w:val="1FBFE8E0"/>
    <w:multiLevelType w:val="hybridMultilevel"/>
    <w:lvl w:ilvl="0">
      <w:lvlJc w:val="left"/>
      <w:lvlText w:val="%1."/>
      <w:numFmt w:val="decimal"/>
      <w:start w:val="2"/>
    </w:lvl>
    <w:lvl w:ilvl="1">
      <w:lvlJc w:val="left"/>
      <w:lvlText w:val="%2"/>
      <w:numFmt w:val="lowerLetter"/>
      <w:start w:val="1"/>
    </w:lvl>
  </w:abstractNum>
  <w:abstractNum w:abstractNumId="97">
    <w:nsid w:val="5092CA79"/>
    <w:multiLevelType w:val="hybridMultilevel"/>
    <w:lvl w:ilvl="0">
      <w:lvlJc w:val="left"/>
      <w:lvlText w:val="%1."/>
      <w:numFmt w:val="decimal"/>
      <w:start w:val="4"/>
    </w:lvl>
    <w:lvl w:ilvl="1">
      <w:lvlJc w:val="left"/>
      <w:lvlText w:val="(%2)"/>
      <w:numFmt w:val="lowerLetter"/>
      <w:start w:val="1"/>
    </w:lvl>
  </w:abstractNum>
  <w:abstractNum w:abstractNumId="98">
    <w:nsid w:val="1D545C4D"/>
    <w:multiLevelType w:val="hybridMultilevel"/>
    <w:lvl w:ilvl="0">
      <w:lvlJc w:val="left"/>
      <w:lvlText w:val="(%1)"/>
      <w:numFmt w:val="lowerLetter"/>
      <w:start w:val="3"/>
    </w:lvl>
    <w:lvl w:ilvl="1">
      <w:lvlJc w:val="left"/>
      <w:lvlText w:val="(%2)"/>
      <w:numFmt w:val="lowerLetter"/>
      <w:start w:val="61"/>
    </w:lvl>
  </w:abstractNum>
  <w:abstractNum w:abstractNumId="99">
    <w:nsid w:val="59ADEA3D"/>
    <w:multiLevelType w:val="hybridMultilevel"/>
    <w:lvl w:ilvl="0">
      <w:lvlJc w:val="left"/>
      <w:lvlText w:val="%1"/>
      <w:numFmt w:val="lowerLetter"/>
      <w:start w:val="1"/>
    </w:lvl>
    <w:lvl w:ilvl="1">
      <w:lvlJc w:val="left"/>
      <w:lvlText w:val="(%2)"/>
      <w:numFmt w:val="lowerLetter"/>
      <w:start w:val="9"/>
    </w:lvl>
  </w:abstractNum>
  <w:abstractNum w:abstractNumId="100">
    <w:nsid w:val="288F1A34"/>
    <w:multiLevelType w:val="hybridMultilevel"/>
    <w:lvl w:ilvl="0">
      <w:lvlJc w:val="left"/>
      <w:lvlText w:val="(%1)"/>
      <w:numFmt w:val="lowerRoman"/>
      <w:start w:val="2"/>
    </w:lvl>
  </w:abstractNum>
  <w:abstractNum w:abstractNumId="101">
    <w:nsid w:val="2A155DBC"/>
    <w:multiLevelType w:val="hybridMultilevel"/>
    <w:lvl w:ilvl="0">
      <w:lvlJc w:val="left"/>
      <w:lvlText w:val="%1"/>
      <w:numFmt w:val="decimal"/>
      <w:start w:val="1"/>
    </w:lvl>
    <w:lvl w:ilvl="1">
      <w:lvlJc w:val="left"/>
      <w:lvlText w:val="(%2)"/>
      <w:numFmt w:val="lowerLetter"/>
      <w:start w:val="5"/>
    </w:lvl>
  </w:abstractNum>
  <w:abstractNum w:abstractNumId="102">
    <w:nsid w:val="1D9F6E5F"/>
    <w:multiLevelType w:val="hybridMultilevel"/>
    <w:lvl w:ilvl="0">
      <w:lvlJc w:val="left"/>
      <w:lvlText w:val="%1."/>
      <w:numFmt w:val="decimal"/>
      <w:start w:val="5"/>
    </w:lvl>
    <w:lvl w:ilvl="1">
      <w:lvlJc w:val="left"/>
      <w:lvlText w:val="%2"/>
      <w:numFmt w:val="lowerLetter"/>
      <w:start w:val="1"/>
    </w:lvl>
  </w:abstractNum>
  <w:abstractNum w:abstractNumId="103">
    <w:nsid w:val="97E1B4E"/>
    <w:multiLevelType w:val="hybridMultilevel"/>
    <w:lvl w:ilvl="0">
      <w:lvlJc w:val="left"/>
      <w:lvlText w:val="%1."/>
      <w:numFmt w:val="decimal"/>
      <w:start w:val="8"/>
    </w:lvl>
    <w:lvl w:ilvl="1">
      <w:lvlJc w:val="left"/>
      <w:lvlText w:val="(%2)"/>
      <w:numFmt w:val="lowerLetter"/>
      <w:start w:val="1"/>
    </w:lvl>
  </w:abstractNum>
  <w:abstractNum w:abstractNumId="104">
    <w:nsid w:val="51088277"/>
    <w:multiLevelType w:val="hybridMultilevel"/>
    <w:lvl w:ilvl="0">
      <w:lvlJc w:val="left"/>
      <w:lvlText w:val="%1."/>
      <w:numFmt w:val="decimal"/>
      <w:start w:val="10"/>
    </w:lvl>
    <w:lvl w:ilvl="1">
      <w:lvlJc w:val="left"/>
      <w:lvlText w:val="(%2)"/>
      <w:numFmt w:val="lowerLetter"/>
      <w:start w:val="1"/>
    </w:lvl>
  </w:abstractNum>
  <w:abstractNum w:abstractNumId="105">
    <w:nsid w:val="1CA0C5FA"/>
    <w:multiLevelType w:val="hybridMultilevel"/>
    <w:lvl w:ilvl="0">
      <w:lvlJc w:val="left"/>
      <w:lvlText w:val="(%1)"/>
      <w:numFmt w:val="lowerLetter"/>
      <w:start w:val="4"/>
    </w:lvl>
  </w:abstractNum>
  <w:abstractNum w:abstractNumId="106">
    <w:nsid w:val="53584BCB"/>
    <w:multiLevelType w:val="hybridMultilevel"/>
    <w:lvl w:ilvl="0">
      <w:lvlJc w:val="left"/>
      <w:lvlText w:val="(%1)"/>
      <w:numFmt w:val="lowerLetter"/>
      <w:start w:val="11"/>
    </w:lvl>
    <w:lvl w:ilvl="1">
      <w:lvlJc w:val="left"/>
      <w:lvlText w:val="(%2)"/>
      <w:numFmt w:val="lowerRoman"/>
      <w:start w:val="1"/>
    </w:lvl>
  </w:abstractNum>
  <w:abstractNum w:abstractNumId="107">
    <w:nsid w:val="415E286C"/>
    <w:multiLevelType w:val="hybridMultilevel"/>
    <w:lvl w:ilvl="0">
      <w:lvlJc w:val="left"/>
      <w:lvlText w:val="(%1)"/>
      <w:numFmt w:val="lowerLetter"/>
      <w:start w:val="13"/>
    </w:lvl>
  </w:abstractNum>
  <w:abstractNum w:abstractNumId="108">
    <w:nsid w:val="7C58FD05"/>
    <w:multiLevelType w:val="hybridMultilevel"/>
    <w:lvl w:ilvl="0">
      <w:lvlJc w:val="left"/>
      <w:lvlText w:val="%1."/>
      <w:numFmt w:val="decimal"/>
      <w:start w:val="1"/>
    </w:lvl>
    <w:lvl w:ilvl="1">
      <w:lvlJc w:val="left"/>
      <w:lvlText w:val="%2."/>
      <w:numFmt w:val="lowerLetter"/>
      <w:start w:val="1"/>
    </w:lvl>
  </w:abstractNum>
  <w:abstractNum w:abstractNumId="109">
    <w:nsid w:val="23D86AAC"/>
    <w:multiLevelType w:val="hybridMultilevel"/>
    <w:lvl w:ilvl="0">
      <w:lvlJc w:val="left"/>
      <w:lvlText w:val="%1."/>
      <w:numFmt w:val="decimal"/>
      <w:start w:val="4"/>
    </w:lvl>
    <w:lvl w:ilvl="1">
      <w:lvlJc w:val="left"/>
      <w:lvlText w:val="%2."/>
      <w:numFmt w:val="lowerLetter"/>
      <w:start w:val="1"/>
    </w:lvl>
  </w:abstractNum>
  <w:abstractNum w:abstractNumId="110">
    <w:nsid w:val="45E6D486"/>
    <w:multiLevelType w:val="hybridMultilevel"/>
    <w:lvl w:ilvl="0">
      <w:lvlJc w:val="left"/>
      <w:lvlText w:val="%1."/>
      <w:numFmt w:val="decimal"/>
      <w:start w:val="7"/>
    </w:lvl>
    <w:lvl w:ilvl="1">
      <w:lvlJc w:val="left"/>
      <w:lvlText w:val="%2."/>
      <w:numFmt w:val="lowerLetter"/>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jpe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63" Type="http://schemas.openxmlformats.org/officeDocument/2006/relationships/hyperlink" Target="https://www.sec.gov/Archives/edgar/data/1833197/000110465921076404/tm2117455d1_ex3-1.htm" TargetMode="External"/><Relationship Id="rId64" Type="http://schemas.openxmlformats.org/officeDocument/2006/relationships/hyperlink" Target="https://www.sec.gov/Archives/edgar/data/1833197/000110465921076404/tm211745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2025-11-05T06:45:21Z</dcterms:created>
  <dcterms:modified xsi:type="dcterms:W3CDTF">2025-11-05T06:45:21Z</dcterms:modified>
</cp:coreProperties>
</file>