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0"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w:t>
      </w:r>
    </w:p>
    <w:p>
      <w:pPr>
        <w:spacing w:after="0" w:line="188"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For the quarterly period ended </w:t>
      </w:r>
      <w:r>
        <w:rPr>
          <w:rFonts w:ascii="Times New Roman" w:cs="Times New Roman" w:eastAsia="Times New Roman" w:hAnsi="Times New Roman"/>
          <w:sz w:val="14"/>
          <w:szCs w:val="14"/>
          <w:b w:val="1"/>
          <w:bCs w:val="1"/>
          <w:u w:val="single" w:color="auto"/>
          <w:color w:val="auto"/>
        </w:rPr>
        <w:t>March 28, 2026</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08"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For the transition period from _ to _</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Commission file number: </w:t>
      </w:r>
      <w:r>
        <w:rPr>
          <w:rFonts w:ascii="Times New Roman" w:cs="Times New Roman" w:eastAsia="Times New Roman" w:hAnsi="Times New Roman"/>
          <w:sz w:val="14"/>
          <w:szCs w:val="14"/>
          <w:b w:val="1"/>
          <w:bCs w:val="1"/>
          <w:color w:val="auto"/>
        </w:rPr>
        <w:t>001-40358</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Latham Group, Inc.</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580" w:type="dxa"/>
            <w:vAlign w:val="bottom"/>
          </w:tcPr>
          <w:p>
            <w:pPr>
              <w:jc w:val="right"/>
              <w:ind w:right="2368"/>
              <w:spacing w:after="0"/>
              <w:rPr>
                <w:sz w:val="20"/>
                <w:szCs w:val="20"/>
                <w:color w:val="auto"/>
              </w:rPr>
            </w:pPr>
            <w:r>
              <w:rPr>
                <w:rFonts w:ascii="Times New Roman" w:cs="Times New Roman" w:eastAsia="Times New Roman" w:hAnsi="Times New Roman"/>
                <w:sz w:val="14"/>
                <w:szCs w:val="14"/>
                <w:b w:val="1"/>
                <w:bCs w:val="1"/>
                <w:color w:val="auto"/>
              </w:rPr>
              <w:t>83-2797583</w:t>
            </w:r>
          </w:p>
        </w:tc>
      </w:tr>
      <w:tr>
        <w:trPr>
          <w:trHeight w:val="37"/>
        </w:trPr>
        <w:tc>
          <w:tcPr>
            <w:tcW w:w="5660" w:type="dxa"/>
            <w:vAlign w:val="bottom"/>
            <w:gridSpan w:val="2"/>
          </w:tcPr>
          <w:p>
            <w:pPr>
              <w:spacing w:after="0"/>
              <w:rPr>
                <w:sz w:val="3"/>
                <w:szCs w:val="3"/>
                <w:color w:val="auto"/>
              </w:rPr>
            </w:pPr>
          </w:p>
        </w:tc>
        <w:tc>
          <w:tcPr>
            <w:tcW w:w="5580" w:type="dxa"/>
            <w:vAlign w:val="bottom"/>
          </w:tcPr>
          <w:p>
            <w:pPr>
              <w:spacing w:after="0"/>
              <w:rPr>
                <w:sz w:val="3"/>
                <w:szCs w:val="3"/>
                <w:color w:val="auto"/>
              </w:rPr>
            </w:pPr>
          </w:p>
        </w:tc>
      </w:tr>
      <w:tr>
        <w:trPr>
          <w:trHeight w:val="142"/>
        </w:trPr>
        <w:tc>
          <w:tcPr>
            <w:tcW w:w="55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00" w:type="dxa"/>
            <w:vAlign w:val="bottom"/>
          </w:tcPr>
          <w:p>
            <w:pPr>
              <w:spacing w:after="0"/>
              <w:rPr>
                <w:sz w:val="12"/>
                <w:szCs w:val="12"/>
                <w:color w:val="auto"/>
              </w:rPr>
            </w:pPr>
          </w:p>
        </w:tc>
        <w:tc>
          <w:tcPr>
            <w:tcW w:w="55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580" w:type="dxa"/>
            <w:vAlign w:val="bottom"/>
          </w:tcPr>
          <w:p>
            <w:pPr>
              <w:spacing w:after="0"/>
              <w:rPr>
                <w:sz w:val="16"/>
                <w:szCs w:val="16"/>
                <w:color w:val="auto"/>
              </w:rPr>
            </w:pPr>
          </w:p>
        </w:tc>
      </w:tr>
      <w:tr>
        <w:trPr>
          <w:trHeight w:val="342"/>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787 Watervliet Shaker Road, Latham, NY</w:t>
            </w:r>
          </w:p>
        </w:tc>
        <w:tc>
          <w:tcPr>
            <w:tcW w:w="5580" w:type="dxa"/>
            <w:vAlign w:val="bottom"/>
          </w:tcPr>
          <w:p>
            <w:pPr>
              <w:jc w:val="right"/>
              <w:ind w:right="2548"/>
              <w:spacing w:after="0"/>
              <w:rPr>
                <w:sz w:val="20"/>
                <w:szCs w:val="20"/>
                <w:color w:val="auto"/>
              </w:rPr>
            </w:pPr>
            <w:r>
              <w:rPr>
                <w:rFonts w:ascii="Times New Roman" w:cs="Times New Roman" w:eastAsia="Times New Roman" w:hAnsi="Times New Roman"/>
                <w:sz w:val="14"/>
                <w:szCs w:val="14"/>
                <w:b w:val="1"/>
                <w:bCs w:val="1"/>
                <w:color w:val="auto"/>
              </w:rPr>
              <w:t>12110</w:t>
            </w:r>
          </w:p>
        </w:tc>
      </w:tr>
      <w:tr>
        <w:trPr>
          <w:trHeight w:val="37"/>
        </w:trPr>
        <w:tc>
          <w:tcPr>
            <w:tcW w:w="5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580" w:type="dxa"/>
            <w:vAlign w:val="bottom"/>
            <w:tcBorders>
              <w:bottom w:val="single" w:sz="8" w:color="auto"/>
            </w:tcBorders>
          </w:tcPr>
          <w:p>
            <w:pPr>
              <w:spacing w:after="0"/>
              <w:rPr>
                <w:sz w:val="3"/>
                <w:szCs w:val="3"/>
                <w:color w:val="auto"/>
              </w:rPr>
            </w:pPr>
          </w:p>
        </w:tc>
      </w:tr>
      <w:tr>
        <w:trPr>
          <w:trHeight w:val="186"/>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833-3800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520" w:type="dxa"/>
            <w:vAlign w:val="bottom"/>
          </w:tcPr>
          <w:p>
            <w:pPr>
              <w:spacing w:after="0"/>
              <w:rPr>
                <w:sz w:val="16"/>
                <w:szCs w:val="16"/>
                <w:color w:val="auto"/>
              </w:rPr>
            </w:pPr>
          </w:p>
        </w:tc>
        <w:tc>
          <w:tcPr>
            <w:tcW w:w="4260" w:type="dxa"/>
            <w:vAlign w:val="bottom"/>
          </w:tcPr>
          <w:p>
            <w:pPr>
              <w:spacing w:after="0"/>
              <w:rPr>
                <w:sz w:val="16"/>
                <w:szCs w:val="16"/>
                <w:color w:val="auto"/>
              </w:rPr>
            </w:pPr>
          </w:p>
        </w:tc>
      </w:tr>
      <w:tr>
        <w:trPr>
          <w:trHeight w:val="283"/>
        </w:trPr>
        <w:tc>
          <w:tcPr>
            <w:tcW w:w="446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Title of each class</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426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37"/>
        </w:trPr>
        <w:tc>
          <w:tcPr>
            <w:tcW w:w="446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r>
      <w:tr>
        <w:trPr>
          <w:trHeight w:val="186"/>
        </w:trPr>
        <w:tc>
          <w:tcPr>
            <w:tcW w:w="446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SWIM</w:t>
            </w:r>
          </w:p>
        </w:tc>
        <w:tc>
          <w:tcPr>
            <w:tcW w:w="426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190" w:lineRule="exact"/>
        <w:rPr>
          <w:sz w:val="24"/>
          <w:szCs w:val="24"/>
          <w:color w:val="auto"/>
        </w:rPr>
      </w:pPr>
    </w:p>
    <w:p>
      <w:pPr>
        <w:ind w:right="22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1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4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7" w:lineRule="exact"/>
        <w:rPr>
          <w:sz w:val="24"/>
          <w:szCs w:val="24"/>
          <w:color w:val="auto"/>
        </w:rPr>
      </w:pPr>
    </w:p>
    <w:p>
      <w:pPr>
        <w:ind w:left="80"/>
        <w:spacing w:after="0" w:line="161" w:lineRule="exact"/>
        <w:tabs>
          <w:tab w:leader="none" w:pos="2080" w:val="left"/>
          <w:tab w:leader="none" w:pos="2440" w:val="left"/>
          <w:tab w:leader="none" w:pos="4300" w:val="left"/>
          <w:tab w:leader="none" w:pos="4640" w:val="left"/>
          <w:tab w:leader="none" w:pos="6500" w:val="left"/>
          <w:tab w:leader="none" w:pos="6860" w:val="left"/>
          <w:tab w:leader="none" w:pos="8720" w:val="left"/>
          <w:tab w:leader="none" w:pos="9080" w:val="left"/>
          <w:tab w:leader="none" w:pos="1094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21" w:lineRule="exact"/>
        <w:rPr>
          <w:sz w:val="24"/>
          <w:szCs w:val="24"/>
          <w:color w:val="auto"/>
        </w:rPr>
      </w:pPr>
    </w:p>
    <w:p>
      <w:pPr>
        <w:ind w:right="560"/>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3800"/>
        <w:spacing w:after="0" w:line="21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May 1, 2026, 117,411,589 shares of the registrant’s common stock, $0.0001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825500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92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0000FF"/>
            </w:tcBorders>
            <w:shd w:val="clear" w:color="auto" w:fill="CCEEFF"/>
          </w:tcPr>
          <w:p>
            <w:pPr>
              <w:spacing w:after="0"/>
              <w:rPr>
                <w:sz w:val="13"/>
                <w:szCs w:val="13"/>
                <w:color w:val="auto"/>
              </w:rPr>
            </w:pPr>
          </w:p>
        </w:tc>
        <w:tc>
          <w:tcPr>
            <w:tcW w:w="6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2000" w:type="dxa"/>
            <w:vAlign w:val="bottom"/>
            <w:tcBorders>
              <w:top w:val="single" w:sz="8" w:color="CCEEFF"/>
            </w:tcBorders>
            <w:shd w:val="clear" w:color="auto" w:fill="CCEEFF"/>
          </w:tcPr>
          <w:p>
            <w:pPr>
              <w:spacing w:after="0"/>
              <w:rPr>
                <w:sz w:val="13"/>
                <w:szCs w:val="13"/>
                <w:color w:val="auto"/>
              </w:rPr>
            </w:pPr>
          </w:p>
        </w:tc>
        <w:tc>
          <w:tcPr>
            <w:tcW w:w="216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CCEEFF"/>
            </w:tcBorders>
            <w:shd w:val="clear" w:color="auto" w:fill="CCEEFF"/>
          </w:tcPr>
          <w:p>
            <w:pPr>
              <w:spacing w:after="0"/>
              <w:rPr>
                <w:sz w:val="13"/>
                <w:szCs w:val="13"/>
                <w:color w:val="auto"/>
              </w:rPr>
            </w:pPr>
          </w:p>
        </w:tc>
        <w:tc>
          <w:tcPr>
            <w:tcW w:w="2000" w:type="dxa"/>
            <w:vAlign w:val="bottom"/>
            <w:tcBorders>
              <w:top w:val="single" w:sz="8" w:color="CCEEFF"/>
            </w:tcBorders>
            <w:shd w:val="clear" w:color="auto" w:fill="CCEEFF"/>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922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Item 1. Financial Statements</w:t>
            </w:r>
          </w:p>
        </w:tc>
        <w:tc>
          <w:tcPr>
            <w:tcW w:w="2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155"/>
        </w:trPr>
        <w:tc>
          <w:tcPr>
            <w:tcW w:w="20" w:type="dxa"/>
            <w:vAlign w:val="bottom"/>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202"/>
        </w:trPr>
        <w:tc>
          <w:tcPr>
            <w:tcW w:w="20" w:type="dxa"/>
            <w:vAlign w:val="bottom"/>
            <w:shd w:val="clear" w:color="auto" w:fill="CCEEFF"/>
          </w:tcPr>
          <w:p>
            <w:pPr>
              <w:spacing w:after="0"/>
              <w:rPr>
                <w:sz w:val="17"/>
                <w:szCs w:val="17"/>
                <w:color w:val="auto"/>
              </w:rPr>
            </w:pPr>
          </w:p>
        </w:tc>
        <w:tc>
          <w:tcPr>
            <w:tcW w:w="9220" w:type="dxa"/>
            <w:vAlign w:val="bottom"/>
            <w:gridSpan w:val="13"/>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Item 2. Management’s Discussion and Analysis of Financial Condition and Results of Operations</w:t>
            </w:r>
          </w:p>
        </w:tc>
        <w:tc>
          <w:tcPr>
            <w:tcW w:w="2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w:t>
            </w: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0000FF"/>
            </w:tcBorders>
            <w:shd w:val="clear" w:color="auto" w:fill="CCEEFF"/>
          </w:tcPr>
          <w:p>
            <w:pPr>
              <w:spacing w:after="0"/>
              <w:rPr>
                <w:sz w:val="13"/>
                <w:szCs w:val="13"/>
                <w:color w:val="auto"/>
              </w:rPr>
            </w:pPr>
          </w:p>
        </w:tc>
        <w:tc>
          <w:tcPr>
            <w:tcW w:w="6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2000" w:type="dxa"/>
            <w:vAlign w:val="bottom"/>
            <w:tcBorders>
              <w:top w:val="single" w:sz="8" w:color="0000FF"/>
            </w:tcBorders>
            <w:shd w:val="clear" w:color="auto" w:fill="CCEEFF"/>
          </w:tcPr>
          <w:p>
            <w:pPr>
              <w:spacing w:after="0"/>
              <w:rPr>
                <w:sz w:val="13"/>
                <w:szCs w:val="13"/>
                <w:color w:val="auto"/>
              </w:rPr>
            </w:pPr>
          </w:p>
        </w:tc>
        <w:tc>
          <w:tcPr>
            <w:tcW w:w="2160" w:type="dxa"/>
            <w:vAlign w:val="bottom"/>
            <w:tcBorders>
              <w:top w:val="single" w:sz="8" w:color="0000FF"/>
            </w:tcBorders>
            <w:shd w:val="clear" w:color="auto" w:fill="CCEEFF"/>
          </w:tcPr>
          <w:p>
            <w:pPr>
              <w:spacing w:after="0"/>
              <w:rPr>
                <w:sz w:val="13"/>
                <w:szCs w:val="13"/>
                <w:color w:val="auto"/>
              </w:rPr>
            </w:pPr>
          </w:p>
        </w:tc>
        <w:tc>
          <w:tcPr>
            <w:tcW w:w="1800" w:type="dxa"/>
            <w:vAlign w:val="bottom"/>
            <w:tcBorders>
              <w:top w:val="single" w:sz="8" w:color="CCEEFF"/>
            </w:tcBorders>
            <w:shd w:val="clear" w:color="auto" w:fill="CCEEFF"/>
          </w:tcPr>
          <w:p>
            <w:pPr>
              <w:spacing w:after="0"/>
              <w:rPr>
                <w:sz w:val="13"/>
                <w:szCs w:val="13"/>
                <w:color w:val="auto"/>
              </w:rPr>
            </w:pPr>
          </w:p>
        </w:tc>
        <w:tc>
          <w:tcPr>
            <w:tcW w:w="2000" w:type="dxa"/>
            <w:vAlign w:val="bottom"/>
            <w:tcBorders>
              <w:top w:val="single" w:sz="8" w:color="CCEEFF"/>
            </w:tcBorders>
            <w:shd w:val="clear" w:color="auto" w:fill="CCEEFF"/>
          </w:tcPr>
          <w:p>
            <w:pPr>
              <w:spacing w:after="0"/>
              <w:rPr>
                <w:sz w:val="13"/>
                <w:szCs w:val="13"/>
                <w:color w:val="auto"/>
              </w:rPr>
            </w:pPr>
          </w:p>
        </w:tc>
      </w:tr>
      <w:tr>
        <w:trPr>
          <w:trHeight w:val="202"/>
        </w:trPr>
        <w:tc>
          <w:tcPr>
            <w:tcW w:w="20" w:type="dxa"/>
            <w:vAlign w:val="bottom"/>
          </w:tcPr>
          <w:p>
            <w:pPr>
              <w:spacing w:after="0"/>
              <w:rPr>
                <w:sz w:val="17"/>
                <w:szCs w:val="17"/>
                <w:color w:val="auto"/>
              </w:rPr>
            </w:pPr>
          </w:p>
        </w:tc>
        <w:tc>
          <w:tcPr>
            <w:tcW w:w="922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Item 3. Quantitative and Qualitative Disclosures About Market Risk</w:t>
            </w:r>
          </w:p>
        </w:tc>
        <w:tc>
          <w:tcPr>
            <w:tcW w:w="2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33</w:t>
            </w:r>
          </w:p>
        </w:tc>
      </w:tr>
      <w:tr>
        <w:trPr>
          <w:trHeight w:val="156"/>
        </w:trPr>
        <w:tc>
          <w:tcPr>
            <w:tcW w:w="20" w:type="dxa"/>
            <w:vAlign w:val="bottom"/>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00" w:type="dxa"/>
            <w:vAlign w:val="bottom"/>
            <w:tcBorders>
              <w:top w:val="single" w:sz="8" w:color="0000FF"/>
            </w:tcBorders>
          </w:tcPr>
          <w:p>
            <w:pPr>
              <w:spacing w:after="0"/>
              <w:rPr>
                <w:sz w:val="13"/>
                <w:szCs w:val="13"/>
                <w:color w:val="auto"/>
              </w:rPr>
            </w:pPr>
          </w:p>
        </w:tc>
        <w:tc>
          <w:tcPr>
            <w:tcW w:w="2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203"/>
        </w:trPr>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0000FF"/>
                <w:w w:val="99"/>
              </w:rPr>
              <w:t>Item 4.</w:t>
            </w:r>
          </w:p>
        </w:tc>
        <w:tc>
          <w:tcPr>
            <w:tcW w:w="8660" w:type="dxa"/>
            <w:vAlign w:val="bottom"/>
            <w:gridSpan w:val="12"/>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2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34</w:t>
            </w: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0000FF"/>
            </w:tcBorders>
            <w:shd w:val="clear" w:color="auto" w:fill="CCEEFF"/>
          </w:tcPr>
          <w:p>
            <w:pPr>
              <w:spacing w:after="0"/>
              <w:rPr>
                <w:sz w:val="13"/>
                <w:szCs w:val="13"/>
                <w:color w:val="auto"/>
              </w:rPr>
            </w:pPr>
          </w:p>
        </w:tc>
        <w:tc>
          <w:tcPr>
            <w:tcW w:w="6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000" w:type="dxa"/>
            <w:vAlign w:val="bottom"/>
            <w:tcBorders>
              <w:top w:val="single" w:sz="8" w:color="CCEEFF"/>
            </w:tcBorders>
            <w:shd w:val="clear" w:color="auto" w:fill="CCEEFF"/>
          </w:tcPr>
          <w:p>
            <w:pPr>
              <w:spacing w:after="0"/>
              <w:rPr>
                <w:sz w:val="13"/>
                <w:szCs w:val="13"/>
                <w:color w:val="auto"/>
              </w:rPr>
            </w:pPr>
          </w:p>
        </w:tc>
        <w:tc>
          <w:tcPr>
            <w:tcW w:w="216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CCEEFF"/>
            </w:tcBorders>
            <w:shd w:val="clear" w:color="auto" w:fill="CCEEFF"/>
          </w:tcPr>
          <w:p>
            <w:pPr>
              <w:spacing w:after="0"/>
              <w:rPr>
                <w:sz w:val="13"/>
                <w:szCs w:val="13"/>
                <w:color w:val="auto"/>
              </w:rPr>
            </w:pPr>
          </w:p>
        </w:tc>
        <w:tc>
          <w:tcPr>
            <w:tcW w:w="2000" w:type="dxa"/>
            <w:vAlign w:val="bottom"/>
            <w:tcBorders>
              <w:top w:val="single" w:sz="8" w:color="CCEEFF"/>
            </w:tcBorders>
            <w:shd w:val="clear" w:color="auto" w:fill="CCEEFF"/>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922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2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35</w:t>
            </w:r>
          </w:p>
        </w:tc>
      </w:tr>
      <w:tr>
        <w:trPr>
          <w:trHeight w:val="155"/>
        </w:trPr>
        <w:tc>
          <w:tcPr>
            <w:tcW w:w="20" w:type="dxa"/>
            <w:vAlign w:val="bottom"/>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203"/>
        </w:trPr>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0000FF"/>
                <w:w w:val="99"/>
              </w:rPr>
              <w:t>Item 1.</w:t>
            </w:r>
          </w:p>
        </w:tc>
        <w:tc>
          <w:tcPr>
            <w:tcW w:w="8660" w:type="dxa"/>
            <w:vAlign w:val="bottom"/>
            <w:gridSpan w:val="12"/>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0000FF"/>
              </w:rPr>
              <w:t>Legal Proceedings</w:t>
            </w:r>
          </w:p>
        </w:tc>
        <w:tc>
          <w:tcPr>
            <w:tcW w:w="2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35</w:t>
            </w: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0000FF"/>
            </w:tcBorders>
            <w:shd w:val="clear" w:color="auto" w:fill="CCEEFF"/>
          </w:tcPr>
          <w:p>
            <w:pPr>
              <w:spacing w:after="0"/>
              <w:rPr>
                <w:sz w:val="13"/>
                <w:szCs w:val="13"/>
                <w:color w:val="auto"/>
              </w:rPr>
            </w:pPr>
          </w:p>
        </w:tc>
        <w:tc>
          <w:tcPr>
            <w:tcW w:w="6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000" w:type="dxa"/>
            <w:vAlign w:val="bottom"/>
            <w:tcBorders>
              <w:top w:val="single" w:sz="8" w:color="CCEEFF"/>
            </w:tcBorders>
            <w:shd w:val="clear" w:color="auto" w:fill="CCEEFF"/>
          </w:tcPr>
          <w:p>
            <w:pPr>
              <w:spacing w:after="0"/>
              <w:rPr>
                <w:sz w:val="13"/>
                <w:szCs w:val="13"/>
                <w:color w:val="auto"/>
              </w:rPr>
            </w:pPr>
          </w:p>
        </w:tc>
        <w:tc>
          <w:tcPr>
            <w:tcW w:w="216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CCEEFF"/>
            </w:tcBorders>
            <w:shd w:val="clear" w:color="auto" w:fill="CCEEFF"/>
          </w:tcPr>
          <w:p>
            <w:pPr>
              <w:spacing w:after="0"/>
              <w:rPr>
                <w:sz w:val="13"/>
                <w:szCs w:val="13"/>
                <w:color w:val="auto"/>
              </w:rPr>
            </w:pPr>
          </w:p>
        </w:tc>
        <w:tc>
          <w:tcPr>
            <w:tcW w:w="2000" w:type="dxa"/>
            <w:vAlign w:val="bottom"/>
            <w:tcBorders>
              <w:top w:val="single" w:sz="8" w:color="CCEEFF"/>
            </w:tcBorders>
            <w:shd w:val="clear" w:color="auto" w:fill="CCEEFF"/>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922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Item 1A. Risk Factors</w:t>
            </w:r>
          </w:p>
        </w:tc>
        <w:tc>
          <w:tcPr>
            <w:tcW w:w="2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35</w:t>
            </w:r>
          </w:p>
        </w:tc>
      </w:tr>
      <w:tr>
        <w:trPr>
          <w:trHeight w:val="156"/>
        </w:trPr>
        <w:tc>
          <w:tcPr>
            <w:tcW w:w="20" w:type="dxa"/>
            <w:vAlign w:val="bottom"/>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203"/>
        </w:trPr>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0000FF"/>
                <w:w w:val="99"/>
              </w:rPr>
              <w:t>Item 5.</w:t>
            </w:r>
          </w:p>
        </w:tc>
        <w:tc>
          <w:tcPr>
            <w:tcW w:w="8660" w:type="dxa"/>
            <w:vAlign w:val="bottom"/>
            <w:gridSpan w:val="12"/>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2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w:t>
            </w: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0000FF"/>
            </w:tcBorders>
            <w:shd w:val="clear" w:color="auto" w:fill="CCEEFF"/>
          </w:tcPr>
          <w:p>
            <w:pPr>
              <w:spacing w:after="0"/>
              <w:rPr>
                <w:sz w:val="13"/>
                <w:szCs w:val="13"/>
                <w:color w:val="auto"/>
              </w:rPr>
            </w:pPr>
          </w:p>
        </w:tc>
        <w:tc>
          <w:tcPr>
            <w:tcW w:w="6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000" w:type="dxa"/>
            <w:vAlign w:val="bottom"/>
            <w:tcBorders>
              <w:top w:val="single" w:sz="8" w:color="CCEEFF"/>
            </w:tcBorders>
            <w:shd w:val="clear" w:color="auto" w:fill="CCEEFF"/>
          </w:tcPr>
          <w:p>
            <w:pPr>
              <w:spacing w:after="0"/>
              <w:rPr>
                <w:sz w:val="13"/>
                <w:szCs w:val="13"/>
                <w:color w:val="auto"/>
              </w:rPr>
            </w:pPr>
          </w:p>
        </w:tc>
        <w:tc>
          <w:tcPr>
            <w:tcW w:w="216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CCEEFF"/>
            </w:tcBorders>
            <w:shd w:val="clear" w:color="auto" w:fill="CCEEFF"/>
          </w:tcPr>
          <w:p>
            <w:pPr>
              <w:spacing w:after="0"/>
              <w:rPr>
                <w:sz w:val="13"/>
                <w:szCs w:val="13"/>
                <w:color w:val="auto"/>
              </w:rPr>
            </w:pPr>
          </w:p>
        </w:tc>
        <w:tc>
          <w:tcPr>
            <w:tcW w:w="2000" w:type="dxa"/>
            <w:vAlign w:val="bottom"/>
            <w:tcBorders>
              <w:top w:val="single" w:sz="8" w:color="CCEEFF"/>
            </w:tcBorders>
            <w:shd w:val="clear" w:color="auto" w:fill="CCEEFF"/>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0000FF"/>
                <w:w w:val="99"/>
              </w:rPr>
              <w:t>Item 6.</w:t>
            </w:r>
          </w:p>
        </w:tc>
        <w:tc>
          <w:tcPr>
            <w:tcW w:w="8660" w:type="dxa"/>
            <w:vAlign w:val="bottom"/>
            <w:gridSpan w:val="12"/>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0000FF"/>
              </w:rPr>
              <w:t>Exhibits</w:t>
            </w:r>
          </w:p>
        </w:tc>
        <w:tc>
          <w:tcPr>
            <w:tcW w:w="2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38</w:t>
            </w:r>
          </w:p>
        </w:tc>
      </w:tr>
      <w:tr>
        <w:trPr>
          <w:trHeight w:val="156"/>
        </w:trPr>
        <w:tc>
          <w:tcPr>
            <w:tcW w:w="20" w:type="dxa"/>
            <w:vAlign w:val="bottom"/>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203"/>
        </w:trPr>
        <w:tc>
          <w:tcPr>
            <w:tcW w:w="20" w:type="dxa"/>
            <w:vAlign w:val="bottom"/>
            <w:shd w:val="clear" w:color="auto" w:fill="CCEEFF"/>
          </w:tcPr>
          <w:p>
            <w:pPr>
              <w:spacing w:after="0"/>
              <w:rPr>
                <w:sz w:val="17"/>
                <w:szCs w:val="17"/>
                <w:color w:val="auto"/>
              </w:rPr>
            </w:pPr>
          </w:p>
        </w:tc>
        <w:tc>
          <w:tcPr>
            <w:tcW w:w="9220" w:type="dxa"/>
            <w:vAlign w:val="bottom"/>
            <w:gridSpan w:val="13"/>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2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39</w:t>
            </w: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0000FF"/>
            </w:tcBorders>
            <w:shd w:val="clear" w:color="auto" w:fill="CCEEFF"/>
          </w:tcPr>
          <w:p>
            <w:pPr>
              <w:spacing w:after="0"/>
              <w:rPr>
                <w:sz w:val="13"/>
                <w:szCs w:val="13"/>
                <w:color w:val="auto"/>
              </w:rPr>
            </w:pPr>
          </w:p>
        </w:tc>
        <w:tc>
          <w:tcPr>
            <w:tcW w:w="6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000" w:type="dxa"/>
            <w:vAlign w:val="bottom"/>
            <w:tcBorders>
              <w:top w:val="single" w:sz="8" w:color="CCEEFF"/>
            </w:tcBorders>
            <w:shd w:val="clear" w:color="auto" w:fill="CCEEFF"/>
          </w:tcPr>
          <w:p>
            <w:pPr>
              <w:spacing w:after="0"/>
              <w:rPr>
                <w:sz w:val="13"/>
                <w:szCs w:val="13"/>
                <w:color w:val="auto"/>
              </w:rPr>
            </w:pPr>
          </w:p>
        </w:tc>
        <w:tc>
          <w:tcPr>
            <w:tcW w:w="216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CCEEFF"/>
            </w:tcBorders>
            <w:shd w:val="clear" w:color="auto" w:fill="CCEEFF"/>
          </w:tcPr>
          <w:p>
            <w:pPr>
              <w:spacing w:after="0"/>
              <w:rPr>
                <w:sz w:val="13"/>
                <w:szCs w:val="13"/>
                <w:color w:val="auto"/>
              </w:rPr>
            </w:pPr>
          </w:p>
        </w:tc>
        <w:tc>
          <w:tcPr>
            <w:tcW w:w="2000" w:type="dxa"/>
            <w:vAlign w:val="bottom"/>
            <w:tcBorders>
              <w:top w:val="single" w:sz="8" w:color="CCEEFF"/>
            </w:tcBorders>
            <w:shd w:val="clear" w:color="auto" w:fill="CCEEFF"/>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Condensed Consolidated Financial Statements (Unaudited)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49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6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2940" w:type="dxa"/>
            <w:vAlign w:val="bottom"/>
            <w:tcBorders>
              <w:top w:val="single" w:sz="8" w:color="0000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6240" w:type="dxa"/>
            <w:vAlign w:val="bottom"/>
            <w:tcBorders>
              <w:top w:val="single" w:sz="8" w:color="CCEEFF"/>
            </w:tcBorders>
            <w:shd w:val="clear" w:color="auto" w:fill="CCEEFF"/>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498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62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156"/>
        </w:trPr>
        <w:tc>
          <w:tcPr>
            <w:tcW w:w="20" w:type="dxa"/>
            <w:vAlign w:val="bottom"/>
          </w:tcPr>
          <w:p>
            <w:pPr>
              <w:spacing w:after="0"/>
              <w:rPr>
                <w:sz w:val="13"/>
                <w:szCs w:val="13"/>
                <w:color w:val="auto"/>
              </w:rPr>
            </w:pPr>
          </w:p>
        </w:tc>
        <w:tc>
          <w:tcPr>
            <w:tcW w:w="29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40" w:type="dxa"/>
            <w:vAlign w:val="bottom"/>
          </w:tcPr>
          <w:p>
            <w:pPr>
              <w:spacing w:after="0"/>
              <w:rPr>
                <w:sz w:val="13"/>
                <w:szCs w:val="13"/>
                <w:color w:val="auto"/>
              </w:rPr>
            </w:pPr>
          </w:p>
        </w:tc>
      </w:tr>
      <w:tr>
        <w:trPr>
          <w:trHeight w:val="202"/>
        </w:trPr>
        <w:tc>
          <w:tcPr>
            <w:tcW w:w="20" w:type="dxa"/>
            <w:vAlign w:val="bottom"/>
            <w:shd w:val="clear" w:color="auto" w:fill="CCEEFF"/>
          </w:tcPr>
          <w:p>
            <w:pPr>
              <w:spacing w:after="0"/>
              <w:rPr>
                <w:sz w:val="17"/>
                <w:szCs w:val="17"/>
                <w:color w:val="auto"/>
              </w:rPr>
            </w:pPr>
          </w:p>
        </w:tc>
        <w:tc>
          <w:tcPr>
            <w:tcW w:w="4980" w:type="dxa"/>
            <w:vAlign w:val="bottom"/>
            <w:gridSpan w:val="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Comprehensive Loss</w:t>
            </w:r>
          </w:p>
        </w:tc>
        <w:tc>
          <w:tcPr>
            <w:tcW w:w="62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2940" w:type="dxa"/>
            <w:vAlign w:val="bottom"/>
            <w:tcBorders>
              <w:top w:val="single" w:sz="8" w:color="0000FF"/>
            </w:tcBorders>
            <w:shd w:val="clear" w:color="auto" w:fill="CCEEFF"/>
          </w:tcPr>
          <w:p>
            <w:pPr>
              <w:spacing w:after="0"/>
              <w:rPr>
                <w:sz w:val="13"/>
                <w:szCs w:val="13"/>
                <w:color w:val="auto"/>
              </w:rPr>
            </w:pPr>
          </w:p>
        </w:tc>
        <w:tc>
          <w:tcPr>
            <w:tcW w:w="72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3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6240" w:type="dxa"/>
            <w:vAlign w:val="bottom"/>
            <w:tcBorders>
              <w:top w:val="single" w:sz="8" w:color="CCEEFF"/>
            </w:tcBorders>
            <w:shd w:val="clear" w:color="auto" w:fill="CCEEFF"/>
          </w:tcPr>
          <w:p>
            <w:pPr>
              <w:spacing w:after="0"/>
              <w:rPr>
                <w:sz w:val="13"/>
                <w:szCs w:val="13"/>
                <w:color w:val="auto"/>
              </w:rPr>
            </w:pPr>
          </w:p>
        </w:tc>
      </w:tr>
      <w:tr>
        <w:trPr>
          <w:trHeight w:val="202"/>
        </w:trPr>
        <w:tc>
          <w:tcPr>
            <w:tcW w:w="20" w:type="dxa"/>
            <w:vAlign w:val="bottom"/>
          </w:tcPr>
          <w:p>
            <w:pPr>
              <w:spacing w:after="0"/>
              <w:rPr>
                <w:sz w:val="17"/>
                <w:szCs w:val="17"/>
                <w:color w:val="auto"/>
              </w:rPr>
            </w:pPr>
          </w:p>
        </w:tc>
        <w:tc>
          <w:tcPr>
            <w:tcW w:w="498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62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w:t>
            </w:r>
          </w:p>
        </w:tc>
      </w:tr>
      <w:tr>
        <w:trPr>
          <w:trHeight w:val="156"/>
        </w:trPr>
        <w:tc>
          <w:tcPr>
            <w:tcW w:w="20" w:type="dxa"/>
            <w:vAlign w:val="bottom"/>
          </w:tcPr>
          <w:p>
            <w:pPr>
              <w:spacing w:after="0"/>
              <w:rPr>
                <w:sz w:val="13"/>
                <w:szCs w:val="13"/>
                <w:color w:val="auto"/>
              </w:rPr>
            </w:pPr>
          </w:p>
        </w:tc>
        <w:tc>
          <w:tcPr>
            <w:tcW w:w="29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80" w:type="dxa"/>
            <w:vAlign w:val="bottom"/>
          </w:tcPr>
          <w:p>
            <w:pPr>
              <w:spacing w:after="0"/>
              <w:rPr>
                <w:sz w:val="13"/>
                <w:szCs w:val="13"/>
                <w:color w:val="auto"/>
              </w:rPr>
            </w:pPr>
          </w:p>
        </w:tc>
        <w:tc>
          <w:tcPr>
            <w:tcW w:w="6240" w:type="dxa"/>
            <w:vAlign w:val="bottom"/>
          </w:tcPr>
          <w:p>
            <w:pPr>
              <w:spacing w:after="0"/>
              <w:rPr>
                <w:sz w:val="13"/>
                <w:szCs w:val="13"/>
                <w:color w:val="auto"/>
              </w:rPr>
            </w:pPr>
          </w:p>
        </w:tc>
      </w:tr>
      <w:tr>
        <w:trPr>
          <w:trHeight w:val="203"/>
        </w:trPr>
        <w:tc>
          <w:tcPr>
            <w:tcW w:w="20" w:type="dxa"/>
            <w:vAlign w:val="bottom"/>
            <w:shd w:val="clear" w:color="auto" w:fill="CCEEFF"/>
          </w:tcPr>
          <w:p>
            <w:pPr>
              <w:spacing w:after="0"/>
              <w:rPr>
                <w:sz w:val="17"/>
                <w:szCs w:val="17"/>
                <w:color w:val="auto"/>
              </w:rPr>
            </w:pPr>
          </w:p>
        </w:tc>
        <w:tc>
          <w:tcPr>
            <w:tcW w:w="4980" w:type="dxa"/>
            <w:vAlign w:val="bottom"/>
            <w:gridSpan w:val="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62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w:t>
            </w: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2940" w:type="dxa"/>
            <w:vAlign w:val="bottom"/>
            <w:tcBorders>
              <w:top w:val="single" w:sz="8" w:color="0000FF"/>
            </w:tcBorders>
            <w:shd w:val="clear" w:color="auto" w:fill="CCEEFF"/>
          </w:tcPr>
          <w:p>
            <w:pPr>
              <w:spacing w:after="0"/>
              <w:rPr>
                <w:sz w:val="13"/>
                <w:szCs w:val="13"/>
                <w:color w:val="auto"/>
              </w:rPr>
            </w:pPr>
          </w:p>
        </w:tc>
        <w:tc>
          <w:tcPr>
            <w:tcW w:w="72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6240" w:type="dxa"/>
            <w:vAlign w:val="bottom"/>
            <w:tcBorders>
              <w:top w:val="single" w:sz="8" w:color="CCEEFF"/>
            </w:tcBorders>
            <w:shd w:val="clear" w:color="auto" w:fill="CCEEFF"/>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498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2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w:t>
            </w:r>
          </w:p>
        </w:tc>
      </w:tr>
      <w:tr>
        <w:trPr>
          <w:trHeight w:val="1060"/>
        </w:trPr>
        <w:tc>
          <w:tcPr>
            <w:tcW w:w="20" w:type="dxa"/>
            <w:vAlign w:val="bottom"/>
          </w:tcPr>
          <w:p>
            <w:pPr>
              <w:spacing w:after="0"/>
              <w:rPr>
                <w:sz w:val="24"/>
                <w:szCs w:val="24"/>
                <w:color w:val="auto"/>
              </w:rPr>
            </w:pPr>
          </w:p>
        </w:tc>
        <w:tc>
          <w:tcPr>
            <w:tcW w:w="294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40" w:type="dxa"/>
            <w:vAlign w:val="bottom"/>
          </w:tcPr>
          <w:p>
            <w:pPr>
              <w:jc w:val="right"/>
              <w:ind w:right="5490"/>
              <w:spacing w:after="0"/>
              <w:rPr>
                <w:sz w:val="20"/>
                <w:szCs w:val="20"/>
                <w:color w:val="auto"/>
              </w:rPr>
            </w:pPr>
            <w:r>
              <w:rPr>
                <w:rFonts w:ascii="Times New Roman" w:cs="Times New Roman" w:eastAsia="Times New Roman" w:hAnsi="Times New Roman"/>
                <w:sz w:val="18"/>
                <w:szCs w:val="18"/>
                <w:color w:val="auto"/>
              </w:rPr>
              <w:t>3</w:t>
            </w:r>
          </w:p>
        </w:tc>
      </w:tr>
      <w:tr>
        <w:trPr>
          <w:trHeight w:val="115"/>
        </w:trPr>
        <w:tc>
          <w:tcPr>
            <w:tcW w:w="2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240" w:type="dxa"/>
            <w:vAlign w:val="bottom"/>
          </w:tcPr>
          <w:p>
            <w:pPr>
              <w:spacing w:after="0"/>
              <w:rPr>
                <w:sz w:val="16"/>
                <w:szCs w:val="16"/>
                <w:color w:val="auto"/>
              </w:rPr>
            </w:pPr>
          </w:p>
        </w:tc>
        <w:tc>
          <w:tcPr>
            <w:tcW w:w="136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7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7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71,043</w:t>
            </w:r>
          </w:p>
        </w:tc>
        <w:tc>
          <w:tcPr>
            <w:tcW w:w="0" w:type="dxa"/>
            <w:vAlign w:val="bottom"/>
          </w:tcPr>
          <w:p>
            <w:pPr>
              <w:spacing w:after="0"/>
              <w:rPr>
                <w:sz w:val="1"/>
                <w:szCs w:val="1"/>
                <w:color w:val="auto"/>
              </w:rPr>
            </w:pPr>
          </w:p>
        </w:tc>
      </w:tr>
      <w:tr>
        <w:trPr>
          <w:trHeight w:val="243"/>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Trade receivables, net</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89,213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39,914</w:t>
            </w:r>
          </w:p>
        </w:tc>
        <w:tc>
          <w:tcPr>
            <w:tcW w:w="0" w:type="dxa"/>
            <w:vAlign w:val="bottom"/>
          </w:tcPr>
          <w:p>
            <w:pPr>
              <w:spacing w:after="0"/>
              <w:rPr>
                <w:sz w:val="1"/>
                <w:szCs w:val="1"/>
                <w:color w:val="auto"/>
              </w:rPr>
            </w:pPr>
          </w:p>
        </w:tc>
      </w:tr>
      <w:tr>
        <w:trPr>
          <w:trHeight w:val="40"/>
        </w:trPr>
        <w:tc>
          <w:tcPr>
            <w:tcW w:w="7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Inventories, net</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87,609</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74,926</w:t>
            </w:r>
          </w:p>
        </w:tc>
        <w:tc>
          <w:tcPr>
            <w:tcW w:w="0" w:type="dxa"/>
            <w:vAlign w:val="bottom"/>
          </w:tcPr>
          <w:p>
            <w:pPr>
              <w:spacing w:after="0"/>
              <w:rPr>
                <w:sz w:val="1"/>
                <w:szCs w:val="1"/>
                <w:color w:val="auto"/>
              </w:rPr>
            </w:pPr>
          </w:p>
        </w:tc>
      </w:tr>
      <w:tr>
        <w:trPr>
          <w:trHeight w:val="243"/>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receivable</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12,178</w:t>
            </w:r>
          </w:p>
        </w:tc>
        <w:tc>
          <w:tcPr>
            <w:tcW w:w="0" w:type="dxa"/>
            <w:vAlign w:val="bottom"/>
          </w:tcPr>
          <w:p>
            <w:pPr>
              <w:spacing w:after="0"/>
              <w:rPr>
                <w:sz w:val="1"/>
                <w:szCs w:val="1"/>
                <w:color w:val="auto"/>
              </w:rPr>
            </w:pPr>
          </w:p>
        </w:tc>
      </w:tr>
      <w:tr>
        <w:trPr>
          <w:trHeight w:val="41"/>
        </w:trPr>
        <w:tc>
          <w:tcPr>
            <w:tcW w:w="7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10,367</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20,943</w:t>
            </w:r>
          </w:p>
        </w:tc>
        <w:tc>
          <w:tcPr>
            <w:tcW w:w="0" w:type="dxa"/>
            <w:vAlign w:val="bottom"/>
          </w:tcPr>
          <w:p>
            <w:pPr>
              <w:spacing w:after="0"/>
              <w:rPr>
                <w:sz w:val="1"/>
                <w:szCs w:val="1"/>
                <w:color w:val="auto"/>
              </w:rPr>
            </w:pPr>
          </w:p>
        </w:tc>
      </w:tr>
      <w:tr>
        <w:trPr>
          <w:trHeight w:val="237"/>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229,873</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219,004</w:t>
            </w:r>
          </w:p>
        </w:tc>
        <w:tc>
          <w:tcPr>
            <w:tcW w:w="0" w:type="dxa"/>
            <w:vAlign w:val="bottom"/>
          </w:tcPr>
          <w:p>
            <w:pPr>
              <w:spacing w:after="0"/>
              <w:rPr>
                <w:sz w:val="1"/>
                <w:szCs w:val="1"/>
                <w:color w:val="auto"/>
              </w:rPr>
            </w:pPr>
          </w:p>
        </w:tc>
      </w:tr>
      <w:tr>
        <w:trPr>
          <w:trHeight w:val="40"/>
        </w:trPr>
        <w:tc>
          <w:tcPr>
            <w:tcW w:w="7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138,154</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118,820</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26,482</w:t>
            </w:r>
          </w:p>
        </w:tc>
        <w:tc>
          <w:tcPr>
            <w:tcW w:w="0" w:type="dxa"/>
            <w:vAlign w:val="bottom"/>
          </w:tcPr>
          <w:p>
            <w:pPr>
              <w:spacing w:after="0"/>
              <w:rPr>
                <w:sz w:val="1"/>
                <w:szCs w:val="1"/>
                <w:color w:val="auto"/>
              </w:rPr>
            </w:pPr>
          </w:p>
        </w:tc>
      </w:tr>
      <w:tr>
        <w:trPr>
          <w:trHeight w:val="41"/>
        </w:trPr>
        <w:tc>
          <w:tcPr>
            <w:tcW w:w="7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30,723</w:t>
            </w:r>
          </w:p>
        </w:tc>
        <w:tc>
          <w:tcPr>
            <w:tcW w:w="0" w:type="dxa"/>
            <w:vAlign w:val="bottom"/>
          </w:tcPr>
          <w:p>
            <w:pPr>
              <w:spacing w:after="0"/>
              <w:rPr>
                <w:sz w:val="1"/>
                <w:szCs w:val="1"/>
                <w:color w:val="auto"/>
              </w:rPr>
            </w:pPr>
          </w:p>
        </w:tc>
      </w:tr>
      <w:tr>
        <w:trPr>
          <w:trHeight w:val="41"/>
        </w:trPr>
        <w:tc>
          <w:tcPr>
            <w:tcW w:w="7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161,144</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155,189</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265,541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268,073</w:t>
            </w:r>
          </w:p>
        </w:tc>
        <w:tc>
          <w:tcPr>
            <w:tcW w:w="0" w:type="dxa"/>
            <w:vAlign w:val="bottom"/>
          </w:tcPr>
          <w:p>
            <w:pPr>
              <w:spacing w:after="0"/>
              <w:rPr>
                <w:sz w:val="1"/>
                <w:szCs w:val="1"/>
                <w:color w:val="auto"/>
              </w:rPr>
            </w:pPr>
          </w:p>
        </w:tc>
      </w:tr>
      <w:tr>
        <w:trPr>
          <w:trHeight w:val="40"/>
        </w:trPr>
        <w:tc>
          <w:tcPr>
            <w:tcW w:w="7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0" w:type="dxa"/>
            <w:vAlign w:val="bottom"/>
          </w:tcPr>
          <w:p>
            <w:pPr>
              <w:spacing w:after="0"/>
              <w:rPr>
                <w:sz w:val="1"/>
                <w:szCs w:val="1"/>
                <w:color w:val="auto"/>
              </w:rPr>
            </w:pPr>
          </w:p>
        </w:tc>
      </w:tr>
      <w:tr>
        <w:trPr>
          <w:trHeight w:val="271"/>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856,405</w:t>
            </w:r>
          </w:p>
        </w:tc>
        <w:tc>
          <w:tcPr>
            <w:tcW w:w="80" w:type="dxa"/>
            <w:vAlign w:val="bottom"/>
          </w:tcPr>
          <w:p>
            <w:pPr>
              <w:spacing w:after="0"/>
              <w:rPr>
                <w:sz w:val="23"/>
                <w:szCs w:val="23"/>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823,223</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7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29,874</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19,283</w:t>
            </w:r>
          </w:p>
        </w:tc>
        <w:tc>
          <w:tcPr>
            <w:tcW w:w="0" w:type="dxa"/>
            <w:vAlign w:val="bottom"/>
          </w:tcPr>
          <w:p>
            <w:pPr>
              <w:spacing w:after="0"/>
              <w:rPr>
                <w:sz w:val="1"/>
                <w:szCs w:val="1"/>
                <w:color w:val="auto"/>
              </w:rPr>
            </w:pPr>
          </w:p>
        </w:tc>
      </w:tr>
      <w:tr>
        <w:trPr>
          <w:trHeight w:val="243"/>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7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0" w:type="dxa"/>
            <w:vAlign w:val="bottom"/>
          </w:tcPr>
          <w:p>
            <w:pPr>
              <w:spacing w:after="0"/>
              <w:rPr>
                <w:sz w:val="1"/>
                <w:szCs w:val="1"/>
                <w:color w:val="auto"/>
              </w:rPr>
            </w:pPr>
          </w:p>
        </w:tc>
      </w:tr>
      <w:tr>
        <w:trPr>
          <w:trHeight w:val="243"/>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payable</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7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w:t>
            </w:r>
          </w:p>
        </w:tc>
        <w:tc>
          <w:tcPr>
            <w:tcW w:w="0" w:type="dxa"/>
            <w:vAlign w:val="bottom"/>
          </w:tcPr>
          <w:p>
            <w:pPr>
              <w:spacing w:after="0"/>
              <w:rPr>
                <w:sz w:val="1"/>
                <w:szCs w:val="1"/>
                <w:color w:val="auto"/>
              </w:rPr>
            </w:pPr>
          </w:p>
        </w:tc>
      </w:tr>
      <w:tr>
        <w:trPr>
          <w:trHeight w:val="243"/>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48,979</w:t>
            </w:r>
          </w:p>
        </w:tc>
        <w:tc>
          <w:tcPr>
            <w:tcW w:w="0" w:type="dxa"/>
            <w:vAlign w:val="bottom"/>
          </w:tcPr>
          <w:p>
            <w:pPr>
              <w:spacing w:after="0"/>
              <w:rPr>
                <w:sz w:val="1"/>
                <w:szCs w:val="1"/>
                <w:color w:val="auto"/>
              </w:rPr>
            </w:pPr>
          </w:p>
        </w:tc>
      </w:tr>
      <w:tr>
        <w:trPr>
          <w:trHeight w:val="40"/>
        </w:trPr>
        <w:tc>
          <w:tcPr>
            <w:tcW w:w="79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79,142</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discount, debt issuance costs, and current portion</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276,983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276,591</w:t>
            </w:r>
          </w:p>
        </w:tc>
        <w:tc>
          <w:tcPr>
            <w:tcW w:w="0" w:type="dxa"/>
            <w:vAlign w:val="bottom"/>
          </w:tcPr>
          <w:p>
            <w:pPr>
              <w:spacing w:after="0"/>
              <w:rPr>
                <w:sz w:val="1"/>
                <w:szCs w:val="1"/>
                <w:color w:val="auto"/>
              </w:rPr>
            </w:pPr>
          </w:p>
        </w:tc>
      </w:tr>
      <w:tr>
        <w:trPr>
          <w:trHeight w:val="40"/>
        </w:trPr>
        <w:tc>
          <w:tcPr>
            <w:tcW w:w="7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34,269</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34,269</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23,964</w:t>
            </w:r>
          </w:p>
        </w:tc>
        <w:tc>
          <w:tcPr>
            <w:tcW w:w="0" w:type="dxa"/>
            <w:vAlign w:val="bottom"/>
          </w:tcPr>
          <w:p>
            <w:pPr>
              <w:spacing w:after="0"/>
              <w:rPr>
                <w:sz w:val="1"/>
                <w:szCs w:val="1"/>
                <w:color w:val="auto"/>
              </w:rPr>
            </w:pPr>
          </w:p>
        </w:tc>
      </w:tr>
      <w:tr>
        <w:trPr>
          <w:trHeight w:val="40"/>
        </w:trPr>
        <w:tc>
          <w:tcPr>
            <w:tcW w:w="7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0" w:type="dxa"/>
            <w:vAlign w:val="bottom"/>
          </w:tcPr>
          <w:p>
            <w:pPr>
              <w:spacing w:after="0"/>
              <w:rPr>
                <w:sz w:val="1"/>
                <w:szCs w:val="1"/>
                <w:color w:val="auto"/>
              </w:rPr>
            </w:pPr>
          </w:p>
        </w:tc>
      </w:tr>
      <w:tr>
        <w:trPr>
          <w:trHeight w:val="237"/>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459,703</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417,362</w:t>
            </w:r>
          </w:p>
        </w:tc>
        <w:tc>
          <w:tcPr>
            <w:tcW w:w="0" w:type="dxa"/>
            <w:vAlign w:val="bottom"/>
          </w:tcPr>
          <w:p>
            <w:pPr>
              <w:spacing w:after="0"/>
              <w:rPr>
                <w:sz w:val="1"/>
                <w:szCs w:val="1"/>
                <w:color w:val="auto"/>
              </w:rPr>
            </w:pPr>
          </w:p>
        </w:tc>
      </w:tr>
      <w:tr>
        <w:trPr>
          <w:trHeight w:val="40"/>
        </w:trPr>
        <w:tc>
          <w:tcPr>
            <w:tcW w:w="79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7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$0.0001 par value; 100,000,000 shares authorized as of both March 28, 2026 and</w:t>
            </w:r>
          </w:p>
        </w:tc>
        <w:tc>
          <w:tcPr>
            <w:tcW w:w="300" w:type="dxa"/>
            <w:vAlign w:val="bottom"/>
            <w:shd w:val="clear" w:color="auto" w:fill="CCEEFF"/>
          </w:tcPr>
          <w:p>
            <w:pPr>
              <w:spacing w:after="0"/>
              <w:rPr>
                <w:sz w:val="19"/>
                <w:szCs w:val="19"/>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 no shares issued and outstanding as of both March 28, 2026 and December 31, 2025</w:t>
            </w:r>
          </w:p>
        </w:tc>
        <w:tc>
          <w:tcPr>
            <w:tcW w:w="3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$0.0001 par value; 900,000,000 shares authorized as of March 28, 2026 and December 31,</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117,407,719 and 116,766,927 shares issued and outstanding, as of March 28, 2026 and December 31,</w:t>
            </w:r>
          </w:p>
        </w:tc>
        <w:tc>
          <w:tcPr>
            <w:tcW w:w="30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4"/>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respectively</w:t>
            </w:r>
          </w:p>
        </w:tc>
        <w:tc>
          <w:tcPr>
            <w:tcW w:w="30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472,145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473,423</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(72,226)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(63,692)</w:t>
            </w:r>
          </w:p>
        </w:tc>
        <w:tc>
          <w:tcPr>
            <w:tcW w:w="0" w:type="dxa"/>
            <w:vAlign w:val="bottom"/>
          </w:tcPr>
          <w:p>
            <w:pPr>
              <w:spacing w:after="0"/>
              <w:rPr>
                <w:sz w:val="1"/>
                <w:szCs w:val="1"/>
                <w:color w:val="auto"/>
              </w:rPr>
            </w:pPr>
          </w:p>
        </w:tc>
      </w:tr>
      <w:tr>
        <w:trPr>
          <w:trHeight w:val="41"/>
        </w:trPr>
        <w:tc>
          <w:tcPr>
            <w:tcW w:w="7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0" w:type="dxa"/>
            <w:vAlign w:val="bottom"/>
          </w:tcPr>
          <w:p>
            <w:pPr>
              <w:spacing w:after="0"/>
              <w:rPr>
                <w:sz w:val="1"/>
                <w:szCs w:val="1"/>
                <w:color w:val="auto"/>
              </w:rPr>
            </w:pPr>
          </w:p>
        </w:tc>
      </w:tr>
      <w:tr>
        <w:trPr>
          <w:trHeight w:val="236"/>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396,702</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405,861</w:t>
            </w:r>
          </w:p>
        </w:tc>
        <w:tc>
          <w:tcPr>
            <w:tcW w:w="0" w:type="dxa"/>
            <w:vAlign w:val="bottom"/>
          </w:tcPr>
          <w:p>
            <w:pPr>
              <w:spacing w:after="0"/>
              <w:rPr>
                <w:sz w:val="1"/>
                <w:szCs w:val="1"/>
                <w:color w:val="auto"/>
              </w:rPr>
            </w:pPr>
          </w:p>
        </w:tc>
      </w:tr>
      <w:tr>
        <w:trPr>
          <w:trHeight w:val="41"/>
        </w:trPr>
        <w:tc>
          <w:tcPr>
            <w:tcW w:w="79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856,405</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823,223</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21" w:right="339" w:bottom="88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889"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154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23"/>
        </w:trPr>
        <w:tc>
          <w:tcPr>
            <w:tcW w:w="5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r>
      <w:tr>
        <w:trPr>
          <w:trHeight w:val="190"/>
        </w:trPr>
        <w:tc>
          <w:tcPr>
            <w:tcW w:w="50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80" w:type="dxa"/>
            <w:vAlign w:val="bottom"/>
          </w:tcPr>
          <w:p>
            <w:pPr>
              <w:spacing w:after="0"/>
              <w:rPr>
                <w:sz w:val="16"/>
                <w:szCs w:val="16"/>
                <w:color w:val="auto"/>
              </w:rPr>
            </w:pPr>
          </w:p>
        </w:tc>
      </w:tr>
      <w:tr>
        <w:trPr>
          <w:trHeight w:val="270"/>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117,315</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111,420</w:t>
            </w:r>
          </w:p>
        </w:tc>
        <w:tc>
          <w:tcPr>
            <w:tcW w:w="80" w:type="dxa"/>
            <w:vAlign w:val="bottom"/>
            <w:tcBorders>
              <w:top w:val="single" w:sz="8" w:color="CCEEFF"/>
            </w:tcBorders>
            <w:shd w:val="clear" w:color="auto" w:fill="CCEEFF"/>
          </w:tcPr>
          <w:p>
            <w:pPr>
              <w:spacing w:after="0"/>
              <w:rPr>
                <w:sz w:val="23"/>
                <w:szCs w:val="23"/>
                <w:color w:val="auto"/>
              </w:rPr>
            </w:pPr>
          </w:p>
        </w:tc>
      </w:tr>
      <w:tr>
        <w:trPr>
          <w:trHeight w:val="283"/>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80,158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78,539</w:t>
            </w:r>
          </w:p>
        </w:tc>
        <w:tc>
          <w:tcPr>
            <w:tcW w:w="80" w:type="dxa"/>
            <w:vAlign w:val="bottom"/>
            <w:tcBorders>
              <w:bottom w:val="single" w:sz="8" w:color="CCEEFF"/>
            </w:tcBorders>
          </w:tcPr>
          <w:p>
            <w:pPr>
              <w:spacing w:after="0"/>
              <w:rPr>
                <w:sz w:val="24"/>
                <w:szCs w:val="24"/>
                <w:color w:val="auto"/>
              </w:rPr>
            </w:pPr>
          </w:p>
        </w:tc>
      </w:tr>
      <w:tr>
        <w:trPr>
          <w:trHeight w:val="263"/>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37,157</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32,881</w:t>
            </w:r>
          </w:p>
        </w:tc>
        <w:tc>
          <w:tcPr>
            <w:tcW w:w="80" w:type="dxa"/>
            <w:vAlign w:val="bottom"/>
            <w:shd w:val="clear" w:color="auto" w:fill="CCEEFF"/>
          </w:tcPr>
          <w:p>
            <w:pPr>
              <w:spacing w:after="0"/>
              <w:rPr>
                <w:sz w:val="22"/>
                <w:szCs w:val="22"/>
                <w:color w:val="auto"/>
              </w:rPr>
            </w:pPr>
          </w:p>
        </w:tc>
      </w:tr>
      <w:tr>
        <w:trPr>
          <w:trHeight w:val="26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30,620</w:t>
            </w:r>
          </w:p>
        </w:tc>
        <w:tc>
          <w:tcPr>
            <w:tcW w:w="80" w:type="dxa"/>
            <w:vAlign w:val="bottom"/>
          </w:tcPr>
          <w:p>
            <w:pPr>
              <w:spacing w:after="0"/>
              <w:rPr>
                <w:sz w:val="22"/>
                <w:szCs w:val="22"/>
                <w:color w:val="auto"/>
              </w:rPr>
            </w:pPr>
          </w:p>
        </w:tc>
      </w:tr>
      <w:tr>
        <w:trPr>
          <w:trHeight w:val="28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80" w:type="dxa"/>
            <w:vAlign w:val="bottom"/>
            <w:shd w:val="clear" w:color="auto" w:fill="CCEEFF"/>
          </w:tcPr>
          <w:p>
            <w:pPr>
              <w:spacing w:after="0"/>
              <w:rPr>
                <w:sz w:val="24"/>
                <w:szCs w:val="24"/>
                <w:color w:val="auto"/>
              </w:rPr>
            </w:pPr>
          </w:p>
        </w:tc>
      </w:tr>
      <w:tr>
        <w:trPr>
          <w:trHeight w:val="263"/>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80" w:type="dxa"/>
            <w:vAlign w:val="bottom"/>
            <w:tcBorders>
              <w:bottom w:val="single" w:sz="8" w:color="CCEEFF"/>
            </w:tcBorders>
          </w:tcPr>
          <w:p>
            <w:pPr>
              <w:spacing w:after="0"/>
              <w:rPr>
                <w:sz w:val="22"/>
                <w:szCs w:val="22"/>
                <w:color w:val="auto"/>
              </w:rPr>
            </w:pPr>
          </w:p>
        </w:tc>
      </w:tr>
      <w:tr>
        <w:trPr>
          <w:trHeight w:val="243"/>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83"/>
        </w:trPr>
        <w:tc>
          <w:tcPr>
            <w:tcW w:w="5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80" w:type="dxa"/>
            <w:vAlign w:val="bottom"/>
          </w:tcPr>
          <w:p>
            <w:pPr>
              <w:spacing w:after="0"/>
              <w:rPr>
                <w:sz w:val="24"/>
                <w:szCs w:val="24"/>
                <w:color w:val="auto"/>
              </w:rPr>
            </w:pPr>
          </w:p>
        </w:tc>
      </w:tr>
      <w:tr>
        <w:trPr>
          <w:trHeight w:val="283"/>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shd w:val="clear" w:color="auto" w:fill="CCEEFF"/>
          </w:tcPr>
          <w:p>
            <w:pPr>
              <w:spacing w:after="0"/>
              <w:rPr>
                <w:sz w:val="24"/>
                <w:szCs w:val="24"/>
                <w:color w:val="auto"/>
              </w:rPr>
            </w:pPr>
          </w:p>
        </w:tc>
      </w:tr>
      <w:tr>
        <w:trPr>
          <w:trHeight w:val="264"/>
        </w:trPr>
        <w:tc>
          <w:tcPr>
            <w:tcW w:w="5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other expense, net</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80" w:type="dxa"/>
            <w:vAlign w:val="bottom"/>
          </w:tcPr>
          <w:p>
            <w:pPr>
              <w:spacing w:after="0"/>
              <w:rPr>
                <w:sz w:val="22"/>
                <w:szCs w:val="22"/>
                <w:color w:val="auto"/>
              </w:rPr>
            </w:pPr>
          </w:p>
        </w:tc>
      </w:tr>
      <w:tr>
        <w:trPr>
          <w:trHeight w:val="28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equity method investment</w:t>
            </w: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80" w:type="dxa"/>
            <w:vAlign w:val="bottom"/>
            <w:shd w:val="clear" w:color="auto" w:fill="CCEEFF"/>
          </w:tcPr>
          <w:p>
            <w:pPr>
              <w:spacing w:after="0"/>
              <w:rPr>
                <w:sz w:val="24"/>
                <w:szCs w:val="24"/>
                <w:color w:val="auto"/>
              </w:rPr>
            </w:pPr>
          </w:p>
        </w:tc>
      </w:tr>
      <w:tr>
        <w:trPr>
          <w:trHeight w:val="263"/>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w:t>
            </w:r>
          </w:p>
        </w:tc>
        <w:tc>
          <w:tcPr>
            <w:tcW w:w="80" w:type="dxa"/>
            <w:vAlign w:val="bottom"/>
          </w:tcPr>
          <w:p>
            <w:pPr>
              <w:spacing w:after="0"/>
              <w:rPr>
                <w:sz w:val="22"/>
                <w:szCs w:val="22"/>
                <w:color w:val="auto"/>
              </w:rPr>
            </w:pPr>
          </w:p>
        </w:tc>
      </w:tr>
      <w:tr>
        <w:trPr>
          <w:trHeight w:val="28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80" w:type="dxa"/>
            <w:vAlign w:val="bottom"/>
            <w:shd w:val="clear" w:color="auto" w:fill="CCEEFF"/>
          </w:tcPr>
          <w:p>
            <w:pPr>
              <w:spacing w:after="0"/>
              <w:rPr>
                <w:sz w:val="24"/>
                <w:szCs w:val="24"/>
                <w:color w:val="auto"/>
              </w:rPr>
            </w:pPr>
          </w:p>
        </w:tc>
      </w:tr>
      <w:tr>
        <w:trPr>
          <w:trHeight w:val="23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80" w:type="dxa"/>
            <w:vAlign w:val="bottom"/>
          </w:tcPr>
          <w:p>
            <w:pPr>
              <w:spacing w:after="0"/>
              <w:rPr>
                <w:sz w:val="20"/>
                <w:szCs w:val="20"/>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30"/>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8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24"/>
                <w:szCs w:val="24"/>
                <w:color w:val="auto"/>
              </w:rPr>
            </w:pPr>
          </w:p>
        </w:tc>
      </w:tr>
      <w:tr>
        <w:trPr>
          <w:trHeight w:val="284"/>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CEEFF"/>
          </w:tcPr>
          <w:p>
            <w:pPr>
              <w:spacing w:after="0"/>
              <w:rPr>
                <w:sz w:val="24"/>
                <w:szCs w:val="24"/>
                <w:color w:val="auto"/>
              </w:rPr>
            </w:pPr>
          </w:p>
        </w:tc>
      </w:tr>
      <w:tr>
        <w:trPr>
          <w:trHeight w:val="24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40"/>
        </w:trPr>
        <w:tc>
          <w:tcPr>
            <w:tcW w:w="5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8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116,894,080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115,885,111</w:t>
            </w:r>
          </w:p>
        </w:tc>
        <w:tc>
          <w:tcPr>
            <w:tcW w:w="80" w:type="dxa"/>
            <w:vAlign w:val="bottom"/>
            <w:shd w:val="clear" w:color="auto" w:fill="CCEEFF"/>
          </w:tcPr>
          <w:p>
            <w:pPr>
              <w:spacing w:after="0"/>
              <w:rPr>
                <w:sz w:val="24"/>
                <w:szCs w:val="24"/>
                <w:color w:val="auto"/>
              </w:rPr>
            </w:pPr>
          </w:p>
        </w:tc>
      </w:tr>
      <w:tr>
        <w:trPr>
          <w:trHeight w:val="28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116,894,080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115,885,111</w:t>
            </w:r>
          </w:p>
        </w:tc>
        <w:tc>
          <w:tcPr>
            <w:tcW w:w="80" w:type="dxa"/>
            <w:vAlign w:val="bottom"/>
          </w:tcPr>
          <w:p>
            <w:pPr>
              <w:spacing w:after="0"/>
              <w:rPr>
                <w:sz w:val="24"/>
                <w:szCs w:val="24"/>
                <w:color w:val="auto"/>
              </w:rPr>
            </w:pPr>
          </w:p>
        </w:tc>
      </w:tr>
    </w:tbl>
    <w:p>
      <w:pPr>
        <w:spacing w:after="0" w:line="29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154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37"/>
        </w:trPr>
        <w:tc>
          <w:tcPr>
            <w:tcW w:w="50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00"/>
        </w:trPr>
        <w:tc>
          <w:tcPr>
            <w:tcW w:w="5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8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37"/>
        </w:trPr>
        <w:tc>
          <w:tcPr>
            <w:tcW w:w="50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r>
      <w:tr>
        <w:trPr>
          <w:trHeight w:val="22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80" w:type="dxa"/>
            <w:vAlign w:val="bottom"/>
            <w:shd w:val="clear" w:color="auto" w:fill="CCEEFF"/>
          </w:tcPr>
          <w:p>
            <w:pPr>
              <w:spacing w:after="0"/>
              <w:rPr>
                <w:sz w:val="19"/>
                <w:szCs w:val="19"/>
                <w:color w:val="auto"/>
              </w:rPr>
            </w:pPr>
          </w:p>
        </w:tc>
      </w:t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19"/>
                <w:szCs w:val="19"/>
                <w:color w:val="auto"/>
              </w:rPr>
            </w:pPr>
          </w:p>
        </w:tc>
      </w:tr>
      <w:tr>
        <w:trPr>
          <w:trHeight w:val="223"/>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comprehensive income, net of tax</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Borders>
              <w:bottom w:val="single" w:sz="8" w:color="CCEEFF"/>
            </w:tcBorders>
          </w:tcPr>
          <w:p>
            <w:pPr>
              <w:spacing w:after="0"/>
              <w:rPr>
                <w:sz w:val="19"/>
                <w:szCs w:val="19"/>
                <w:color w:val="auto"/>
              </w:rPr>
            </w:pPr>
          </w:p>
        </w:tc>
      </w:tr>
      <w:tr>
        <w:trPr>
          <w:trHeight w:val="248"/>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p>
      <w:pPr>
        <w:spacing w:after="0" w:line="77" w:lineRule="exact"/>
        <w:rPr>
          <w:sz w:val="20"/>
          <w:szCs w:val="20"/>
          <w:color w:val="auto"/>
        </w:rPr>
      </w:pPr>
    </w:p>
    <w:p>
      <w:pPr>
        <w:ind w:left="20"/>
        <w:spacing w:after="0" w:line="297" w:lineRule="auto"/>
        <w:rPr>
          <w:sz w:val="20"/>
          <w:szCs w:val="20"/>
          <w:color w:val="auto"/>
        </w:rPr>
      </w:pPr>
      <w:r>
        <w:rPr>
          <w:rFonts w:ascii="Times New Roman" w:cs="Times New Roman" w:eastAsia="Times New Roman" w:hAnsi="Times New Roman"/>
          <w:sz w:val="18"/>
          <w:szCs w:val="18"/>
          <w:color w:val="auto"/>
        </w:rPr>
        <w:t>Issuance of common stock upon release of restricted stock units</w:t>
      </w:r>
    </w:p>
    <w:p>
      <w:pPr>
        <w:spacing w:after="0" w:line="1" w:lineRule="exact"/>
        <w:rPr>
          <w:sz w:val="20"/>
          <w:szCs w:val="20"/>
          <w:color w:val="auto"/>
        </w:rPr>
      </w:pPr>
    </w:p>
    <w:p>
      <w:pPr>
        <w:ind w:left="20" w:right="400"/>
        <w:spacing w:after="0" w:line="297" w:lineRule="auto"/>
        <w:rPr>
          <w:sz w:val="20"/>
          <w:szCs w:val="20"/>
          <w:color w:val="auto"/>
        </w:rPr>
      </w:pPr>
      <w:r>
        <w:rPr>
          <w:rFonts w:ascii="Times New Roman" w:cs="Times New Roman" w:eastAsia="Times New Roman" w:hAnsi="Times New Roman"/>
          <w:sz w:val="18"/>
          <w:szCs w:val="18"/>
          <w:color w:val="auto"/>
        </w:rPr>
        <w:t>Common stock withheld for taxes on restricted stock units</w:t>
      </w:r>
    </w:p>
    <w:p>
      <w:pPr>
        <w:spacing w:after="0" w:line="1" w:lineRule="exact"/>
        <w:rPr>
          <w:sz w:val="20"/>
          <w:szCs w:val="20"/>
          <w:color w:val="auto"/>
        </w:rPr>
      </w:pPr>
    </w:p>
    <w:p>
      <w:pPr>
        <w:ind w:left="20" w:right="500"/>
        <w:spacing w:after="0" w:line="360" w:lineRule="auto"/>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18"/>
          <w:szCs w:val="18"/>
          <w:b w:val="1"/>
          <w:bCs w:val="1"/>
          <w:color w:val="auto"/>
        </w:rPr>
        <w:t>Balances at March 29,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21"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108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5"/>
                <w:szCs w:val="15"/>
                <w:color w:val="auto"/>
              </w:rPr>
            </w:pPr>
          </w:p>
        </w:tc>
        <w:tc>
          <w:tcPr>
            <w:tcW w:w="10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4"/>
        </w:trPr>
        <w:tc>
          <w:tcPr>
            <w:tcW w:w="14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7"/>
                <w:szCs w:val="17"/>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7"/>
                <w:szCs w:val="17"/>
                <w:color w:val="auto"/>
              </w:rPr>
            </w:pPr>
          </w:p>
        </w:tc>
        <w:tc>
          <w:tcPr>
            <w:tcW w:w="10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
        </w:trPr>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115,764,839</w:t>
            </w:r>
          </w:p>
        </w:tc>
        <w:tc>
          <w:tcPr>
            <w:tcW w:w="8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467,076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(74,816)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387,222</w:t>
            </w:r>
          </w:p>
        </w:tc>
        <w:tc>
          <w:tcPr>
            <w:tcW w:w="0" w:type="dxa"/>
            <w:vAlign w:val="bottom"/>
          </w:tcPr>
          <w:p>
            <w:pPr>
              <w:spacing w:after="0"/>
              <w:rPr>
                <w:sz w:val="1"/>
                <w:szCs w:val="1"/>
                <w:color w:val="auto"/>
              </w:rPr>
            </w:pPr>
          </w:p>
        </w:tc>
      </w:tr>
      <w:tr>
        <w:trPr>
          <w:trHeight w:val="283"/>
        </w:trPr>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0" w:type="dxa"/>
            <w:vAlign w:val="bottom"/>
          </w:tcPr>
          <w:p>
            <w:pPr>
              <w:spacing w:after="0"/>
              <w:rPr>
                <w:sz w:val="1"/>
                <w:szCs w:val="1"/>
                <w:color w:val="auto"/>
              </w:rPr>
            </w:pPr>
          </w:p>
        </w:tc>
      </w:tr>
      <w:tr>
        <w:trPr>
          <w:trHeight w:val="283"/>
        </w:trPr>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513"/>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941,370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13"/>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(343,232)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0" w:type="dxa"/>
            <w:vAlign w:val="bottom"/>
          </w:tcPr>
          <w:p>
            <w:pPr>
              <w:spacing w:after="0"/>
              <w:rPr>
                <w:sz w:val="1"/>
                <w:szCs w:val="1"/>
                <w:color w:val="auto"/>
              </w:rPr>
            </w:pPr>
          </w:p>
        </w:tc>
      </w:tr>
      <w:tr>
        <w:trPr>
          <w:trHeight w:val="283"/>
        </w:trPr>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0" w:type="dxa"/>
            <w:vAlign w:val="bottom"/>
          </w:tcPr>
          <w:p>
            <w:pPr>
              <w:spacing w:after="0"/>
              <w:rPr>
                <w:sz w:val="1"/>
                <w:szCs w:val="1"/>
                <w:color w:val="auto"/>
              </w:rPr>
            </w:pPr>
          </w:p>
        </w:tc>
      </w:tr>
      <w:tr>
        <w:trPr>
          <w:trHeight w:val="237"/>
        </w:trPr>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116,362,977</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466,741</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(80,778)</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381,142</w:t>
            </w:r>
          </w:p>
        </w:tc>
        <w:tc>
          <w:tcPr>
            <w:tcW w:w="0" w:type="dxa"/>
            <w:vAlign w:val="bottom"/>
          </w:tcPr>
          <w:p>
            <w:pPr>
              <w:spacing w:after="0"/>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-1568450</wp:posOffset>
            </wp:positionV>
            <wp:extent cx="7132320" cy="179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-1207770</wp:posOffset>
            </wp:positionV>
            <wp:extent cx="7132320" cy="179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-702310</wp:posOffset>
            </wp:positionV>
            <wp:extent cx="7132320"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-196850</wp:posOffset>
            </wp:positionV>
            <wp:extent cx="713232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3080" w:space="220"/>
            <w:col w:w="7940"/>
          </w:cols>
          <w:pgMar w:left="320" w:top="121" w:right="339" w:bottom="1440" w:gutter="0" w:footer="0" w:header="0"/>
        </w:sectPr>
      </w:pP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2025</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p>
      <w:pPr>
        <w:spacing w:after="0" w:line="77" w:lineRule="exact"/>
        <w:rPr>
          <w:sz w:val="20"/>
          <w:szCs w:val="20"/>
          <w:color w:val="auto"/>
        </w:rPr>
      </w:pPr>
    </w:p>
    <w:p>
      <w:pPr>
        <w:ind w:left="20"/>
        <w:spacing w:after="0" w:line="297" w:lineRule="auto"/>
        <w:rPr>
          <w:sz w:val="20"/>
          <w:szCs w:val="20"/>
          <w:color w:val="auto"/>
        </w:rPr>
      </w:pPr>
      <w:r>
        <w:rPr>
          <w:rFonts w:ascii="Times New Roman" w:cs="Times New Roman" w:eastAsia="Times New Roman" w:hAnsi="Times New Roman"/>
          <w:sz w:val="18"/>
          <w:szCs w:val="18"/>
          <w:color w:val="auto"/>
        </w:rPr>
        <w:t>Issuance of common stock upon release of restricted stock units</w:t>
      </w:r>
    </w:p>
    <w:p>
      <w:pPr>
        <w:spacing w:after="0" w:line="1" w:lineRule="exact"/>
        <w:rPr>
          <w:sz w:val="20"/>
          <w:szCs w:val="20"/>
          <w:color w:val="auto"/>
        </w:rPr>
      </w:pPr>
    </w:p>
    <w:p>
      <w:pPr>
        <w:ind w:left="20" w:right="400"/>
        <w:spacing w:after="0" w:line="297" w:lineRule="auto"/>
        <w:rPr>
          <w:sz w:val="20"/>
          <w:szCs w:val="20"/>
          <w:color w:val="auto"/>
        </w:rPr>
      </w:pPr>
      <w:r>
        <w:rPr>
          <w:rFonts w:ascii="Times New Roman" w:cs="Times New Roman" w:eastAsia="Times New Roman" w:hAnsi="Times New Roman"/>
          <w:sz w:val="18"/>
          <w:szCs w:val="18"/>
          <w:color w:val="auto"/>
        </w:rPr>
        <w:t>Common stock withheld for taxes on restricted stock units</w:t>
      </w:r>
    </w:p>
    <w:p>
      <w:pPr>
        <w:spacing w:after="0" w:line="1" w:lineRule="exact"/>
        <w:rPr>
          <w:sz w:val="20"/>
          <w:szCs w:val="20"/>
          <w:color w:val="auto"/>
        </w:rPr>
      </w:pPr>
    </w:p>
    <w:p>
      <w:pPr>
        <w:ind w:left="20" w:right="500"/>
        <w:spacing w:after="0" w:line="360" w:lineRule="auto"/>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18"/>
          <w:szCs w:val="18"/>
          <w:b w:val="1"/>
          <w:bCs w:val="1"/>
          <w:color w:val="auto"/>
        </w:rPr>
        <w:t>Balances at March 28,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21"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108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5"/>
                <w:szCs w:val="15"/>
                <w:color w:val="auto"/>
              </w:rPr>
            </w:pPr>
          </w:p>
        </w:tc>
        <w:tc>
          <w:tcPr>
            <w:tcW w:w="10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4"/>
        </w:trPr>
        <w:tc>
          <w:tcPr>
            <w:tcW w:w="14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7"/>
                <w:szCs w:val="17"/>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7"/>
                <w:szCs w:val="17"/>
                <w:color w:val="auto"/>
              </w:rPr>
            </w:pPr>
          </w:p>
        </w:tc>
        <w:tc>
          <w:tcPr>
            <w:tcW w:w="10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116,766,927</w:t>
            </w:r>
          </w:p>
        </w:tc>
        <w:tc>
          <w:tcPr>
            <w:tcW w:w="8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473,423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(63,692)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405,861</w:t>
            </w:r>
          </w:p>
        </w:tc>
        <w:tc>
          <w:tcPr>
            <w:tcW w:w="0" w:type="dxa"/>
            <w:vAlign w:val="bottom"/>
          </w:tcPr>
          <w:p>
            <w:pPr>
              <w:spacing w:after="0"/>
              <w:rPr>
                <w:sz w:val="1"/>
                <w:szCs w:val="1"/>
                <w:color w:val="auto"/>
              </w:rPr>
            </w:pPr>
          </w:p>
        </w:tc>
      </w:tr>
      <w:tr>
        <w:trPr>
          <w:trHeight w:val="283"/>
        </w:trPr>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0" w:type="dxa"/>
            <w:vAlign w:val="bottom"/>
          </w:tcPr>
          <w:p>
            <w:pPr>
              <w:spacing w:after="0"/>
              <w:rPr>
                <w:sz w:val="1"/>
                <w:szCs w:val="1"/>
                <w:color w:val="auto"/>
              </w:rPr>
            </w:pPr>
          </w:p>
        </w:tc>
      </w:tr>
      <w:tr>
        <w:trPr>
          <w:trHeight w:val="283"/>
        </w:trPr>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513"/>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1,005,086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13"/>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(364,294)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0" w:type="dxa"/>
            <w:vAlign w:val="bottom"/>
          </w:tcPr>
          <w:p>
            <w:pPr>
              <w:spacing w:after="0"/>
              <w:rPr>
                <w:sz w:val="1"/>
                <w:szCs w:val="1"/>
                <w:color w:val="auto"/>
              </w:rPr>
            </w:pPr>
          </w:p>
        </w:tc>
      </w:tr>
      <w:tr>
        <w:trPr>
          <w:trHeight w:val="283"/>
        </w:trPr>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237"/>
        </w:trPr>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117,407,719</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472,145</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(72,226)</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396,702</w:t>
            </w:r>
          </w:p>
        </w:tc>
        <w:tc>
          <w:tcPr>
            <w:tcW w:w="0" w:type="dxa"/>
            <w:vAlign w:val="bottom"/>
          </w:tcPr>
          <w:p>
            <w:pPr>
              <w:spacing w:after="0"/>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-1568450</wp:posOffset>
            </wp:positionV>
            <wp:extent cx="7132320"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-1207770</wp:posOffset>
            </wp:positionV>
            <wp:extent cx="7132320"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-702310</wp:posOffset>
            </wp:positionV>
            <wp:extent cx="7132320" cy="325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-196850</wp:posOffset>
            </wp:positionV>
            <wp:extent cx="7132320"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3080" w:space="220"/>
            <w:col w:w="7940"/>
          </w:cols>
          <w:pgMar w:left="320" w:top="121" w:right="339" w:bottom="1440" w:gutter="0" w:footer="0" w:header="0"/>
        </w:sectPr>
      </w:pP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4"/>
          <w:szCs w:val="14"/>
          <w:b w:val="1"/>
          <w:bCs w:val="1"/>
          <w:color w:val="auto"/>
        </w:rPr>
        <w:t>Fiscal 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41910</wp:posOffset>
            </wp:positionV>
            <wp:extent cx="20828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67" w:lineRule="exact"/>
        <w:rPr>
          <w:sz w:val="20"/>
          <w:szCs w:val="20"/>
          <w:color w:val="auto"/>
        </w:rPr>
      </w:pPr>
    </w:p>
    <w:p>
      <w:pPr>
        <w:jc w:val="right"/>
        <w:ind w:right="520"/>
        <w:spacing w:after="0"/>
        <w:tabs>
          <w:tab w:leader="none" w:pos="540" w:val="left"/>
        </w:tabs>
        <w:rPr>
          <w:sz w:val="20"/>
          <w:szCs w:val="20"/>
          <w:color w:val="auto"/>
        </w:rPr>
      </w:pPr>
      <w:r>
        <w:rPr>
          <w:rFonts w:ascii="Times New Roman" w:cs="Times New Roman" w:eastAsia="Times New Roman" w:hAnsi="Times New Roman"/>
          <w:sz w:val="13"/>
          <w:szCs w:val="13"/>
          <w:b w:val="1"/>
          <w:bCs w:val="1"/>
          <w:color w:val="auto"/>
        </w:rPr>
        <w:t>March 28,</w:t>
      </w:r>
      <w:r>
        <w:rPr>
          <w:sz w:val="20"/>
          <w:szCs w:val="20"/>
          <w:color w:val="auto"/>
        </w:rPr>
        <w:tab/>
      </w:r>
      <w:r>
        <w:rPr>
          <w:rFonts w:ascii="Times New Roman" w:cs="Times New Roman" w:eastAsia="Times New Roman" w:hAnsi="Times New Roman"/>
          <w:sz w:val="12"/>
          <w:szCs w:val="12"/>
          <w:b w:val="1"/>
          <w:bCs w:val="1"/>
          <w:color w:val="auto"/>
        </w:rPr>
        <w:t>March 29,</w:t>
      </w:r>
    </w:p>
    <w:p>
      <w:pPr>
        <w:spacing w:after="0" w:line="17" w:lineRule="exact"/>
        <w:rPr>
          <w:sz w:val="20"/>
          <w:szCs w:val="20"/>
          <w:color w:val="auto"/>
        </w:rPr>
      </w:pPr>
    </w:p>
    <w:p>
      <w:pPr>
        <w:ind w:left="8640"/>
        <w:spacing w:after="0"/>
        <w:tabs>
          <w:tab w:leader="none" w:pos="10300" w:val="left"/>
        </w:tabs>
        <w:rPr>
          <w:sz w:val="20"/>
          <w:szCs w:val="20"/>
          <w:color w:val="auto"/>
        </w:rPr>
      </w:pPr>
      <w:r>
        <w:rPr>
          <w:rFonts w:ascii="Times New Roman" w:cs="Times New Roman" w:eastAsia="Times New Roman" w:hAnsi="Times New Roman"/>
          <w:sz w:val="13"/>
          <w:szCs w:val="13"/>
          <w:b w:val="1"/>
          <w:bCs w:val="1"/>
          <w:color w:val="auto"/>
        </w:rPr>
        <w:t>2026</w:t>
      </w:r>
      <w:r>
        <w:rPr>
          <w:sz w:val="20"/>
          <w:szCs w:val="20"/>
          <w:color w:val="auto"/>
        </w:rPr>
        <w:tab/>
      </w:r>
      <w:r>
        <w:rPr>
          <w:rFonts w:ascii="Times New Roman" w:cs="Times New Roman" w:eastAsia="Times New Roman" w:hAnsi="Times New Roman"/>
          <w:sz w:val="13"/>
          <w:szCs w:val="13"/>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p>
      <w:pPr>
        <w:sectPr>
          <w:pgSz w:w="11900" w:h="16838" w:orient="portrait"/>
          <w:cols w:equalWidth="0" w:num="1">
            <w:col w:w="11240"/>
          </w:cols>
          <w:pgMar w:left="320" w:top="121" w:right="339" w:bottom="1440" w:gutter="0" w:footer="0" w:header="0"/>
        </w:sectPr>
      </w:pP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Adjustments to reconcile net loss to net cash used in operating activities:</w:t>
      </w:r>
    </w:p>
    <w:p>
      <w:pPr>
        <w:spacing w:after="0" w:line="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Unrealized foreign currency loss (gain)</w:t>
      </w:r>
    </w:p>
    <w:p>
      <w:pPr>
        <w:spacing w:after="0" w:line="6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Amortization of deferred financing costs and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Non-cash lease expense</w:t>
      </w:r>
    </w:p>
    <w:p>
      <w:pPr>
        <w:spacing w:after="0" w:line="6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Change in fair value of interest rate swap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Stock-based compensation expense</w:t>
      </w:r>
    </w:p>
    <w:p>
      <w:pPr>
        <w:spacing w:after="0" w:line="6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Bad debt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Other non-cash, net</w:t>
      </w:r>
    </w:p>
    <w:p>
      <w:pPr>
        <w:spacing w:after="0" w:line="6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Earnings from equity method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Changes in operating assets and liabilities:</w:t>
      </w:r>
    </w:p>
    <w:p>
      <w:pPr>
        <w:spacing w:after="0" w:line="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Trade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Inventories</w:t>
      </w:r>
    </w:p>
    <w:p>
      <w:pPr>
        <w:spacing w:after="0" w:line="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Income tax receivable</w:t>
      </w:r>
    </w:p>
    <w:p>
      <w:pPr>
        <w:spacing w:after="0" w:line="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Accounts payable</w:t>
      </w:r>
    </w:p>
    <w:p>
      <w:pPr>
        <w:spacing w:after="0" w:line="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Other long-term liabilities</w:t>
      </w:r>
    </w:p>
    <w:p>
      <w:pPr>
        <w:spacing w:after="0" w:line="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Net cash used in operating activities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111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Acquisition of business, net of cash acquired</w:t>
      </w:r>
    </w:p>
    <w:p>
      <w:pPr>
        <w:spacing w:after="0" w:line="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Net cash used in investing activities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117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60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(8,534)</w:t>
            </w:r>
          </w:p>
        </w:tc>
        <w:tc>
          <w:tcPr>
            <w:tcW w:w="80" w:type="dxa"/>
            <w:vAlign w:val="bottom"/>
          </w:tcPr>
          <w:p>
            <w:pPr>
              <w:spacing w:after="0"/>
              <w:rPr>
                <w:sz w:val="14"/>
                <w:szCs w:val="14"/>
                <w:color w:val="auto"/>
              </w:rPr>
            </w:pPr>
          </w:p>
        </w:tc>
        <w:tc>
          <w:tcPr>
            <w:tcW w:w="620" w:type="dxa"/>
            <w:vAlign w:val="bottom"/>
          </w:tcPr>
          <w:p>
            <w:pPr>
              <w:jc w:val="right"/>
              <w:ind w:right="47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(5,962)</w:t>
            </w:r>
          </w:p>
        </w:tc>
      </w:tr>
      <w:tr>
        <w:trPr>
          <w:trHeight w:val="432"/>
        </w:trPr>
        <w:tc>
          <w:tcPr>
            <w:tcW w:w="6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13,067</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12,400</w:t>
            </w:r>
          </w:p>
        </w:tc>
      </w:tr>
      <w:tr>
        <w:trPr>
          <w:trHeight w:val="216"/>
        </w:trPr>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w:t>
            </w:r>
          </w:p>
        </w:tc>
      </w:tr>
      <w:tr>
        <w:trPr>
          <w:trHeight w:val="216"/>
        </w:trPr>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w:t>
            </w:r>
          </w:p>
        </w:tc>
      </w:tr>
      <w:tr>
        <w:trPr>
          <w:trHeight w:val="216"/>
        </w:trPr>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1,855</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1,776</w:t>
            </w:r>
          </w:p>
        </w:tc>
      </w:tr>
      <w:tr>
        <w:trPr>
          <w:trHeight w:val="216"/>
        </w:trPr>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(841)</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w:t>
            </w:r>
          </w:p>
        </w:tc>
      </w:tr>
      <w:tr>
        <w:trPr>
          <w:trHeight w:val="216"/>
        </w:trPr>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1,104</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1,971</w:t>
            </w:r>
          </w:p>
        </w:tc>
      </w:tr>
      <w:tr>
        <w:trPr>
          <w:trHeight w:val="216"/>
        </w:trPr>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875</w:t>
            </w:r>
          </w:p>
        </w:tc>
      </w:tr>
      <w:tr>
        <w:trPr>
          <w:trHeight w:val="216"/>
        </w:trPr>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216"/>
        </w:trPr>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(953)</w:t>
            </w:r>
          </w:p>
        </w:tc>
      </w:tr>
      <w:tr>
        <w:trPr>
          <w:trHeight w:val="432"/>
        </w:trPr>
        <w:tc>
          <w:tcPr>
            <w:tcW w:w="6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(49,505)</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(52,550)</w:t>
            </w:r>
          </w:p>
        </w:tc>
      </w:tr>
      <w:tr>
        <w:trPr>
          <w:trHeight w:val="216"/>
        </w:trPr>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(9,630)</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(9,559)</w:t>
            </w:r>
          </w:p>
        </w:tc>
      </w:tr>
      <w:tr>
        <w:trPr>
          <w:trHeight w:val="216"/>
        </w:trPr>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(836)</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r>
      <w:tr>
        <w:trPr>
          <w:trHeight w:val="216"/>
        </w:trPr>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(3,025)</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(4,624)</w:t>
            </w:r>
          </w:p>
        </w:tc>
      </w:tr>
      <w:tr>
        <w:trPr>
          <w:trHeight w:val="216"/>
        </w:trPr>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216"/>
        </w:trPr>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9,708</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14,271</w:t>
            </w:r>
          </w:p>
        </w:tc>
      </w:tr>
      <w:tr>
        <w:trPr>
          <w:trHeight w:val="216"/>
        </w:trPr>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(2,279)</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(4,861)</w:t>
            </w:r>
          </w:p>
        </w:tc>
      </w:tr>
      <w:tr>
        <w:trPr>
          <w:trHeight w:val="225"/>
        </w:trPr>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96"/>
        </w:trPr>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(47,720)</w:t>
            </w:r>
          </w:p>
        </w:tc>
        <w:tc>
          <w:tcPr>
            <w:tcW w:w="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(46,882)</w:t>
            </w:r>
          </w:p>
        </w:tc>
      </w:tr>
      <w:tr>
        <w:trPr>
          <w:trHeight w:val="362"/>
        </w:trPr>
        <w:tc>
          <w:tcPr>
            <w:tcW w:w="6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(10,500)</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(3,452)</w:t>
            </w:r>
          </w:p>
        </w:tc>
      </w:tr>
      <w:tr>
        <w:trPr>
          <w:trHeight w:val="225"/>
        </w:trPr>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(14,399)</w:t>
            </w:r>
          </w:p>
        </w:tc>
        <w:tc>
          <w:tcPr>
            <w:tcW w:w="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(4,934)</w:t>
            </w:r>
          </w:p>
        </w:tc>
      </w:tr>
      <w:tr>
        <w:trPr>
          <w:trHeight w:val="196"/>
        </w:trPr>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(24,899)</w:t>
            </w:r>
          </w:p>
        </w:tc>
        <w:tc>
          <w:tcPr>
            <w:tcW w:w="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(8,386)</w:t>
            </w:r>
          </w:p>
        </w:tc>
      </w:tr>
    </w:tbl>
    <w:p>
      <w:pPr>
        <w:spacing w:after="0" w:line="171" w:lineRule="exact"/>
        <w:rPr>
          <w:sz w:val="20"/>
          <w:szCs w:val="20"/>
          <w:color w:val="auto"/>
        </w:rPr>
      </w:pPr>
    </w:p>
    <w:p>
      <w:pPr>
        <w:sectPr>
          <w:pgSz w:w="11900" w:h="16838" w:orient="portrait"/>
          <w:cols w:equalWidth="0" w:num="2">
            <w:col w:w="7240" w:space="720"/>
            <w:col w:w="32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99"/>
        </w:trPr>
        <w:tc>
          <w:tcPr>
            <w:tcW w:w="7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borrowings on revolving credit facility</w:t>
            </w:r>
          </w:p>
        </w:tc>
        <w:tc>
          <w:tcPr>
            <w:tcW w:w="6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31,000</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0" w:type="dxa"/>
            <w:vAlign w:val="bottom"/>
          </w:tcPr>
          <w:p>
            <w:pPr>
              <w:spacing w:after="0"/>
              <w:rPr>
                <w:sz w:val="1"/>
                <w:szCs w:val="1"/>
                <w:color w:val="auto"/>
              </w:rPr>
            </w:pPr>
          </w:p>
        </w:tc>
      </w:tr>
      <w:tr>
        <w:trPr>
          <w:trHeight w:val="224"/>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Repayments of finance lease obligations</w:t>
            </w: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0" w:type="dxa"/>
            <w:vAlign w:val="bottom"/>
          </w:tcPr>
          <w:p>
            <w:pPr>
              <w:spacing w:after="0"/>
              <w:rPr>
                <w:sz w:val="1"/>
                <w:szCs w:val="1"/>
                <w:color w:val="auto"/>
              </w:rPr>
            </w:pPr>
          </w:p>
        </w:tc>
      </w:tr>
      <w:tr>
        <w:trPr>
          <w:trHeight w:val="21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Common stock withheld for taxes on restricted stock units</w:t>
            </w: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(2,382)</w:t>
            </w: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(2,306)</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6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28,402</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22,493</w:t>
            </w:r>
          </w:p>
        </w:tc>
        <w:tc>
          <w:tcPr>
            <w:tcW w:w="0" w:type="dxa"/>
            <w:vAlign w:val="bottom"/>
          </w:tcPr>
          <w:p>
            <w:pPr>
              <w:spacing w:after="0"/>
              <w:rPr>
                <w:sz w:val="1"/>
                <w:szCs w:val="1"/>
                <w:color w:val="auto"/>
              </w:rPr>
            </w:pPr>
          </w:p>
        </w:tc>
      </w:tr>
      <w:tr>
        <w:trPr>
          <w:trHeight w:val="210"/>
        </w:trPr>
        <w:tc>
          <w:tcPr>
            <w:tcW w:w="7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Effect of exchange rate changes on cash</w:t>
            </w: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decrease in cash</w:t>
            </w:r>
          </w:p>
        </w:tc>
        <w:tc>
          <w:tcPr>
            <w:tcW w:w="6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(43,562)</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(32,432)</w:t>
            </w:r>
          </w:p>
        </w:tc>
        <w:tc>
          <w:tcPr>
            <w:tcW w:w="0" w:type="dxa"/>
            <w:vAlign w:val="bottom"/>
          </w:tcPr>
          <w:p>
            <w:pPr>
              <w:spacing w:after="0"/>
              <w:rPr>
                <w:sz w:val="1"/>
                <w:szCs w:val="1"/>
                <w:color w:val="auto"/>
              </w:rPr>
            </w:pPr>
          </w:p>
        </w:tc>
      </w:tr>
      <w:tr>
        <w:trPr>
          <w:trHeight w:val="21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at beginning of period</w:t>
            </w: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71,043</w:t>
            </w: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56,398</w:t>
            </w:r>
          </w:p>
        </w:tc>
        <w:tc>
          <w:tcPr>
            <w:tcW w:w="0" w:type="dxa"/>
            <w:vAlign w:val="bottom"/>
          </w:tcPr>
          <w:p>
            <w:pPr>
              <w:spacing w:after="0"/>
              <w:rPr>
                <w:sz w:val="1"/>
                <w:szCs w:val="1"/>
                <w:color w:val="auto"/>
              </w:rPr>
            </w:pPr>
          </w:p>
        </w:tc>
      </w:tr>
      <w:tr>
        <w:trPr>
          <w:trHeight w:val="195"/>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at end of period</w:t>
            </w:r>
          </w:p>
        </w:tc>
        <w:tc>
          <w:tcPr>
            <w:tcW w:w="600" w:type="dxa"/>
            <w:vAlign w:val="bottom"/>
            <w:tcBorders>
              <w:bottom w:val="single" w:sz="8" w:color="auto"/>
            </w:tcBorders>
            <w:shd w:val="clear" w:color="auto" w:fill="CCEEFF"/>
          </w:tcPr>
          <w:p>
            <w:pPr>
              <w:jc w:val="right"/>
              <w:ind w:right="45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27,481</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7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23,966</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cash flow information:</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96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paid for interest</w:t>
            </w:r>
          </w:p>
        </w:tc>
        <w:tc>
          <w:tcPr>
            <w:tcW w:w="600" w:type="dxa"/>
            <w:vAlign w:val="bottom"/>
            <w:shd w:val="clear" w:color="auto" w:fill="CCEEFF"/>
          </w:tcPr>
          <w:p>
            <w:pPr>
              <w:jc w:val="right"/>
              <w:ind w:right="45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5,348</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6,266</w:t>
            </w:r>
          </w:p>
        </w:tc>
        <w:tc>
          <w:tcPr>
            <w:tcW w:w="0" w:type="dxa"/>
            <w:vAlign w:val="bottom"/>
          </w:tcPr>
          <w:p>
            <w:pPr>
              <w:spacing w:after="0"/>
              <w:rPr>
                <w:sz w:val="1"/>
                <w:szCs w:val="1"/>
                <w:color w:val="auto"/>
              </w:rPr>
            </w:pPr>
          </w:p>
        </w:tc>
      </w:tr>
      <w:tr>
        <w:trPr>
          <w:trHeight w:val="208"/>
        </w:trPr>
        <w:tc>
          <w:tcPr>
            <w:tcW w:w="7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taxes paid, net</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0" w:type="dxa"/>
            <w:vAlign w:val="bottom"/>
          </w:tcPr>
          <w:p>
            <w:pPr>
              <w:spacing w:after="0"/>
              <w:rPr>
                <w:sz w:val="1"/>
                <w:szCs w:val="1"/>
                <w:color w:val="auto"/>
              </w:rPr>
            </w:pPr>
          </w:p>
        </w:tc>
      </w:tr>
      <w:tr>
        <w:trPr>
          <w:trHeight w:val="184"/>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p>
        </w:tc>
        <w:tc>
          <w:tcPr>
            <w:tcW w:w="6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 of property and equipment included in accounts payable and accrued expenses</w:t>
            </w:r>
          </w:p>
        </w:tc>
        <w:tc>
          <w:tcPr>
            <w:tcW w:w="60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80" w:type="dxa"/>
            <w:vAlign w:val="bottom"/>
          </w:tcPr>
          <w:p>
            <w:pPr>
              <w:spacing w:after="0"/>
              <w:rPr>
                <w:sz w:val="18"/>
                <w:szCs w:val="18"/>
                <w:color w:val="auto"/>
              </w:rPr>
            </w:pPr>
          </w:p>
        </w:tc>
        <w:tc>
          <w:tcPr>
            <w:tcW w:w="620" w:type="dxa"/>
            <w:vAlign w:val="bottom"/>
          </w:tcPr>
          <w:p>
            <w:pPr>
              <w:jc w:val="right"/>
              <w:ind w:right="47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1,360</w:t>
            </w:r>
          </w:p>
        </w:tc>
        <w:tc>
          <w:tcPr>
            <w:tcW w:w="0" w:type="dxa"/>
            <w:vAlign w:val="bottom"/>
          </w:tcPr>
          <w:p>
            <w:pPr>
              <w:spacing w:after="0"/>
              <w:rPr>
                <w:sz w:val="1"/>
                <w:szCs w:val="1"/>
                <w:color w:val="auto"/>
              </w:rPr>
            </w:pPr>
          </w:p>
        </w:tc>
      </w:tr>
      <w:tr>
        <w:trPr>
          <w:trHeight w:val="224"/>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Right-of-use operating and finance lease assets obtained in exchange for lease liabilities</w:t>
            </w: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7,785</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994</w:t>
            </w:r>
          </w:p>
        </w:tc>
        <w:tc>
          <w:tcPr>
            <w:tcW w:w="0" w:type="dxa"/>
            <w:vAlign w:val="bottom"/>
          </w:tcPr>
          <w:p>
            <w:pPr>
              <w:spacing w:after="0"/>
              <w:rPr>
                <w:sz w:val="1"/>
                <w:szCs w:val="1"/>
                <w:color w:val="auto"/>
              </w:rPr>
            </w:pPr>
          </w:p>
        </w:tc>
      </w:tr>
      <w:tr>
        <w:trPr>
          <w:trHeight w:val="200"/>
        </w:trPr>
        <w:tc>
          <w:tcPr>
            <w:tcW w:w="7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of property and equipment through settlement of deposit</w:t>
            </w:r>
          </w:p>
        </w:tc>
        <w:tc>
          <w:tcPr>
            <w:tcW w:w="6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12,000</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Latham Group, Inc. (the “Company” or “Latham”) wholly owns Latham Pool Products, Inc. (“Latham Pool Products”), a designer, manufacturer, and marketer of in-ground residential swimming pools in North America, Australia, and New Zealand. Latham Pool Products offers a portfolio of pools and related products, including in-ground swimming pools, pool covers, and pool liners.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notes have been prepared in accordance with generally accepted accounting principles in the United States (“GAAP”). The Company’s unaudited condensed consolidated financial statements include the accounts of the Company and its subsidiaries. All intercompany balances and transactions have been eliminated in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balance sheet at December 31, 2025 was derived from audited financial statements but does not include all disclosures required by GAAP. The accompanying unaudited condensed consolidated financial statements as of March 28, 2026 and for the fiscal quarters ended March 28, 2026 and March 29, 2025, respectively, have been prepared by the Company pursuant to the rules and regulations of the Securities and Exchange Commission (“SEC”) for interim financial statements. Certain information and footnote disclosures normally included in the financial statements prepared in accordance with GAAP have been condensed or omitted pursuant to such rules and regulations. These condensed consolidated financial statements should be read in conjunction with Latham Group, Inc.’s audited consolidated financial statements and the notes thereto for the fiscal year ended December 31, 2025 included in the Company’s 2025 Annual Report on Form 10-K, filed with the SEC on March 4, 2026 (the “Annual Report”). In the opinion of management, all adjustments, consisting only of normal recurring adjustments necessary for a fair statement of these condensed consolidated financial statements, have been included. The Company’s results of operations for the fiscal quarter ended March 28, 2026 are not necessarily indicative of the results of operations that may be expected for the fiscal year ending December 31, 2026 or other interim periods thereof.</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from those estimates. The Company bases its estimates on historical experience, known trends, and other market-specific or other relevant factors that it believes to be reasonable under the circumstances. Estimates are evaluated on an ongoing basis and revised as there are changes in circumstances, facts, and experience. Changes in estimates are recorded in the period in which they become known.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Although the Company generally has demand for its products throughout the year, its business is seasonal and weather is one of the principal external factors affecting the business. In general, net sales and net income are highest (or net loss is the lowest) during the second and third quarters, representing the peak months of swimming pool use, pool installation, and remodeling and repair activities. Severe weather may also affect net sales in all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Annual Report for a discussion of the Company’s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qualifies as an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w:t>
      </w:r>
    </w:p>
    <w:p>
      <w:pPr>
        <w:spacing w:after="0" w:line="3" w:lineRule="exact"/>
        <w:rPr>
          <w:sz w:val="20"/>
          <w:szCs w:val="20"/>
          <w:color w:val="auto"/>
        </w:rPr>
      </w:pPr>
    </w:p>
    <w:p>
      <w:pPr>
        <w:ind w:right="160" w:firstLine="8"/>
        <w:spacing w:after="0" w:line="260"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longer qualifies as an emerging growth company, which will occur no later than December 31, 2026. The Company may choose to early adopt any new or revised accounting standards whenever such early adoption is permitted for private companies.</w:t>
      </w:r>
    </w:p>
    <w:p>
      <w:pPr>
        <w:spacing w:after="0" w:line="18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(“ASU 2024-03”)), which improves disclosures to provide more detailed information about a business entity’s expenses. ASU 2024-03 is effective for public business entities for fiscal years beginning after December 15, 2026. The amendments should be applied retrospectively to all prior periods presented in the financial statements, with early adoption permitted. The Company is currently evaluating ASU 2024-03 and its potential impact on the condensed consolidated financial statements.</w:t>
      </w:r>
    </w:p>
    <w:p>
      <w:pPr>
        <w:spacing w:after="0" w:line="21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(“ASU 2025-05”), which offers a practical expedient for public companies valuing their current expected credit losses. ASU 2025-05 is effective for public business entities for fiscal years beginning after December 15, 2025 and interim reporting periods within those annual reporting periods. The amendments should be applied prospectively. The Company has evaluated ASU 2025-05 and determined to not adopt the practical expedient.</w:t>
      </w:r>
    </w:p>
    <w:p>
      <w:pPr>
        <w:spacing w:after="0" w:line="20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xml:space="preserve"> (Topic 270) (“ASU 2025-11”), which improves the navigability of the required interim disclosures and clarifying when that guidance is applicable. ASU 2025-11 is effective for public business entities for interim reporting periods within annual fiscal years beginning after December 15, 2027. The amendments should be applied retrospectively to all prior periods presented in the financial statements, with early adoption permitted. The Company is currently evaluating ASU 2025-11 and its potential impact on the condensed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2025, the Company completed the acquisition of two autocover dealers located in New York and Tennessee for a purchase price of</w:t>
      </w:r>
    </w:p>
    <w:p>
      <w:pPr>
        <w:spacing w:after="0" w:line="27"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$5.6 million. In February 2026, the Company completed the acquisition of Freedom Pools in Australia for a purchase price of $15.4 million, including a holdback of $1.6 million that has been accrued for on the Company's condensed consolidated balance sheet. Each of these acquisitions qualified as a business combination. These transactions resulted in an increase to goodwill and intangibles, but were not material to the Company's condensed consolidated financial statements, and as a result, additional business combination disclosures for these acquisitions have been omitted.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—  Inputs, other than quoted prices in active markets, that are observable either directly or indirectly.</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reflect the Company’s own assumptions incorporated into valuation techniques. These valuations require significant judgment.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When there is more than one input at different levels within the hierarchy, the fair value is determined based on the lowest level input that is significant to the fair value measurement in its entirety. Assessment of the significance of a particular input to the fair value measurement in its entirety requires substantial judgment and consideration of factors specific to the asset or liability. Level 3 inputs are inherently difficult to estimate. Changes to these inputs can have significant impact on fair value measurements. Assets and liabilities measured at fair value using Level 3 inputs are based on one or more of the following valuation techniques: market approach, income approach or cost approach. There were no transfers between fair value measurement levels during the fiscal quarters ended March 28, 2026 or March 29,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29"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The Company’s non-financial assets such as goodwill, intangible assets, and property and equipment are measured at fair value upon acquisition and remeasured to fair value when an impairment charge is recognized. Such fair value measurements are based predominantly on Level 2 and Level 3 inputs.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considers the carrying amounts of cash, trade receivables, prepaid expenses and other current assets, accounts payable, and accrued expenses and other current liabilities to approximate fair value because of the short-term maturities of these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Term loans are carried at amortized cost; however, the Company estimates the fair value of term loans for disclosure purposes. The fair value of a term loan is determined using inputs based on observable market data of a non-public exchange, which are classified as Level 2 inputs. The following table sets forth the carrying amount and fair value of the term loans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80" w:type="dxa"/>
            <w:vAlign w:val="bottom"/>
          </w:tcPr>
          <w:p>
            <w:pPr>
              <w:spacing w:after="0"/>
              <w:rPr>
                <w:sz w:val="16"/>
                <w:szCs w:val="16"/>
                <w:color w:val="auto"/>
              </w:rPr>
            </w:pPr>
          </w:p>
        </w:tc>
        <w:tc>
          <w:tcPr>
            <w:tcW w:w="2780" w:type="dxa"/>
            <w:vAlign w:val="bottom"/>
            <w:gridSpan w:val="4"/>
          </w:tcPr>
          <w:p>
            <w:pPr>
              <w:jc w:val="right"/>
              <w:ind w:right="88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50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98"/>
        </w:trPr>
        <w:tc>
          <w:tcPr>
            <w:tcW w:w="5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7"/>
                <w:szCs w:val="17"/>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0"/>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6"/>
                <w:szCs w:val="16"/>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5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280,233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278,482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279,841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279,841</w:t>
            </w:r>
          </w:p>
        </w:tc>
      </w:tr>
      <w:tr>
        <w:trPr>
          <w:trHeight w:val="40"/>
        </w:trPr>
        <w:tc>
          <w:tcPr>
            <w:tcW w:w="50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the interest rate swap on a quarterly basis using Level 2 inputs, including the forward SOFR curve. The fair value is estimated by comparing (i) the present value of all future monthly fixed rate payments versus (ii) the variable payments based on the forward SOFR curve. As of March 28, 2026 and December 31, 2025, the Company’s interest rate swap was a liability of $0.3 million and $1.1 million, respectively, which were recorded within other long-term liabilities on the condensed consolidated balance sheets. See Note 7 for further detail.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carrying amount of goodwill as of March 28, 2026 and as of December 31, 2025 was $161.1 million and $155.2 million, respectively. The change in the carrying value during the fiscal quarter ended March 28, 2026 was primarily driven by the acquisition of Freedom Pools made in the first fiscal quarter of 2026.</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as of March 28, 2026 consisted of the following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50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98"/>
        </w:trPr>
        <w:tc>
          <w:tcPr>
            <w:tcW w:w="5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76"/>
        </w:trPr>
        <w:tc>
          <w:tcPr>
            <w:tcW w:w="5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5"/>
                <w:szCs w:val="15"/>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0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5"/>
                <w:szCs w:val="15"/>
                <w:color w:val="auto"/>
              </w:rPr>
            </w:pPr>
          </w:p>
        </w:tc>
        <w:tc>
          <w:tcPr>
            <w:tcW w:w="118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04"/>
        </w:trPr>
        <w:tc>
          <w:tcPr>
            <w:tcW w:w="5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00" w:type="dxa"/>
            <w:vAlign w:val="bottom"/>
          </w:tcPr>
          <w:p>
            <w:pPr>
              <w:spacing w:after="0"/>
              <w:rPr>
                <w:sz w:val="17"/>
                <w:szCs w:val="17"/>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7"/>
                <w:szCs w:val="17"/>
                <w:color w:val="auto"/>
              </w:rPr>
            </w:pPr>
          </w:p>
        </w:tc>
        <w:tc>
          <w:tcPr>
            <w:tcW w:w="11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5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center"/>
              <w:ind w:left="817"/>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104,925</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Patented technology</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left="717"/>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left="717"/>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9,243</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Pool designs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left="817"/>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8,616</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Dealer relationships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817"/>
              <w:spacing w:after="0"/>
              <w:rPr>
                <w:sz w:val="20"/>
                <w:szCs w:val="20"/>
                <w:color w:val="auto"/>
              </w:rPr>
            </w:pPr>
            <w:r>
              <w:rPr>
                <w:rFonts w:ascii="Times New Roman" w:cs="Times New Roman" w:eastAsia="Times New Roman" w:hAnsi="Times New Roman"/>
                <w:sz w:val="18"/>
                <w:szCs w:val="18"/>
                <w:color w:val="auto"/>
                <w:w w:val="99"/>
              </w:rPr>
              <w:t>(81)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138,447</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Order backlog</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817"/>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48"/>
        </w:trPr>
        <w:tc>
          <w:tcPr>
            <w:tcW w:w="5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center"/>
              <w:ind w:left="817"/>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265,541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recognized $7.2 million of amortization expense related to intangible assets during each of the fiscal quarters ended March 28, 2026 and March 29, 2025.</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changes in the carrying values of dealer relationships, trade names and trademarks and backlog are driven by the acquisition of Freedom Pools made in the fiscal quarter ended March 28, 2026.</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net as of December 31, 2025 consisted of the following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50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5"/>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0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6"/>
                <w:szCs w:val="16"/>
                <w:color w:val="auto"/>
              </w:rPr>
            </w:pPr>
          </w:p>
        </w:tc>
        <w:tc>
          <w:tcPr>
            <w:tcW w:w="118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190"/>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0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6"/>
                <w:szCs w:val="16"/>
                <w:color w:val="auto"/>
              </w:rPr>
            </w:pPr>
          </w:p>
        </w:tc>
        <w:tc>
          <w:tcPr>
            <w:tcW w:w="11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50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105,204</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Patented technology</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Pool designs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8,705</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Dealer relationships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140,354</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Order backlog</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0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268,073</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estimates that amortization expense related to definite-lived intangible assets will be as follows in each of the next five fiscal years and thereafter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Estimated Future</w:t>
            </w:r>
          </w:p>
        </w:tc>
      </w:tr>
      <w:tr>
        <w:trPr>
          <w:trHeight w:val="175"/>
        </w:trPr>
        <w:tc>
          <w:tcPr>
            <w:tcW w:w="9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190"/>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180" w:type="dxa"/>
            <w:vAlign w:val="bottom"/>
          </w:tcPr>
          <w:p>
            <w:pPr>
              <w:spacing w:after="0"/>
              <w:rPr>
                <w:sz w:val="16"/>
                <w:szCs w:val="16"/>
                <w:color w:val="auto"/>
              </w:rPr>
            </w:pPr>
          </w:p>
        </w:tc>
        <w:tc>
          <w:tcPr>
            <w:tcW w:w="14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37"/>
        </w:trPr>
        <w:tc>
          <w:tcPr>
            <w:tcW w:w="9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23"/>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year 2026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22,084</w:t>
            </w:r>
          </w:p>
        </w:tc>
      </w:tr>
      <w:tr>
        <w:trPr>
          <w:trHeight w:val="229"/>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29,137</w:t>
            </w: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28,117</w:t>
            </w:r>
          </w:p>
        </w:tc>
      </w:tr>
      <w:tr>
        <w:trPr>
          <w:trHeight w:val="23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22,747</w:t>
            </w:r>
          </w:p>
        </w:tc>
      </w:tr>
      <w:tr>
        <w:trPr>
          <w:trHeight w:val="22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21,898</w:t>
            </w:r>
          </w:p>
        </w:tc>
      </w:tr>
      <w:tr>
        <w:trPr>
          <w:trHeight w:val="230"/>
        </w:trPr>
        <w:tc>
          <w:tcPr>
            <w:tcW w:w="9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141,558</w:t>
            </w:r>
          </w:p>
        </w:tc>
      </w:tr>
      <w:tr>
        <w:trPr>
          <w:trHeight w:val="248"/>
        </w:trPr>
        <w:tc>
          <w:tcPr>
            <w:tcW w:w="9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265,541</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Inventories, net consisted of the following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00" w:type="dxa"/>
            <w:vAlign w:val="bottom"/>
          </w:tcPr>
          <w:p>
            <w:pPr>
              <w:spacing w:after="0"/>
              <w:rPr>
                <w:sz w:val="16"/>
                <w:szCs w:val="16"/>
                <w:color w:val="auto"/>
              </w:rPr>
            </w:pPr>
          </w:p>
        </w:tc>
        <w:tc>
          <w:tcPr>
            <w:tcW w:w="15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7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50,973</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23,953</w:t>
            </w:r>
          </w:p>
        </w:tc>
      </w:tr>
      <w:tr>
        <w:trPr>
          <w:trHeight w:val="248"/>
        </w:trPr>
        <w:tc>
          <w:tcPr>
            <w:tcW w:w="7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74,926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outstanding long-term debt obligations consisted of the following (in thousands):</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March 28, 2026</w:t>
            </w:r>
          </w:p>
        </w:tc>
      </w:tr>
      <w:tr>
        <w:trPr>
          <w:trHeight w:val="37"/>
        </w:trPr>
        <w:tc>
          <w:tcPr>
            <w:tcW w:w="77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37"/>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Term Loan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284,813</w:t>
            </w:r>
          </w:p>
        </w:tc>
      </w:tr>
      <w:tr>
        <w:trPr>
          <w:trHeight w:val="28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w:t>
            </w:r>
          </w:p>
        </w:tc>
      </w:tr>
      <w:tr>
        <w:trPr>
          <w:trHeight w:val="28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r>
      <w:tr>
        <w:trPr>
          <w:trHeight w:val="40"/>
        </w:trPr>
        <w:tc>
          <w:tcPr>
            <w:tcW w:w="77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37"/>
        </w:trPr>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311,233</w:t>
            </w:r>
          </w:p>
        </w:tc>
      </w:tr>
      <w:tr>
        <w:trPr>
          <w:trHeight w:val="28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Revolving Credit Facility</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w:t>
            </w:r>
          </w:p>
        </w:tc>
      </w:tr>
      <w:tr>
        <w:trPr>
          <w:trHeight w:val="28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40"/>
        </w:trPr>
        <w:tc>
          <w:tcPr>
            <w:tcW w:w="77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71"/>
        </w:trPr>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276,983</w:t>
            </w:r>
          </w:p>
        </w:tc>
      </w:tr>
      <w:tr>
        <w:trPr>
          <w:trHeight w:val="27"/>
        </w:trPr>
        <w:tc>
          <w:tcPr>
            <w:tcW w:w="7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-950595</wp:posOffset>
            </wp:positionV>
            <wp:extent cx="7132320"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-1319530</wp:posOffset>
            </wp:positionV>
            <wp:extent cx="7132320"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129" w:lineRule="exact"/>
        <w:rPr>
          <w:sz w:val="20"/>
          <w:szCs w:val="20"/>
          <w:color w:val="auto"/>
        </w:rPr>
      </w:pPr>
    </w:p>
    <w:p>
      <w:pPr>
        <w:ind w:left="1100" w:hanging="1091"/>
        <w:spacing w:after="0"/>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284,813</w:t>
      </w:r>
    </w:p>
    <w:p>
      <w:pPr>
        <w:spacing w:after="0" w:line="76"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(4,972)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1226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7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279,841</w:t>
      </w:r>
    </w:p>
    <w:p>
      <w:pPr>
        <w:spacing w:after="0" w:line="7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(3,250)</w:t>
      </w:r>
    </w:p>
    <w:p>
      <w:pPr>
        <w:spacing w:after="0" w:line="90" w:lineRule="exact"/>
        <w:rPr>
          <w:sz w:val="20"/>
          <w:szCs w:val="20"/>
          <w:color w:val="auto"/>
        </w:rPr>
      </w:pPr>
    </w:p>
    <w:p>
      <w:pPr>
        <w:ind w:left="1100" w:hanging="1091"/>
        <w:spacing w:after="0"/>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276,591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11226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81" w:lineRule="exact"/>
        <w:rPr>
          <w:sz w:val="20"/>
          <w:szCs w:val="20"/>
          <w:color w:val="auto"/>
        </w:rPr>
      </w:pPr>
    </w:p>
    <w:p>
      <w:pPr>
        <w:sectPr>
          <w:pgSz w:w="11900" w:h="16838" w:orient="portrait"/>
          <w:cols w:equalWidth="0" w:num="2">
            <w:col w:w="9380" w:space="100"/>
            <w:col w:w="1760"/>
          </w:cols>
          <w:pgMar w:left="320" w:top="121" w:right="339" w:bottom="1440" w:gutter="0" w:footer="0" w:header="0"/>
          <w:type w:val="continuous"/>
        </w:sectPr>
      </w:pPr>
    </w:p>
    <w:p>
      <w:pPr>
        <w:spacing w:after="0" w:line="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February 23, 2022, Latham Pool Products and certain subsidiary guarantors entered into a credit and guaranty agreement (the “Credit Agreement”) with Barclays Bank PLC, which provides a senior secured multicurrency revolving line of credit (the “Revolving Credit Facility”) in an initial principal amount of $75.0 million and a U.S. Dollar senior secured term loan facility (the “Term Loan”) in an initial principal amount of $325.0 million.</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is required to meet certain financial covenants, including maintaining specific liquidity measurements. There are also negative covenants, including certain restrictions on the Company’s ability to incur additional indebtedness, create liens, make investments, consolidate or merge with other entities, enter into transactions with affiliates, make prepayments with respect to certain indebtedness and make restricted payments and other distributions.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Revolving Credit Facility may be utilized to finance ongoing general corporate and working capital needs and permits Latham Pool Products to borrow loans in U.S. Dollars, Canadian Dollars, Euros and Australian Dollars. The Revolving Credit Facility matures on February 23, 2027, which is within one year after the date after these financial statements are issued. The Company is currently in discussions to extend the Revolving Credit Facility before it matures. Loans outstanding under the Revolving Credit Facility denominated in U.S. Dollars and Canadian Dollars bear interest, at the borrower’s option, at a rate per annum based on Term SOFR or CDO (each, as defined in the Credit Agreement), as applicable, plus a margin of 3.50%, or at a rate per annum based on the Base Rate or the Canadian Prime Rate (each, as defined in the Credit Agreement), plus a margin of 2.50%. Loans outstanding under the Revolving Credit Facility denominated in Euros or Australian Dollars bear interest based on EURIBOR or the AUD Rate (each, as defined in the Credit Agreement), respectively, plus a margin of 3.50%. A commitment fee accrues on any unused portion of the commitments under the Revolving Credit Facility. The commitment fee is due and payable quarterly in arrears, and initially was 0.375% per annum and thereafter accrues at a rate per annum ranging from 0.25% to 0.50%, depending on the First Lien Net Leverage Ratio (as defined in the Credit Agreement). Borrowings under the Revolving Credit Facility are not subject to amortization and are due at maturity.</w:t>
      </w:r>
    </w:p>
    <w:p>
      <w:pPr>
        <w:spacing w:after="0" w:line="19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incurred debt issuance costs of $0.8 million related to the Revolving Credit Facility. The debt issuance costs were recorded within other assets on the condensed consolidated balance sheet and are being amortized over the life of the Revolving Credit Facility.</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of March 28, 2026, there was $31.0 million in outstanding borrowings on the Revolving Credit Facility and $44.0 million was available for future borrowing.</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the Credit Agreement, Latham Pool Products borrowed $325.0 million in term loans. The Term Loan matures on February 23, 2029. Loans outstanding under the Term Loan bear interest, at the borrower’s option, at a rate per annum based on Term SOFR (each, as defined in the Credit Agreement), plus a margin ranging from 3.75% to 4.00%, depending on the First Lien Net Leverage Ratio, or based on the Base Rate (as defined in the Credit Agreement), plus a margin ranging from 2.75% to 3.00%, depending on the First Lien Net Leverage Ratio. Loans under the Term Loan are subject to scheduled quarterly amortization payments of $812,500, equal to 0.25% of the initial principal amount of the Term Loan. The Term Loan contains customary mandatory prepayment provisions, including requirements to make mandatory prepayments with 50% of any excess cash flow and with 100% of the net cash proceeds from the incurrence of indebtedness not otherwise permitted to be incurred by the covenants, asset sales, and casualty and condemnation events, in each case, subject to customary exceptions.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borrowings as of March 28, 2026 were $280.2 million, net of unamortized discount and debt issuance costs of $4.6 million.</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March 28, 2026, the unamortized debt issuance costs and discount on the Term Loan were $2.5 million and $2.1 million, respectively. The effective interest rate was 8.84% at March 28, 2026, including the impact of the Company’s interest rate swap.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rate risk associated with the Credit Agreement is mitigated partially through interest rate swaps.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entered into an interest rate swap that was executed on March 10, 2023 (the “2023 Interest Rate Swap”). The 2023 Interest Rate Swap had an effective date of May 18, 2023 and a termination date of May 18, 2026. Under the terms of the 2023 Interest Rate Swap, the Company fixed its SOFR borrowing rate at 4.3725% on a notional amount of $161.0 million. The 2023 Interest Rate Swap was not designated as a hedging instrument for accounting purposes (see Note 4).</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Subsequently, the Company entered into a new interest rate swap that was executed on June 4, 2025 (the “2025 Interest Rate Swap”). As part of the 2025 Interest Rate Swap, the Company terminated the 2023 Interest Rate Swap prior to its May 18, 2026 termination date. The 2025 Interest Rate Swap became effective on May 19, 2025 and has a termination date of May 18, 2027. Under the terms of the 2025 Interest Rate Swap, the Company fixed its SOFR borrowing rate at 3.92% on a notional amount of $140.0 million. The 2025 Interest Rate Swap is not designated as a hedging instrument for accounting purposes (see Note 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Maturities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Principal payments due on the outstanding debt, excluding the Revolving Credit Facility, in the next five fiscal years, excluding any potential payments based on excess cash flow levels, are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280" w:type="dxa"/>
            <w:vAlign w:val="bottom"/>
          </w:tcPr>
          <w:p>
            <w:pPr>
              <w:spacing w:after="0"/>
              <w:rPr>
                <w:sz w:val="16"/>
                <w:szCs w:val="16"/>
                <w:color w:val="auto"/>
              </w:rPr>
            </w:pPr>
          </w:p>
        </w:tc>
        <w:tc>
          <w:tcPr>
            <w:tcW w:w="13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Term Loan</w:t>
            </w:r>
          </w:p>
        </w:tc>
      </w:tr>
      <w:tr>
        <w:trPr>
          <w:trHeight w:val="37"/>
        </w:trPr>
        <w:tc>
          <w:tcPr>
            <w:tcW w:w="96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57"/>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year 2026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40"/>
        </w:trPr>
        <w:tc>
          <w:tcPr>
            <w:tcW w:w="9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6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275,063</w:t>
            </w:r>
          </w:p>
        </w:tc>
      </w:tr>
      <w:tr>
        <w:trPr>
          <w:trHeight w:val="40"/>
        </w:trPr>
        <w:tc>
          <w:tcPr>
            <w:tcW w:w="96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302"/>
        </w:trPr>
        <w:tc>
          <w:tcPr>
            <w:tcW w:w="96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284,813</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obligations under the Credit Agreement are guaranteed by certain wholly owned subsidiaries (the “Guarantors”) of the Company that are party to that certain security agreement, which was executed in connection with the Credit Agreement. The obligations under the Credit Agreement are secured by substantially all of the Guarantors’ tangible and intangible assets, including their accounts receivables, equipment, intellectual property, inventory, cash and cash equivalents, deposit accounts, and security accounts. The Credit Agreement also restricts payments and other distributions unless certain conditions are met, which could restrict the Company’s ability to pay dividends. The ownership chain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between Latham Pool Products and the Company consists of a series of holding companies with no material assets, liabilities, or standalone operations other than indirect equity interests in Latham Pool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PRODUCT WARRANTIES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warranty reserve activity consisted of the following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4"/>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37"/>
        </w:trPr>
        <w:tc>
          <w:tcPr>
            <w:tcW w:w="79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99"/>
        </w:trPr>
        <w:tc>
          <w:tcPr>
            <w:tcW w:w="7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20" w:type="dxa"/>
            <w:vAlign w:val="bottom"/>
          </w:tcPr>
          <w:p>
            <w:pPr>
              <w:spacing w:after="0"/>
              <w:rPr>
                <w:sz w:val="17"/>
                <w:szCs w:val="17"/>
                <w:color w:val="auto"/>
              </w:rPr>
            </w:pPr>
          </w:p>
        </w:tc>
        <w:tc>
          <w:tcPr>
            <w:tcW w:w="13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37"/>
        </w:trPr>
        <w:tc>
          <w:tcPr>
            <w:tcW w:w="79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7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fiscal year</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r>
      <w:tr>
        <w:trPr>
          <w:trHeight w:val="28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reserve</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8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Settlements made (in cash or in kind)</w:t>
            </w:r>
          </w:p>
        </w:tc>
        <w:tc>
          <w:tcPr>
            <w:tcW w:w="2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7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fiscal quarter</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80" w:type="dxa"/>
            <w:vAlign w:val="bottom"/>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w:t>
            </w:r>
          </w:p>
        </w:tc>
      </w:tr>
      <w:tr>
        <w:trPr>
          <w:trHeight w:val="20"/>
        </w:trPr>
        <w:tc>
          <w:tcPr>
            <w:tcW w:w="7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leases with initial terms greater than 12 months, the Company considers these right-of-use assets and records the related asset and obligation at the present value of lease payments over the term. For leases with initial terms equal to or less than 12 months, the Company does not consider them as right-of-use assets and instead considers them short-term lease costs that are recognized on a straight-line basis over the lease term. The Company’s leases may include escalation clauses, renewal options, and/or termination options that are factored into the Company’s determination of lease term and lease payments when it is reasonably certain the option will be exercised. The Company elected to take the practical expedient and not separate lease and non-lease components of contracts. The Company estimates an incremental borrowing rate to discount the lease payments based on information available at lease commencement because the implicit rate of the lease is generally not known.</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leases manufacturing facilities, office space, land, and certain vehicles and equipment under operating leases. The Company also leases certain vehicles and equipment under finance leases. The Company determines if an arrangement is a lease at inception. A contract is or contains a lease if the contract conveys the right to control the use of an identified asset for a period of time in exchange for consideration.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fiscal quarters ended March 28, 2026 and March 29, 2025 were as follows (in thousands):</w:t>
      </w:r>
    </w:p>
    <w:p>
      <w:pPr>
        <w:spacing w:after="0" w:line="286" w:lineRule="exact"/>
        <w:rPr>
          <w:sz w:val="20"/>
          <w:szCs w:val="20"/>
          <w:color w:val="auto"/>
        </w:rPr>
      </w:pPr>
    </w:p>
    <w:tbl>
      <w:tblPr>
        <w:tblLayout w:type="fixed"/>
        <w:tblInd w:w="154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37"/>
        </w:trPr>
        <w:tc>
          <w:tcPr>
            <w:tcW w:w="50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00"/>
        </w:trPr>
        <w:tc>
          <w:tcPr>
            <w:tcW w:w="5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8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37"/>
        </w:trPr>
        <w:tc>
          <w:tcPr>
            <w:tcW w:w="50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r>
      <w:tr>
        <w:trPr>
          <w:trHeight w:val="26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80" w:type="dxa"/>
            <w:vAlign w:val="bottom"/>
            <w:shd w:val="clear" w:color="auto" w:fill="CCEEFF"/>
          </w:tcPr>
          <w:p>
            <w:pPr>
              <w:spacing w:after="0"/>
              <w:rPr>
                <w:sz w:val="22"/>
                <w:szCs w:val="22"/>
                <w:color w:val="auto"/>
              </w:rPr>
            </w:pPr>
          </w:p>
        </w:tc>
      </w:tr>
      <w:tr>
        <w:trPr>
          <w:trHeight w:val="28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amortization of assets</w:t>
            </w: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24"/>
                <w:szCs w:val="24"/>
                <w:color w:val="auto"/>
              </w:rPr>
            </w:pPr>
          </w:p>
        </w:tc>
      </w:tr>
      <w:tr>
        <w:trPr>
          <w:trHeight w:val="28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interest on lease liabilities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24"/>
                <w:szCs w:val="24"/>
                <w:color w:val="auto"/>
              </w:rPr>
            </w:pPr>
          </w:p>
        </w:tc>
      </w:tr>
      <w:tr>
        <w:trPr>
          <w:trHeight w:val="28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24"/>
                <w:szCs w:val="24"/>
                <w:color w:val="auto"/>
              </w:rPr>
            </w:pPr>
          </w:p>
        </w:tc>
      </w:tr>
      <w:tr>
        <w:trPr>
          <w:trHeight w:val="28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shd w:val="clear" w:color="auto" w:fill="CCEEFF"/>
          </w:tcPr>
          <w:p>
            <w:pPr>
              <w:spacing w:after="0"/>
              <w:rPr>
                <w:sz w:val="24"/>
                <w:szCs w:val="24"/>
                <w:color w:val="auto"/>
              </w:rPr>
            </w:pPr>
          </w:p>
        </w:tc>
      </w:tr>
      <w:tr>
        <w:trPr>
          <w:trHeight w:val="23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80" w:type="dxa"/>
            <w:vAlign w:val="bottom"/>
          </w:tcPr>
          <w:p>
            <w:pPr>
              <w:spacing w:after="0"/>
              <w:rPr>
                <w:sz w:val="20"/>
                <w:szCs w:val="20"/>
                <w:color w:val="auto"/>
              </w:rPr>
            </w:pPr>
          </w:p>
        </w:tc>
      </w:tr>
      <w:tr>
        <w:trPr>
          <w:trHeight w:val="21"/>
        </w:trPr>
        <w:tc>
          <w:tcPr>
            <w:tcW w:w="5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and finance lease right-of-use assets and lease-related liabilities as of March 28, 2026 and December 31, 2025 were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80" w:type="dxa"/>
            <w:vAlign w:val="bottom"/>
          </w:tcPr>
          <w:p>
            <w:pPr>
              <w:spacing w:after="0"/>
              <w:rPr>
                <w:sz w:val="16"/>
                <w:szCs w:val="16"/>
                <w:color w:val="auto"/>
              </w:rPr>
            </w:pPr>
          </w:p>
        </w:tc>
        <w:tc>
          <w:tcPr>
            <w:tcW w:w="15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8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Classification</w:t>
            </w:r>
          </w:p>
        </w:tc>
      </w:tr>
      <w:tr>
        <w:trPr>
          <w:trHeight w:val="37"/>
        </w:trPr>
        <w:tc>
          <w:tcPr>
            <w:tcW w:w="39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r>
      <w:tr>
        <w:trPr>
          <w:trHeight w:val="250"/>
        </w:trPr>
        <w:tc>
          <w:tcPr>
            <w:tcW w:w="3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840" w:type="dxa"/>
            <w:vAlign w:val="bottom"/>
            <w:shd w:val="clear" w:color="auto" w:fill="CCEEFF"/>
          </w:tcPr>
          <w:p>
            <w:pPr>
              <w:spacing w:after="0"/>
              <w:rPr>
                <w:sz w:val="21"/>
                <w:szCs w:val="2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right-of-use assets: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840" w:type="dxa"/>
            <w:vAlign w:val="bottom"/>
          </w:tcPr>
          <w:p>
            <w:pPr>
              <w:spacing w:after="0"/>
              <w:rPr>
                <w:sz w:val="19"/>
                <w:szCs w:val="19"/>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30,723</w:t>
            </w:r>
          </w:p>
        </w:tc>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r>
      <w:tr>
        <w:trPr>
          <w:trHeight w:val="229"/>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3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assets</w:t>
            </w: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right-of-use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33,437</w:t>
            </w:r>
          </w:p>
        </w:tc>
        <w:tc>
          <w:tcPr>
            <w:tcW w:w="3840" w:type="dxa"/>
            <w:vAlign w:val="bottom"/>
            <w:tcBorders>
              <w:bottom w:val="single" w:sz="8" w:color="CCEEFF"/>
            </w:tcBorders>
            <w:shd w:val="clear" w:color="auto" w:fill="CCEEFF"/>
          </w:tcPr>
          <w:p>
            <w:pPr>
              <w:spacing w:after="0"/>
              <w:rPr>
                <w:sz w:val="21"/>
                <w:szCs w:val="2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r>
      <w:tr>
        <w:trPr>
          <w:trHeight w:val="217"/>
        </w:trPr>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Lease-related 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840" w:type="dxa"/>
            <w:vAlign w:val="bottom"/>
            <w:shd w:val="clear" w:color="auto" w:fill="CCEEFF"/>
          </w:tcPr>
          <w:p>
            <w:pPr>
              <w:spacing w:after="0"/>
              <w:rPr>
                <w:sz w:val="19"/>
                <w:szCs w:val="19"/>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840" w:type="dxa"/>
            <w:vAlign w:val="bottom"/>
          </w:tcPr>
          <w:p>
            <w:pPr>
              <w:spacing w:after="0"/>
              <w:rPr>
                <w:sz w:val="19"/>
                <w:szCs w:val="19"/>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w:t>
            </w:r>
          </w:p>
        </w:tc>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operating lease liabilities</w:t>
            </w: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840" w:type="dxa"/>
            <w:vAlign w:val="bottom"/>
            <w:shd w:val="clear" w:color="auto" w:fill="CCEEFF"/>
          </w:tcPr>
          <w:p>
            <w:pPr>
              <w:spacing w:after="0"/>
              <w:rPr>
                <w:sz w:val="19"/>
                <w:szCs w:val="19"/>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23,964</w:t>
            </w:r>
          </w:p>
        </w:tc>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Non-current operating lease liabilities</w:t>
            </w: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33,270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34,534</w:t>
            </w:r>
          </w:p>
        </w:tc>
        <w:tc>
          <w:tcPr>
            <w:tcW w:w="3840" w:type="dxa"/>
            <w:vAlign w:val="bottom"/>
          </w:tcPr>
          <w:p>
            <w:pPr>
              <w:spacing w:after="0"/>
              <w:rPr>
                <w:sz w:val="19"/>
                <w:szCs w:val="19"/>
                <w:color w:val="auto"/>
              </w:rPr>
            </w:pPr>
          </w:p>
        </w:tc>
      </w:tr>
      <w:tr>
        <w:trPr>
          <w:trHeight w:val="21"/>
        </w:trPr>
        <w:tc>
          <w:tcPr>
            <w:tcW w:w="3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supplemental information related to leases as of March 28, 2026 and December 31,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098030" cy="179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98030" cy="179705"/>
                    </a:xfrm>
                    <a:prstGeom prst="rect">
                      <a:avLst/>
                    </a:prstGeom>
                    <a:noFill/>
                  </pic:spPr>
                </pic:pic>
              </a:graphicData>
            </a:graphic>
          </wp:anchor>
        </w:drawing>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098030" cy="180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98030" cy="180340"/>
                    </a:xfrm>
                    <a:prstGeom prst="rect">
                      <a:avLst/>
                    </a:prstGeom>
                    <a:noFill/>
                  </pic:spPr>
                </pic:pic>
              </a:graphicData>
            </a:graphic>
          </wp:anchor>
        </w:drawing>
      </w:r>
    </w:p>
    <w:p>
      <w:pPr>
        <w:spacing w:after="0" w:line="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Operating leases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098030" cy="179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98030" cy="179705"/>
                    </a:xfrm>
                    <a:prstGeom prst="rect">
                      <a:avLst/>
                    </a:prstGeom>
                    <a:noFill/>
                  </pic:spPr>
                </pic:pic>
              </a:graphicData>
            </a:graphic>
          </wp:anchor>
        </w:drawing>
      </w:r>
    </w:p>
    <w:p>
      <w:pPr>
        <w:spacing w:after="0" w:line="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Finance leases</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Operating leases</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4"/>
          <w:szCs w:val="14"/>
          <w:b w:val="1"/>
          <w:bCs w:val="1"/>
          <w:color w:val="auto"/>
        </w:rPr>
        <w:t>March 28, 2026</w:t>
      </w:r>
      <w:r>
        <w:rPr>
          <w:sz w:val="20"/>
          <w:szCs w:val="20"/>
          <w:color w:val="auto"/>
        </w:rPr>
        <w:tab/>
      </w:r>
      <w:r>
        <w:rPr>
          <w:rFonts w:ascii="Times New Roman" w:cs="Times New Roman" w:eastAsia="Times New Roman" w:hAnsi="Times New Roman"/>
          <w:sz w:val="14"/>
          <w:szCs w:val="14"/>
          <w:b w:val="1"/>
          <w:bCs w:val="1"/>
          <w:color w:val="auto"/>
        </w:rPr>
        <w:t>December 31, 2025</w:t>
      </w:r>
    </w:p>
    <w:p>
      <w:pPr>
        <w:spacing w:after="0" w:line="399" w:lineRule="exact"/>
        <w:rPr>
          <w:sz w:val="20"/>
          <w:szCs w:val="20"/>
          <w:color w:val="auto"/>
        </w:rPr>
      </w:pPr>
    </w:p>
    <w:p>
      <w:pPr>
        <w:jc w:val="right"/>
        <w:ind w:right="80"/>
        <w:spacing w:after="0"/>
        <w:tabs>
          <w:tab w:leader="none" w:pos="20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3.6</w:t>
      </w:r>
    </w:p>
    <w:p>
      <w:pPr>
        <w:spacing w:after="0" w:line="77" w:lineRule="exact"/>
        <w:rPr>
          <w:sz w:val="20"/>
          <w:szCs w:val="20"/>
          <w:color w:val="auto"/>
        </w:rPr>
      </w:pPr>
    </w:p>
    <w:p>
      <w:pPr>
        <w:jc w:val="right"/>
        <w:ind w:right="80"/>
        <w:spacing w:after="0"/>
        <w:tabs>
          <w:tab w:leader="none" w:pos="20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7"/>
          <w:szCs w:val="17"/>
          <w:color w:val="auto"/>
        </w:rPr>
        <w:t>4.9</w:t>
      </w:r>
    </w:p>
    <w:p>
      <w:pPr>
        <w:spacing w:after="0" w:line="360" w:lineRule="exact"/>
        <w:rPr>
          <w:sz w:val="20"/>
          <w:szCs w:val="20"/>
          <w:color w:val="auto"/>
        </w:rPr>
      </w:pPr>
    </w:p>
    <w:p>
      <w:pPr>
        <w:jc w:val="right"/>
        <w:ind w:right="80"/>
        <w:spacing w:after="0"/>
        <w:tabs>
          <w:tab w:leader="none" w:pos="400" w:val="left"/>
        </w:tabs>
        <w:rPr>
          <w:sz w:val="20"/>
          <w:szCs w:val="20"/>
          <w:color w:val="auto"/>
        </w:rPr>
      </w:pPr>
      <w:r>
        <w:rPr>
          <w:rFonts w:ascii="Times New Roman" w:cs="Times New Roman" w:eastAsia="Times New Roman" w:hAnsi="Times New Roman"/>
          <w:sz w:val="18"/>
          <w:szCs w:val="18"/>
          <w:color w:val="auto"/>
        </w:rPr>
        <w:t>8.0 %</w:t>
      </w:r>
      <w:r>
        <w:rPr>
          <w:sz w:val="20"/>
          <w:szCs w:val="20"/>
          <w:color w:val="auto"/>
        </w:rPr>
        <w:tab/>
      </w:r>
      <w:r>
        <w:rPr>
          <w:rFonts w:ascii="Times New Roman" w:cs="Times New Roman" w:eastAsia="Times New Roman" w:hAnsi="Times New Roman"/>
          <w:sz w:val="17"/>
          <w:szCs w:val="17"/>
          <w:color w:val="auto"/>
        </w:rPr>
        <w:t>8.1 %</w:t>
      </w:r>
    </w:p>
    <w:p>
      <w:pPr>
        <w:spacing w:after="0" w:line="77" w:lineRule="exact"/>
        <w:rPr>
          <w:sz w:val="20"/>
          <w:szCs w:val="20"/>
          <w:color w:val="auto"/>
        </w:rPr>
      </w:pPr>
    </w:p>
    <w:p>
      <w:pPr>
        <w:jc w:val="right"/>
        <w:ind w:right="80"/>
        <w:spacing w:after="0"/>
        <w:tabs>
          <w:tab w:leader="none" w:pos="400" w:val="left"/>
        </w:tabs>
        <w:rPr>
          <w:sz w:val="20"/>
          <w:szCs w:val="20"/>
          <w:color w:val="auto"/>
        </w:rPr>
      </w:pPr>
      <w:r>
        <w:rPr>
          <w:rFonts w:ascii="Times New Roman" w:cs="Times New Roman" w:eastAsia="Times New Roman" w:hAnsi="Times New Roman"/>
          <w:sz w:val="18"/>
          <w:szCs w:val="18"/>
          <w:color w:val="auto"/>
        </w:rPr>
        <w:t>6.3 %</w:t>
      </w:r>
      <w:r>
        <w:rPr>
          <w:sz w:val="20"/>
          <w:szCs w:val="20"/>
          <w:color w:val="auto"/>
        </w:rPr>
        <w:tab/>
      </w:r>
      <w:r>
        <w:rPr>
          <w:rFonts w:ascii="Times New Roman" w:cs="Times New Roman" w:eastAsia="Times New Roman" w:hAnsi="Times New Roman"/>
          <w:sz w:val="17"/>
          <w:szCs w:val="17"/>
          <w:color w:val="auto"/>
        </w:rPr>
        <w:t>5.9 %</w:t>
      </w:r>
    </w:p>
    <w:p>
      <w:pPr>
        <w:spacing w:after="0" w:line="200" w:lineRule="exact"/>
        <w:rPr>
          <w:sz w:val="20"/>
          <w:szCs w:val="20"/>
          <w:color w:val="auto"/>
        </w:rPr>
      </w:pPr>
    </w:p>
    <w:p>
      <w:pPr>
        <w:sectPr>
          <w:pgSz w:w="11900" w:h="16838" w:orient="portrait"/>
          <w:cols w:equalWidth="0" w:num="2">
            <w:col w:w="7160" w:space="720"/>
            <w:col w:w="3360"/>
          </w:cols>
          <w:pgMar w:left="320" w:top="121" w:right="339" w:bottom="1440" w:gutter="0" w:footer="0" w:header="0"/>
          <w:type w:val="continuous"/>
        </w:sectPr>
      </w:pPr>
    </w:p>
    <w:p>
      <w:pPr>
        <w:spacing w:after="0" w:line="1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presents supplemental information related to the cash flows for operating leases recorded on the condensed consolidated statements of cash flows (in thousands):</w:t>
      </w:r>
    </w:p>
    <w:p>
      <w:pPr>
        <w:spacing w:after="0" w:line="223"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4"/>
          <w:szCs w:val="14"/>
          <w:b w:val="1"/>
          <w:bCs w:val="1"/>
          <w:color w:val="auto"/>
        </w:rPr>
        <w:t>Fiscal 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41910</wp:posOffset>
            </wp:positionV>
            <wp:extent cx="20828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76" w:lineRule="exact"/>
        <w:rPr>
          <w:sz w:val="20"/>
          <w:szCs w:val="20"/>
          <w:color w:val="auto"/>
        </w:rPr>
      </w:pPr>
    </w:p>
    <w:p>
      <w:pPr>
        <w:ind w:left="8280"/>
        <w:spacing w:after="0"/>
        <w:tabs>
          <w:tab w:leader="none" w:pos="9940" w:val="left"/>
        </w:tabs>
        <w:rPr>
          <w:sz w:val="20"/>
          <w:szCs w:val="20"/>
          <w:color w:val="auto"/>
        </w:rPr>
      </w:pPr>
      <w:r>
        <w:rPr>
          <w:rFonts w:ascii="Times New Roman" w:cs="Times New Roman" w:eastAsia="Times New Roman" w:hAnsi="Times New Roman"/>
          <w:sz w:val="14"/>
          <w:szCs w:val="14"/>
          <w:b w:val="1"/>
          <w:bCs w:val="1"/>
          <w:color w:val="auto"/>
        </w:rPr>
        <w:t>March 28, 2026</w:t>
      </w:r>
      <w:r>
        <w:rPr>
          <w:sz w:val="20"/>
          <w:szCs w:val="20"/>
          <w:color w:val="auto"/>
        </w:rPr>
        <w:tab/>
      </w:r>
      <w:r>
        <w:rPr>
          <w:rFonts w:ascii="Times New Roman" w:cs="Times New Roman" w:eastAsia="Times New Roman" w:hAnsi="Times New Roman"/>
          <w:sz w:val="14"/>
          <w:szCs w:val="14"/>
          <w:b w:val="1"/>
          <w:bCs w:val="1"/>
          <w:color w:val="auto"/>
        </w:rPr>
        <w:t>March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9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p>
      <w:pPr>
        <w:ind w:left="100"/>
        <w:spacing w:after="0"/>
        <w:tabs>
          <w:tab w:leader="none" w:pos="7960" w:val="left"/>
          <w:tab w:leader="none" w:pos="9060" w:val="left"/>
          <w:tab w:leader="none" w:pos="9640" w:val="left"/>
          <w:tab w:leader="none" w:pos="10740" w:val="left"/>
        </w:tabs>
        <w:rPr>
          <w:sz w:val="20"/>
          <w:szCs w:val="20"/>
          <w:color w:val="auto"/>
        </w:rPr>
      </w:pPr>
      <w:r>
        <w:rPr>
          <w:rFonts w:ascii="Times New Roman" w:cs="Times New Roman" w:eastAsia="Times New Roman" w:hAnsi="Times New Roman"/>
          <w:sz w:val="18"/>
          <w:szCs w:val="18"/>
          <w:color w:val="auto"/>
        </w:rPr>
        <w:t>Operating cash flows for operating leases</w:t>
      </w:r>
      <w:r>
        <w:rPr>
          <w:sz w:val="20"/>
          <w:szCs w:val="20"/>
          <w:color w:val="auto"/>
        </w:rPr>
        <w:tab/>
      </w:r>
      <w:r>
        <w:rPr>
          <w:rFonts w:ascii="Times New Roman" w:cs="Times New Roman" w:eastAsia="Times New Roman" w:hAnsi="Times New Roman"/>
          <w:sz w:val="36"/>
          <w:szCs w:val="36"/>
          <w:color w:val="auto"/>
          <w:vertAlign w:val="subscript"/>
        </w:rPr>
        <w:t>$</w:t>
      </w:r>
      <w:r>
        <w:rPr>
          <w:sz w:val="20"/>
          <w:szCs w:val="20"/>
          <w:color w:val="auto"/>
        </w:rPr>
        <w:tab/>
      </w:r>
      <w:r>
        <w:rPr>
          <w:rFonts w:ascii="Times New Roman" w:cs="Times New Roman" w:eastAsia="Times New Roman" w:hAnsi="Times New Roman"/>
          <w:sz w:val="36"/>
          <w:szCs w:val="36"/>
          <w:color w:val="auto"/>
          <w:vertAlign w:val="subscript"/>
        </w:rPr>
        <w:t>1,807</w:t>
      </w:r>
      <w:r>
        <w:rPr>
          <w:rFonts w:ascii="Times New Roman" w:cs="Times New Roman" w:eastAsia="Times New Roman" w:hAnsi="Times New Roman"/>
          <w:sz w:val="36"/>
          <w:szCs w:val="36"/>
          <w:color w:val="auto"/>
        </w:rPr>
        <w:tab/>
      </w:r>
      <w:r>
        <w:rPr>
          <w:rFonts w:ascii="Times New Roman" w:cs="Times New Roman" w:eastAsia="Times New Roman" w:hAnsi="Times New Roman"/>
          <w:sz w:val="36"/>
          <w:szCs w:val="36"/>
          <w:color w:val="auto"/>
          <w:vertAlign w:val="subscript"/>
        </w:rPr>
        <w:t>$</w:t>
      </w:r>
      <w:r>
        <w:rPr>
          <w:sz w:val="20"/>
          <w:szCs w:val="20"/>
          <w:color w:val="auto"/>
        </w:rPr>
        <w:tab/>
      </w:r>
      <w:r>
        <w:rPr>
          <w:rFonts w:ascii="Times New Roman" w:cs="Times New Roman" w:eastAsia="Times New Roman" w:hAnsi="Times New Roman"/>
          <w:sz w:val="26"/>
          <w:szCs w:val="26"/>
          <w:color w:val="auto"/>
          <w:vertAlign w:val="subscript"/>
        </w:rPr>
        <w:t>1,829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fiscal year maturities of operating lease liabilities as of March 28, 2026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2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380" w:type="dxa"/>
            <w:vAlign w:val="bottom"/>
          </w:tcPr>
          <w:p>
            <w:pPr>
              <w:spacing w:after="0"/>
              <w:rPr>
                <w:sz w:val="16"/>
                <w:szCs w:val="16"/>
                <w:color w:val="auto"/>
              </w:rPr>
            </w:pPr>
          </w:p>
        </w:tc>
        <w:tc>
          <w:tcPr>
            <w:tcW w:w="122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62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year 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7,369</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7,951</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w:t>
            </w:r>
          </w:p>
        </w:tc>
      </w:tr>
      <w:tr>
        <w:trPr>
          <w:trHeight w:val="229"/>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7,939</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39,738</w:t>
            </w:r>
          </w:p>
        </w:tc>
      </w:tr>
      <w:tr>
        <w:trPr>
          <w:trHeight w:val="229"/>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(6,468)</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33,270</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SALES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disaggregation of net sales by product line (in thousands):</w:t>
      </w:r>
    </w:p>
    <w:p>
      <w:pPr>
        <w:spacing w:after="0" w:line="286" w:lineRule="exact"/>
        <w:rPr>
          <w:sz w:val="20"/>
          <w:szCs w:val="20"/>
          <w:color w:val="auto"/>
        </w:rPr>
      </w:pPr>
    </w:p>
    <w:tbl>
      <w:tblPr>
        <w:tblLayout w:type="fixed"/>
        <w:tblInd w:w="154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37"/>
        </w:trPr>
        <w:tc>
          <w:tcPr>
            <w:tcW w:w="50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00"/>
        </w:trPr>
        <w:tc>
          <w:tcPr>
            <w:tcW w:w="5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8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37"/>
        </w:trPr>
        <w:tc>
          <w:tcPr>
            <w:tcW w:w="50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r>
      <w:tr>
        <w:trPr>
          <w:trHeight w:val="22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In-ground Swimming Pools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57,734</w:t>
            </w:r>
          </w:p>
        </w:tc>
        <w:tc>
          <w:tcPr>
            <w:tcW w:w="80" w:type="dxa"/>
            <w:vAlign w:val="bottom"/>
            <w:shd w:val="clear" w:color="auto" w:fill="CCEEFF"/>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Covers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31,611</w:t>
            </w:r>
          </w:p>
        </w:tc>
        <w:tc>
          <w:tcPr>
            <w:tcW w:w="80" w:type="dxa"/>
            <w:vAlign w:val="bottom"/>
          </w:tcPr>
          <w:p>
            <w:pPr>
              <w:spacing w:after="0"/>
              <w:rPr>
                <w:sz w:val="19"/>
                <w:szCs w:val="19"/>
                <w:color w:val="auto"/>
              </w:rPr>
            </w:pPr>
          </w:p>
        </w:tc>
      </w:tr>
      <w:tr>
        <w:trPr>
          <w:trHeight w:val="22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Liners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22,075</w:t>
            </w:r>
          </w:p>
        </w:tc>
        <w:tc>
          <w:tcPr>
            <w:tcW w:w="80" w:type="dxa"/>
            <w:vAlign w:val="bottom"/>
            <w:shd w:val="clear" w:color="auto" w:fill="CCEEFF"/>
          </w:tcPr>
          <w:p>
            <w:pPr>
              <w:spacing w:after="0"/>
              <w:rPr>
                <w:sz w:val="19"/>
                <w:szCs w:val="19"/>
                <w:color w:val="auto"/>
              </w:rPr>
            </w:pPr>
          </w:p>
        </w:tc>
      </w:tr>
      <w:tr>
        <w:trPr>
          <w:trHeight w:val="223"/>
        </w:trPr>
        <w:tc>
          <w:tcPr>
            <w:tcW w:w="50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117,315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111,420</w:t>
            </w:r>
          </w:p>
        </w:tc>
        <w:tc>
          <w:tcPr>
            <w:tcW w:w="80" w:type="dxa"/>
            <w:vAlign w:val="bottom"/>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the fiscal quarter ended March 28, 2026 was 24.8%, compared to 40.6% for the fiscal quarter ended March 29, 2025. The differences between the U.S. federal statutory income tax rate and the Company's effective income tax rates for the fiscal quarter ended March 28, 2026 and the fiscal quarter ended March 29, 2025 were primarily attributable to the discrete impact of stock-based compensation expense for which there is no associated tax benefit and the effects of branch accounting for Latham Canada.</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maintained the 21% corporate tax rate and makes permanent many of the beneficial expired and expiring tax provisions originally enacted in the Tax Cuts and Jobs Act of 2017, including the immediate expensing of domestic research and development expenditures, more favorable interest deductions and 100% bonus depreciation with effective dates during the year ended December 31, 2025. Revisions to the international tax framework are effective in the year ending December 31, 2026. The OBBBA did not have a material impact on the Company's effective tax 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April 12, 2021, the Company’s stockholders approved the Latham Group, Inc. 2021 Omnibus Equity Incentive Plan (the “2021 Omnibus Equity Plan”), which became effective on April 22, 2021, and was further amended on May 2, 2023 to, among other things, increase the maximum aggregate number of shares reserved for issuance under the 2021 Omnibus Equity Plan to 21,170,212 shares. The 2021 Omnibus Equity Plan provides for the issuance of incentive stock options, non-qualified stock options, stock appreciation rights, restricted stock, restricted stock units, performance stock units and other stock-based and cash-based awards.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stock-based compensation expense (in thousands):</w:t>
      </w:r>
    </w:p>
    <w:p>
      <w:pPr>
        <w:spacing w:after="0" w:line="286" w:lineRule="exact"/>
        <w:rPr>
          <w:sz w:val="20"/>
          <w:szCs w:val="20"/>
          <w:color w:val="auto"/>
        </w:rPr>
      </w:pPr>
    </w:p>
    <w:tbl>
      <w:tblPr>
        <w:tblLayout w:type="fixed"/>
        <w:tblInd w:w="154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37"/>
        </w:trPr>
        <w:tc>
          <w:tcPr>
            <w:tcW w:w="50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99"/>
        </w:trPr>
        <w:tc>
          <w:tcPr>
            <w:tcW w:w="5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8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37"/>
        </w:trPr>
        <w:tc>
          <w:tcPr>
            <w:tcW w:w="50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r>
      <w:tr>
        <w:trPr>
          <w:trHeight w:val="22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80" w:type="dxa"/>
            <w:vAlign w:val="bottom"/>
            <w:shd w:val="clear" w:color="auto" w:fill="CCEEFF"/>
          </w:tcPr>
          <w:p>
            <w:pPr>
              <w:spacing w:after="0"/>
              <w:rPr>
                <w:sz w:val="19"/>
                <w:szCs w:val="19"/>
                <w:color w:val="auto"/>
              </w:rPr>
            </w:pPr>
          </w:p>
        </w:tc>
      </w:tr>
    </w:tbl>
    <w:p>
      <w:pPr>
        <w:spacing w:after="0" w:line="29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March 28, 2026, total unrecognized stock-based compensation expense related to all unvested stock-based awards was $14.1 million, which is expected to be recognized over a weighted-average period of 1.8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Company’s restricted stock units activity during the fiscal quarter ended March 28, 2026:</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89"/>
        </w:trPr>
        <w:tc>
          <w:tcPr>
            <w:tcW w:w="79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90"/>
        </w:trPr>
        <w:tc>
          <w:tcPr>
            <w:tcW w:w="7960" w:type="dxa"/>
            <w:vAlign w:val="bottom"/>
          </w:tcPr>
          <w:p>
            <w:pPr>
              <w:spacing w:after="0"/>
              <w:rPr>
                <w:sz w:val="16"/>
                <w:szCs w:val="16"/>
                <w:color w:val="auto"/>
              </w:rPr>
            </w:pPr>
          </w:p>
        </w:tc>
        <w:tc>
          <w:tcPr>
            <w:tcW w:w="168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13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37"/>
        </w:trPr>
        <w:tc>
          <w:tcPr>
            <w:tcW w:w="796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5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2026</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3,335,594</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737,053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40"/>
        </w:trPr>
        <w:tc>
          <w:tcPr>
            <w:tcW w:w="79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6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(1,005,086)</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(279,273)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40"/>
        </w:trPr>
        <w:tc>
          <w:tcPr>
            <w:tcW w:w="796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96"/>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28, 2026</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2,788,288</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Company’s stock options activity during the fiscal quarter ended March 28, 2026:</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15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6"/>
                <w:szCs w:val="16"/>
                <w:color w:val="auto"/>
              </w:rPr>
            </w:pPr>
          </w:p>
        </w:tc>
        <w:tc>
          <w:tcPr>
            <w:tcW w:w="128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90"/>
        </w:trPr>
        <w:tc>
          <w:tcPr>
            <w:tcW w:w="50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 Term</w:t>
            </w:r>
          </w:p>
        </w:tc>
        <w:tc>
          <w:tcPr>
            <w:tcW w:w="200" w:type="dxa"/>
            <w:vAlign w:val="bottom"/>
          </w:tcPr>
          <w:p>
            <w:pPr>
              <w:spacing w:after="0"/>
              <w:rPr>
                <w:sz w:val="16"/>
                <w:szCs w:val="16"/>
                <w:color w:val="auto"/>
              </w:rPr>
            </w:pPr>
          </w:p>
        </w:tc>
        <w:tc>
          <w:tcPr>
            <w:tcW w:w="12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0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7"/>
                <w:szCs w:val="17"/>
                <w:color w:val="auto"/>
              </w:rPr>
            </w:pPr>
          </w:p>
        </w:tc>
        <w:tc>
          <w:tcPr>
            <w:tcW w:w="12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50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1,150,712</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28, 2026</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1,150,712</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tcPr>
          <w:p>
            <w:pPr>
              <w:spacing w:after="0"/>
              <w:rPr>
                <w:sz w:val="20"/>
                <w:szCs w:val="20"/>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March 28, 2026</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1,150,712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Options exercisable at March 28, 2026</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20" w:type="dxa"/>
            <w:vAlign w:val="bottom"/>
            <w:vMerge w:val="continue"/>
          </w:tcPr>
          <w:p>
            <w:pPr>
              <w:spacing w:after="0"/>
              <w:rPr>
                <w:sz w:val="17"/>
                <w:szCs w:val="17"/>
                <w:color w:val="auto"/>
              </w:rPr>
            </w:pPr>
          </w:p>
        </w:tc>
        <w:tc>
          <w:tcPr>
            <w:tcW w:w="1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1,091,290</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15.28</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Company’s stock appreciation rights activity during the fiscal quarter ended March 28, 2026:</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15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6"/>
                <w:szCs w:val="16"/>
                <w:color w:val="auto"/>
              </w:rPr>
            </w:pPr>
          </w:p>
        </w:tc>
        <w:tc>
          <w:tcPr>
            <w:tcW w:w="128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90"/>
        </w:trPr>
        <w:tc>
          <w:tcPr>
            <w:tcW w:w="50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080" w:type="dxa"/>
            <w:vAlign w:val="bottom"/>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 Term</w:t>
            </w:r>
          </w:p>
        </w:tc>
        <w:tc>
          <w:tcPr>
            <w:tcW w:w="200" w:type="dxa"/>
            <w:vAlign w:val="bottom"/>
          </w:tcPr>
          <w:p>
            <w:pPr>
              <w:spacing w:after="0"/>
              <w:rPr>
                <w:sz w:val="16"/>
                <w:szCs w:val="16"/>
                <w:color w:val="auto"/>
              </w:rPr>
            </w:pPr>
          </w:p>
        </w:tc>
        <w:tc>
          <w:tcPr>
            <w:tcW w:w="12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0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7"/>
                <w:szCs w:val="17"/>
                <w:color w:val="auto"/>
              </w:rPr>
            </w:pPr>
          </w:p>
        </w:tc>
        <w:tc>
          <w:tcPr>
            <w:tcW w:w="12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50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514,503</w:t>
            </w: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3.12</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907,591</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6.44</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4"/>
                <w:szCs w:val="24"/>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28, 2026</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1,422,094</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5.24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March 28, 2026</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20" w:type="dxa"/>
            <w:vAlign w:val="bottom"/>
            <w:vMerge w:val="continue"/>
          </w:tcPr>
          <w:p>
            <w:pPr>
              <w:spacing w:after="0"/>
              <w:rPr>
                <w:sz w:val="17"/>
                <w:szCs w:val="17"/>
                <w:color w:val="auto"/>
              </w:rPr>
            </w:pPr>
          </w:p>
        </w:tc>
        <w:tc>
          <w:tcPr>
            <w:tcW w:w="1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1,422,094</w:t>
            </w:r>
          </w:p>
        </w:tc>
        <w:tc>
          <w:tcPr>
            <w:tcW w:w="80" w:type="dxa"/>
            <w:vAlign w:val="bottom"/>
          </w:tcPr>
          <w:p>
            <w:pPr>
              <w:spacing w:after="0"/>
              <w:rPr>
                <w:sz w:val="17"/>
                <w:szCs w:val="17"/>
                <w:color w:val="auto"/>
              </w:rPr>
            </w:pPr>
          </w:p>
        </w:tc>
        <w:tc>
          <w:tcPr>
            <w:tcW w:w="1080" w:type="dxa"/>
            <w:vAlign w:val="bottom"/>
            <w:tcBorders>
              <w:bottom w:val="single" w:sz="8" w:color="auto"/>
            </w:tcBorders>
          </w:tcPr>
          <w:p>
            <w:pPr>
              <w:jc w:val="right"/>
              <w:ind w:right="879"/>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5.24</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appreciation rights exercisable at March 28, 2026</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359,679</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appreciation rights is calculated as the difference between the strike price of the stock appreciation rights and the fair value of the Company’s common stock for those stock appreciation rights that had strike prices lower than the fair value of the Company’s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16"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During the year ended December 31, 2025, the Compensation Committee of the Board approved the grant of performance stock units (“PSUs”) as a portion of the annual equity award to the Company’s senior management. The 2025 PSU program includes three equal tranches of grants. Each tranche has an annual performance period, with performance goals established for the first tranche of PSUs granted in 2025 in dollars, and second and third tranches of PSUs granted or to be granted in 2026 and 2027, respectively, as a percentage of growth from actual performance in the prior year. Any earned PSUs cliff vest on the third anniversary of the grant date for the first tranche. Thirty-three percent of the target number of PSUs awarded on each grant date will be earned at 0% to 200% of the target number of PSUs based on the Company’s achievement of the applicable Adjusted EBITDA performance goal (with 100% of PSUs being earned at target performance, and linear interpolation between threshold and target and maximum performance) as defined in the award agreement, for each year of the three-year performance period beginning on January 1, 2025 and ending December 31, 2027. The first and second tranches of PSUs under the 2025 PSU program were granted in March 2025 and 2026, respectively.</w:t>
      </w:r>
    </w:p>
    <w:p>
      <w:pPr>
        <w:spacing w:after="0" w:line="212"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8"/>
          <w:szCs w:val="18"/>
          <w:color w:val="auto"/>
        </w:rPr>
        <w:t>During the quarter ended March 28, 2026, an additional round of PSU grants were approved. The 2026 PSU program includes three equal tranches of grants. Each tranche has an annual performance period, with performance goals established for the first tranche of PSUs granted in 2026 in dollars, and second and third tranches of PSUs to be granted in 2027 and 2028 as a percentage of growth from actual performance in the prior year. Any earned PSUs cliff vest on the third anniversary of the grant date for the first tranche. Thirty-three percent of the target number of PSUs awarded on each grant date will be earned at 0% to 200% of the target number of PSUs based on the Company’s achievement of the applicable Adjusted EBITDA performance goal (with 100% of PSUs being earned at target performance, and linear interpolation between threshold and target and maximum performance) as defined in the award agreement, for each year of the three-year performance period beginning on January 1, 2026 and ending December 31, 2028. The first tranche of PSUs under the 2026 PSU program were granted in March 2026.</w:t>
      </w:r>
    </w:p>
    <w:p>
      <w:pPr>
        <w:spacing w:after="0" w:line="22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Adjusted EBITDA is considered a performance condition and the grant date fair value corresponds with management’s expectation of the probable outcome of the performance condition as of the grant date. The grant date fair value was determined based on the fair market value of the Company’s stock at market close on the grant date multiplied by the target number of shares subject to the award and adjusted for management’s expectation of the probable outcome of the performance condition. The probability of achieving the performance criteria is assessed quarterly during the performance period. Compensation expense related to unvested PSUs is recognized ratably over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Company’s PSU activity during the fiscal quarter ended March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668655</wp:posOffset>
            </wp:positionV>
            <wp:extent cx="7132320"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at January 1, 2026</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80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Adjustment for performance achievement </w:t>
      </w:r>
      <w:r>
        <w:rPr>
          <w:rFonts w:ascii="Times New Roman" w:cs="Times New Roman" w:eastAsia="Times New Roman" w:hAnsi="Times New Roman"/>
          <w:sz w:val="23"/>
          <w:szCs w:val="23"/>
          <w:color w:val="auto"/>
          <w:vertAlign w:val="superscript"/>
        </w:rPr>
        <w:t>(1)</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205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36" w:lineRule="exact"/>
        <w:rPr>
          <w:sz w:val="20"/>
          <w:szCs w:val="20"/>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Outstanding at March 28, 2026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9"/>
        </w:trPr>
        <w:tc>
          <w:tcPr>
            <w:tcW w:w="16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6"/>
                <w:szCs w:val="16"/>
                <w:color w:val="auto"/>
              </w:rPr>
            </w:pPr>
          </w:p>
        </w:tc>
        <w:tc>
          <w:tcPr>
            <w:tcW w:w="13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16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941,803</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83"/>
        </w:trPr>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314,026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83"/>
        </w:trPr>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(99,397)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41"/>
        </w:trPr>
        <w:tc>
          <w:tcPr>
            <w:tcW w:w="1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1,156,432</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40"/>
        </w:trPr>
        <w:tc>
          <w:tcPr>
            <w:tcW w:w="1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780" w:space="180"/>
            <w:col w:w="3280"/>
          </w:cols>
          <w:pgMar w:left="320" w:top="121" w:right="339" w:bottom="1440" w:gutter="0" w:footer="0" w:header="0"/>
        </w:sectPr>
      </w:pPr>
    </w:p>
    <w:p>
      <w:pPr>
        <w:spacing w:after="0" w:line="92" w:lineRule="exact"/>
        <w:rPr>
          <w:sz w:val="20"/>
          <w:szCs w:val="20"/>
          <w:color w:val="auto"/>
        </w:rPr>
      </w:pPr>
    </w:p>
    <w:p>
      <w:pPr>
        <w:ind w:left="660" w:right="240" w:hanging="328"/>
        <w:spacing w:after="0" w:line="282" w:lineRule="auto"/>
        <w:tabs>
          <w:tab w:leader="none" w:pos="65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to previously granted PSUs based on the Company’s performance expectations as of the end of each respective fiscal year.</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409,883 PSUs could potentially be included if the maximum performance level of 200% is earned for all PSUs granted on or after January 1, 2025 and outstanding as of March 28, 2026.</w:t>
      </w:r>
    </w:p>
    <w:p>
      <w:pPr>
        <w:spacing w:after="0" w:line="15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data):</w:t>
      </w:r>
    </w:p>
    <w:p>
      <w:pPr>
        <w:spacing w:after="0" w:line="286" w:lineRule="exact"/>
        <w:rPr>
          <w:sz w:val="20"/>
          <w:szCs w:val="20"/>
          <w:color w:val="auto"/>
        </w:rPr>
      </w:pPr>
    </w:p>
    <w:tbl>
      <w:tblPr>
        <w:tblLayout w:type="fixed"/>
        <w:tblInd w:w="154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37"/>
        </w:trPr>
        <w:tc>
          <w:tcPr>
            <w:tcW w:w="49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00"/>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8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37"/>
        </w:trPr>
        <w:tc>
          <w:tcPr>
            <w:tcW w:w="49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r>
      <w:tr>
        <w:trPr>
          <w:trHeight w:val="244"/>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83"/>
        </w:trPr>
        <w:tc>
          <w:tcPr>
            <w:tcW w:w="4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80" w:type="dxa"/>
            <w:vAlign w:val="bottom"/>
            <w:tcBorders>
              <w:bottom w:val="single" w:sz="8" w:color="CCEEFF"/>
            </w:tcBorders>
          </w:tcPr>
          <w:p>
            <w:pPr>
              <w:spacing w:after="0"/>
              <w:rPr>
                <w:sz w:val="24"/>
                <w:szCs w:val="24"/>
                <w:color w:val="auto"/>
              </w:rPr>
            </w:pPr>
          </w:p>
        </w:tc>
      </w:tr>
      <w:tr>
        <w:trPr>
          <w:trHeight w:val="243"/>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40"/>
        </w:trPr>
        <w:tc>
          <w:tcPr>
            <w:tcW w:w="4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83"/>
        </w:trPr>
        <w:tc>
          <w:tcPr>
            <w:tcW w:w="4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116,894,080</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115,885,111</w:t>
            </w:r>
          </w:p>
        </w:tc>
        <w:tc>
          <w:tcPr>
            <w:tcW w:w="80" w:type="dxa"/>
            <w:vAlign w:val="bottom"/>
            <w:shd w:val="clear" w:color="auto" w:fill="CCEEFF"/>
          </w:tcPr>
          <w:p>
            <w:pPr>
              <w:spacing w:after="0"/>
              <w:rPr>
                <w:sz w:val="24"/>
                <w:szCs w:val="24"/>
                <w:color w:val="auto"/>
              </w:rPr>
            </w:pPr>
          </w:p>
        </w:tc>
      </w:tr>
      <w:tr>
        <w:trPr>
          <w:trHeight w:val="263"/>
        </w:trPr>
        <w:tc>
          <w:tcPr>
            <w:tcW w:w="4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116,894,080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115,885,111</w:t>
            </w:r>
          </w:p>
        </w:tc>
        <w:tc>
          <w:tcPr>
            <w:tcW w:w="80" w:type="dxa"/>
            <w:vAlign w:val="bottom"/>
            <w:tcBorders>
              <w:bottom w:val="single" w:sz="8" w:color="CCEEFF"/>
            </w:tcBorders>
          </w:tcPr>
          <w:p>
            <w:pPr>
              <w:spacing w:after="0"/>
              <w:rPr>
                <w:sz w:val="22"/>
                <w:szCs w:val="22"/>
                <w:color w:val="auto"/>
              </w:rPr>
            </w:pPr>
          </w:p>
        </w:tc>
      </w:tr>
      <w:tr>
        <w:trPr>
          <w:trHeight w:val="244"/>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83"/>
        </w:trPr>
        <w:tc>
          <w:tcPr>
            <w:tcW w:w="4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bottom w:val="single" w:sz="8" w:color="CCEEFF"/>
            </w:tcBorders>
          </w:tcPr>
          <w:p>
            <w:pPr>
              <w:spacing w:after="0"/>
              <w:rPr>
                <w:sz w:val="24"/>
                <w:szCs w:val="24"/>
                <w:color w:val="auto"/>
              </w:rPr>
            </w:pPr>
          </w:p>
        </w:tc>
      </w:tr>
      <w:tr>
        <w:trPr>
          <w:trHeight w:val="263"/>
        </w:trPr>
        <w:tc>
          <w:tcPr>
            <w:tcW w:w="4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CEEFF"/>
          </w:tcPr>
          <w:p>
            <w:pPr>
              <w:spacing w:after="0"/>
              <w:rPr>
                <w:sz w:val="22"/>
                <w:szCs w:val="22"/>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28, 2026 and December 31, 2025, 117,407,719 and 116,766,927 shares of common stock were issued and outstanding, respectively.</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includes the number of shares that may be dilutive common shares in the future that were not included in the computation of diluted net loss per share because the effect was anti-dilutive:</w:t>
      </w:r>
    </w:p>
    <w:p>
      <w:pPr>
        <w:spacing w:after="0" w:line="223" w:lineRule="exact"/>
        <w:rPr>
          <w:sz w:val="20"/>
          <w:szCs w:val="20"/>
          <w:color w:val="auto"/>
        </w:rPr>
      </w:pPr>
    </w:p>
    <w:tbl>
      <w:tblPr>
        <w:tblLayout w:type="fixed"/>
        <w:tblInd w:w="154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16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37"/>
        </w:trPr>
        <w:tc>
          <w:tcPr>
            <w:tcW w:w="5020" w:type="dxa"/>
            <w:vAlign w:val="bottom"/>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00"/>
        </w:trPr>
        <w:tc>
          <w:tcPr>
            <w:tcW w:w="5020" w:type="dxa"/>
            <w:vAlign w:val="bottom"/>
          </w:tcPr>
          <w:p>
            <w:pPr>
              <w:spacing w:after="0"/>
              <w:rPr>
                <w:sz w:val="17"/>
                <w:szCs w:val="17"/>
                <w:color w:val="auto"/>
              </w:rPr>
            </w:pPr>
          </w:p>
        </w:tc>
        <w:tc>
          <w:tcPr>
            <w:tcW w:w="15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5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37"/>
        </w:trPr>
        <w:tc>
          <w:tcPr>
            <w:tcW w:w="502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r>
      <w:tr>
        <w:trPr>
          <w:trHeight w:val="26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200,279</w:t>
            </w:r>
          </w:p>
        </w:tc>
        <w:tc>
          <w:tcPr>
            <w:tcW w:w="80" w:type="dxa"/>
            <w:vAlign w:val="bottom"/>
          </w:tcPr>
          <w:p>
            <w:pPr>
              <w:spacing w:after="0"/>
              <w:rPr>
                <w:sz w:val="24"/>
                <w:szCs w:val="24"/>
                <w:color w:val="auto"/>
              </w:rPr>
            </w:pPr>
          </w:p>
        </w:tc>
      </w:tr>
      <w:tr>
        <w:trPr>
          <w:trHeight w:val="284"/>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1,045,509</w:t>
            </w:r>
          </w:p>
        </w:tc>
        <w:tc>
          <w:tcPr>
            <w:tcW w:w="8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1,278,535</w:t>
            </w:r>
          </w:p>
        </w:tc>
        <w:tc>
          <w:tcPr>
            <w:tcW w:w="80" w:type="dxa"/>
            <w:vAlign w:val="bottom"/>
            <w:shd w:val="clear" w:color="auto" w:fill="CCEEFF"/>
          </w:tcPr>
          <w:p>
            <w:pPr>
              <w:spacing w:after="0"/>
              <w:rPr>
                <w:sz w:val="24"/>
                <w:szCs w:val="24"/>
                <w:color w:val="auto"/>
              </w:rPr>
            </w:pPr>
          </w:p>
        </w:tc>
      </w:tr>
      <w:tr>
        <w:trPr>
          <w:trHeight w:val="28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Stock appreciation rights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865,863</w:t>
            </w:r>
          </w:p>
        </w:tc>
        <w:tc>
          <w:tcPr>
            <w:tcW w:w="80" w:type="dxa"/>
            <w:vAlign w:val="bottom"/>
          </w:tcPr>
          <w:p>
            <w:pPr>
              <w:spacing w:after="0"/>
              <w:rPr>
                <w:sz w:val="24"/>
                <w:szCs w:val="24"/>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stock units</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87,462</w:t>
            </w:r>
          </w:p>
        </w:tc>
        <w:tc>
          <w:tcPr>
            <w:tcW w:w="8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conducts business as one operating and reportable segment that designs, manufactures, and markets in-ground swimming pools, pool covers, and pool liners. The Company’s Chief Executive Officer, who is the chief operating decision maker (“CODM”), reviews financial information presented on a consolidated basis for purposes of assessing financial performance and allocating resources.</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reports consolidated net income (loss), as management believes that is the measure most consistent with the measurement principles in the Company’s condensed consolidated financial statements. Consolidated net income (loss) is used by the CODM predominantly in the annual budget and forecasting, including consideration of budget-to-actual variances when making decisions about the allocation of operating and capital resources.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of the Company’s single segment consisted of the following (in thousands):</w:t>
      </w:r>
    </w:p>
    <w:p>
      <w:pPr>
        <w:spacing w:after="0" w:line="286"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37"/>
        </w:trPr>
        <w:tc>
          <w:tcPr>
            <w:tcW w:w="46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4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20" w:type="dxa"/>
            <w:vAlign w:val="bottom"/>
          </w:tcPr>
          <w:p>
            <w:pPr>
              <w:spacing w:after="0"/>
              <w:rPr>
                <w:sz w:val="17"/>
                <w:szCs w:val="17"/>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37"/>
        </w:trPr>
        <w:tc>
          <w:tcPr>
            <w:tcW w:w="46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111,420</w:t>
            </w:r>
          </w:p>
        </w:tc>
        <w:tc>
          <w:tcPr>
            <w:tcW w:w="100" w:type="dxa"/>
            <w:vAlign w:val="bottom"/>
            <w:shd w:val="clear" w:color="auto" w:fill="CCEEFF"/>
          </w:tcPr>
          <w:p>
            <w:pPr>
              <w:spacing w:after="0"/>
              <w:rPr>
                <w:sz w:val="19"/>
                <w:szCs w:val="19"/>
                <w:color w:val="auto"/>
              </w:rPr>
            </w:pPr>
          </w:p>
        </w:tc>
      </w:tr>
      <w:tr>
        <w:trPr>
          <w:trHeight w:val="230"/>
        </w:trPr>
        <w:tc>
          <w:tcPr>
            <w:tcW w:w="4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cost of sales</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74,580</w:t>
            </w:r>
          </w:p>
        </w:tc>
        <w:tc>
          <w:tcPr>
            <w:tcW w:w="100" w:type="dxa"/>
            <w:vAlign w:val="bottom"/>
          </w:tcPr>
          <w:p>
            <w:pPr>
              <w:spacing w:after="0"/>
              <w:rPr>
                <w:sz w:val="19"/>
                <w:szCs w:val="19"/>
                <w:color w:val="auto"/>
              </w:rPr>
            </w:pPr>
          </w:p>
        </w:tc>
      </w:tr>
      <w:tr>
        <w:trPr>
          <w:trHeight w:val="229"/>
        </w:trPr>
        <w:tc>
          <w:tcPr>
            <w:tcW w:w="4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selling, general and administrative expense</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26,684</w:t>
            </w:r>
          </w:p>
        </w:tc>
        <w:tc>
          <w:tcPr>
            <w:tcW w:w="100" w:type="dxa"/>
            <w:vAlign w:val="bottom"/>
            <w:shd w:val="clear" w:color="auto" w:fill="CCEEFF"/>
          </w:tcPr>
          <w:p>
            <w:pPr>
              <w:spacing w:after="0"/>
              <w:rPr>
                <w:sz w:val="19"/>
                <w:szCs w:val="19"/>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00" w:type="dxa"/>
            <w:vAlign w:val="bottom"/>
          </w:tcPr>
          <w:p>
            <w:pPr>
              <w:spacing w:after="0"/>
              <w:rPr>
                <w:sz w:val="19"/>
                <w:szCs w:val="19"/>
                <w:color w:val="auto"/>
              </w:rPr>
            </w:pPr>
          </w:p>
        </w:tc>
      </w:tr>
      <w:tr>
        <w:trPr>
          <w:trHeight w:val="230"/>
        </w:trPr>
        <w:tc>
          <w:tcPr>
            <w:tcW w:w="4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Amortization</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100" w:type="dxa"/>
            <w:vAlign w:val="bottom"/>
            <w:shd w:val="clear" w:color="auto" w:fill="CCEEFF"/>
          </w:tcPr>
          <w:p>
            <w:pPr>
              <w:spacing w:after="0"/>
              <w:rPr>
                <w:sz w:val="19"/>
                <w:szCs w:val="19"/>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tcPr>
          <w:p>
            <w:pPr>
              <w:spacing w:after="0"/>
              <w:rPr>
                <w:sz w:val="19"/>
                <w:szCs w:val="19"/>
                <w:color w:val="auto"/>
              </w:rPr>
            </w:pPr>
          </w:p>
        </w:tc>
      </w:tr>
      <w:tr>
        <w:trPr>
          <w:trHeight w:val="229"/>
        </w:trPr>
        <w:tc>
          <w:tcPr>
            <w:tcW w:w="4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Strategic initiative costs</w:t>
            </w:r>
            <w:r>
              <w:rPr>
                <w:rFonts w:ascii="Times New Roman" w:cs="Times New Roman" w:eastAsia="Times New Roman" w:hAnsi="Times New Roman"/>
                <w:sz w:val="23"/>
                <w:szCs w:val="23"/>
                <w:color w:val="auto"/>
                <w:vertAlign w:val="superscript"/>
              </w:rPr>
              <w:t>(4)</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shd w:val="clear" w:color="auto" w:fill="CCEEFF"/>
          </w:tcPr>
          <w:p>
            <w:pPr>
              <w:spacing w:after="0"/>
              <w:rPr>
                <w:sz w:val="19"/>
                <w:szCs w:val="19"/>
                <w:color w:val="auto"/>
              </w:rPr>
            </w:pPr>
          </w:p>
        </w:tc>
      </w:tr>
      <w:tr>
        <w:trPr>
          <w:trHeight w:val="230"/>
        </w:trPr>
        <w:tc>
          <w:tcPr>
            <w:tcW w:w="4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Acquisition and integration related costs</w:t>
            </w:r>
            <w:r>
              <w:rPr>
                <w:rFonts w:ascii="Times New Roman" w:cs="Times New Roman" w:eastAsia="Times New Roman" w:hAnsi="Times New Roman"/>
                <w:sz w:val="23"/>
                <w:szCs w:val="23"/>
                <w:color w:val="auto"/>
                <w:vertAlign w:val="superscript"/>
              </w:rPr>
              <w:t>(5)</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r>
      <w:tr>
        <w:trPr>
          <w:trHeight w:val="229"/>
        </w:trPr>
        <w:tc>
          <w:tcPr>
            <w:tcW w:w="4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3"/>
                <w:szCs w:val="23"/>
                <w:color w:val="auto"/>
                <w:vertAlign w:val="superscript"/>
              </w:rPr>
              <w:t>(6)</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100" w:type="dxa"/>
            <w:vAlign w:val="bottom"/>
          </w:tcPr>
          <w:p>
            <w:pPr>
              <w:spacing w:after="0"/>
              <w:rPr>
                <w:sz w:val="19"/>
                <w:szCs w:val="19"/>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equity method investment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Pr>
          <w:p>
            <w:pPr>
              <w:spacing w:after="0"/>
              <w:rPr>
                <w:sz w:val="19"/>
                <w:szCs w:val="19"/>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00" w:type="dxa"/>
            <w:vAlign w:val="bottom"/>
            <w:shd w:val="clear" w:color="auto" w:fill="CCEEFF"/>
          </w:tcPr>
          <w:p>
            <w:pPr>
              <w:spacing w:after="0"/>
              <w:rPr>
                <w:sz w:val="19"/>
                <w:szCs w:val="19"/>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10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2" w:lineRule="exact"/>
        <w:rPr>
          <w:sz w:val="20"/>
          <w:szCs w:val="20"/>
          <w:color w:val="auto"/>
        </w:rPr>
      </w:pPr>
    </w:p>
    <w:p>
      <w:pPr>
        <w:ind w:left="580" w:right="120" w:hanging="248"/>
        <w:spacing w:after="0" w:line="282" w:lineRule="auto"/>
        <w:tabs>
          <w:tab w:leader="none" w:pos="57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 of sales includes total cost of sales (as presented in the condensed consolidated statements of operations) excluding depreciation, stock-based compensation, restructuring charges, and strategic initiative costs.</w:t>
      </w:r>
    </w:p>
    <w:p>
      <w:pPr>
        <w:spacing w:after="0" w:line="161" w:lineRule="exact"/>
        <w:rPr>
          <w:rFonts w:ascii="Times New Roman" w:cs="Times New Roman" w:eastAsia="Times New Roman" w:hAnsi="Times New Roman"/>
          <w:sz w:val="18"/>
          <w:szCs w:val="18"/>
          <w:color w:val="auto"/>
        </w:rPr>
      </w:pPr>
    </w:p>
    <w:p>
      <w:pPr>
        <w:ind w:left="580" w:right="280" w:hanging="248"/>
        <w:spacing w:after="0" w:line="266" w:lineRule="auto"/>
        <w:tabs>
          <w:tab w:leader="none" w:pos="57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selling, general and administrative expense includes total selling, general and administrative expense (as presented in the condensed consolidated statements of operations) excluding depreciation, amortization, stock-based compensation, strategic initiative costs and acquisition and integration related costs.</w:t>
      </w:r>
    </w:p>
    <w:p>
      <w:pPr>
        <w:spacing w:after="0" w:line="175"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Inclusive of finance lease amortization.</w:t>
      </w:r>
    </w:p>
    <w:p>
      <w:pPr>
        <w:spacing w:after="0" w:line="225"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paid to external consultants and other expenses for our strategic initiatives.</w:t>
      </w:r>
    </w:p>
    <w:p>
      <w:pPr>
        <w:spacing w:after="0" w:line="225"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 and integration costs as well as other costs related to potential transactions.</w:t>
      </w:r>
    </w:p>
    <w:p>
      <w:pPr>
        <w:spacing w:after="0" w:line="225"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that include severance and other expenses for our executive management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2025 Annual Report on Form 10-K filed with the Securities and Exchange Commission, (“SEC”) on March 4, 2026 (the “Annual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Certain statements in this report constitute forward-looking statements within the meaning of the Private Securities Litigation Reform Act of 1995. All statements contained in this report other than statements of historical fact may constitute forward-looking statements, including statements regarding our future operating results and financial position, our business strategy and plans, business and market trends, our objectives for future operations, macroeconomic and geopolitical conditions, acquisitions and related benefits, and the sufficiency of our cash balances, working capital and cash generated from operating, investing, and financing activities for our future liquidity and capital resource needs. These forward-looking statements are generally identified by the use of forward-looking terminology, including the terms “anticipate,” “believe,” “confident,” “continue,” “could,” “estimate,” “expect,” “intend,” “likely,” “may,” “plan,” “possible,” “potential,” “predict,” “project,” “should,” “target,” “will,” “would” and, in each case, their negative or other various or comparable terminology. These statements involve known and unknown risks, uncertainties, assumptions and other important factors, many of which are outside our control, which may cause our actual results, performance or achievements to be materially different from any future results, performance or achievements expressed or implied by the forward-looking statements, including those set forth under “Risk Factors,” “Management's Discussion and Analysis of Financial Condition and Results of Operations” and elsewhere in the Annual Report and as described in other subsequent reports we file with the SEC, including elsewhere in this Quarterly Report on Form 10-Q. For similar reasons, our past results may not be a reliable indicator of future performance or trends. We encourage you to read this report and our other filings with the SEC carefully. You also should be aware that these risk factors and other information do not describe every risk that we face. New emerging risks and uncertainties not presently known to us or that we currently deem immaterial also may impair our business, financial condition, results of operations and cash flows. We operate in a very competitive and rapidly changing environment, and new risks emerge from time to time that may impair our business, financial condition, results of operations and cash flows. Although we believe that the expectations reflected in the forward-looking statements are reasonable and our expectations based on third-party information and projections are from sources that management believes to be reputable, we cannot guarantee future results, levels of activities, performance, or achievements.</w:t>
      </w:r>
    </w:p>
    <w:p>
      <w:pPr>
        <w:spacing w:after="0" w:line="19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These forward-looking statements reflect our views with respect to future events as of the date of this Quarterly Report on Form 10-Q or the date specified herein, and we have based these forward-looking statements on our current expectations and projections about future events and trends. Given these uncertainties, you should not place undue reliance on these forward-looking statements. Except as required by law, we undertake no obligation to update or review publicly any forward-looking statements, whether as a result of new information, future events or otherwise after the date of this Quarterly Report on Form 10-Q. We anticipate that subsequent events and developments will cause our views to change. Our forward-looking statements further do not reflect the potential impact of any future acquisitions, mergers, dispositions, joint ventures, or investments we may undertake. We qualify all of our forward-looking statements by these cautionary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are the largest designer, manufacturer, and marketer of in-ground residential swimming pools in North America, Australia, and New Zealand. We hold the leading position in North America in every product category in which we compete. It is our view that we are the most sought-after brand in the pool industry. We are Latham, The Pool Company</w:t>
      </w:r>
      <w:r>
        <w:rPr>
          <w:rFonts w:ascii="Times New Roman" w:cs="Times New Roman" w:eastAsia="Times New Roman" w:hAnsi="Times New Roman"/>
          <w:sz w:val="6"/>
          <w:szCs w:val="6"/>
          <w:color w:val="auto"/>
        </w:rPr>
        <w:t>TM</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With an operating history that spans over 70 years, we offer the industry’s broadest portfolio of pools and related products, including in-ground swimming pools, pool covers, and pool liners.</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have a heritage of innovation. In an industry that has traditionally marketed on a business-to-business basis (pool manufacturer to dealer), we pioneered the first “direct-to-homeowner” digital and social marketing strategy that has transformed the homeowner’s purchase journey. Through this marketing strategy, we are able to create demand for our pools and to provide high quality, purchase-ready consumer leads to our dealer partners.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Partnership with our dealers is integral to our collective success, and we have enjoyed long-tenured relationships averaging over 15 years. We support our dealer network with business development tools, co-branded marketing programs, and in-house training.</w:t>
      </w:r>
    </w:p>
    <w:p>
      <w:pPr>
        <w:spacing w:after="0" w:line="18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full resources of our Company are dedicated to designing and manufacturing high-quality pool products, with the homeowner in mind, and positioning ourselves as a value-added partner to our dealers.</w:t>
      </w:r>
    </w:p>
    <w:p>
      <w:pPr>
        <w:spacing w:after="0" w:line="189"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Our operations consist of approximately 1,900 employees on average across approximately 35 locations. The broad geographic reach of our national manufacturing and distribution network allows us to service our customers on short lead times and to deliver our products in a cost-effective manner. Our mission is to design and manufacture high-quality pool products, with the homeowner in mind, and to be a value-added partner to our dealers.</w:t>
      </w:r>
    </w:p>
    <w:p>
      <w:pPr>
        <w:spacing w:after="0" w:line="1" w:lineRule="exact"/>
        <w:rPr>
          <w:sz w:val="20"/>
          <w:szCs w:val="20"/>
          <w:color w:val="auto"/>
        </w:rPr>
      </w:pPr>
    </w:p>
    <w:p>
      <w:pPr>
        <w:ind w:right="460" w:firstLine="648"/>
        <w:spacing w:after="0" w:line="260" w:lineRule="auto"/>
        <w:rPr>
          <w:sz w:val="20"/>
          <w:szCs w:val="20"/>
          <w:color w:val="auto"/>
        </w:rPr>
      </w:pPr>
      <w:r>
        <w:rPr>
          <w:rFonts w:ascii="Times New Roman" w:cs="Times New Roman" w:eastAsia="Times New Roman" w:hAnsi="Times New Roman"/>
          <w:sz w:val="18"/>
          <w:szCs w:val="18"/>
          <w:color w:val="auto"/>
        </w:rPr>
        <w:t>We conduct our business as one operating and reportable segment that designs, manufactures, and markets in-ground swimming pools, pool covers, and pool liners.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Highlights for the fiscal quarter ended March 28, 2026</w:t>
      </w:r>
    </w:p>
    <w:p>
      <w:pPr>
        <w:spacing w:after="0" w:line="229" w:lineRule="exact"/>
        <w:rPr>
          <w:sz w:val="20"/>
          <w:szCs w:val="20"/>
          <w:color w:val="auto"/>
        </w:rPr>
      </w:pPr>
    </w:p>
    <w:p>
      <w:pPr>
        <w:ind w:left="660" w:right="200" w:hanging="315"/>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net sales of 5.3%, or $5.9 million, to $117.3 million for the fiscal quarter ended March 28, 2026, compared to $111.4 million for the fiscal quarter ended March 29, 2025.</w:t>
      </w:r>
    </w:p>
    <w:p>
      <w:pPr>
        <w:spacing w:after="0" w:line="188" w:lineRule="exact"/>
        <w:rPr>
          <w:rFonts w:ascii="Times New Roman" w:cs="Times New Roman" w:eastAsia="Times New Roman" w:hAnsi="Times New Roman"/>
          <w:sz w:val="18"/>
          <w:szCs w:val="18"/>
          <w:color w:val="auto"/>
        </w:rPr>
      </w:pPr>
    </w:p>
    <w:p>
      <w:pPr>
        <w:ind w:left="660" w:right="20" w:hanging="315"/>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net loss of $2.6 million to $8.5 million and representing a 7.3% net loss margin for the fiscal quarter ended March 28, 2026, compared to $6.0 million and representing a 5.4% net loss margin for the fiscal quarter ended March 29, 2025.</w:t>
      </w:r>
    </w:p>
    <w:p>
      <w:pPr>
        <w:spacing w:after="0" w:line="188" w:lineRule="exact"/>
        <w:rPr>
          <w:rFonts w:ascii="Times New Roman" w:cs="Times New Roman" w:eastAsia="Times New Roman" w:hAnsi="Times New Roman"/>
          <w:sz w:val="18"/>
          <w:szCs w:val="18"/>
          <w:color w:val="auto"/>
        </w:rPr>
      </w:pPr>
    </w:p>
    <w:p>
      <w:pPr>
        <w:ind w:left="660" w:right="20" w:hanging="315"/>
        <w:spacing w:after="0" w:line="329"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Adjusted EBITDA (as defined below) of $1.0 million to $12.2 million for the fiscal quarter ended March 28, 2026, compared to $11.1 million for the fiscal quarter ended March 29, 2025. Adjusted EBITDA margin increased from 10.0% to 10.4%.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Update</w:t>
      </w:r>
    </w:p>
    <w:p>
      <w:pPr>
        <w:spacing w:after="0" w:line="22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We continue to execute effectively on our strategic priorities and achieved sales growth in each of our product lines in the first quarter. Sales growth was led by gains in autocovers and liners and the benefits of the Freedom Pools acquisition while adverse weather conditions in North America kept organic in-ground pool sales steady year-over-year. Adjusted EBITDA growth outpaced sales growth by a considerable margin, demonstrating our substantial operating leverage and cost discipline, which more than offset the impact of higher investments in growth initiatives.</w:t>
      </w:r>
    </w:p>
    <w:p>
      <w:pPr>
        <w:spacing w:after="0" w:line="193" w:lineRule="exact"/>
        <w:rPr>
          <w:sz w:val="20"/>
          <w:szCs w:val="20"/>
          <w:color w:val="auto"/>
        </w:rPr>
      </w:pPr>
    </w:p>
    <w:p>
      <w:pPr>
        <w:ind w:right="20" w:firstLine="648"/>
        <w:spacing w:after="0" w:line="231" w:lineRule="auto"/>
        <w:rPr>
          <w:sz w:val="20"/>
          <w:szCs w:val="20"/>
          <w:color w:val="auto"/>
        </w:rPr>
      </w:pPr>
      <w:r>
        <w:rPr>
          <w:rFonts w:ascii="Times New Roman" w:cs="Times New Roman" w:eastAsia="Times New Roman" w:hAnsi="Times New Roman"/>
          <w:sz w:val="18"/>
          <w:szCs w:val="18"/>
          <w:color w:val="auto"/>
        </w:rPr>
        <w:t>We continued to gain traction in Florida, our initial Sand State target market, where our fiberglass pool sales increased at a double-digit rate in the first quarter. This growth reflected the new dealer sign-ups we executed in 2025 and increased brand and product awareness driven by our advertising and marketing campaign. To accelerate our growth in Florida and the other Sand State markets, we are moving forward with several new initiatives to capture consumer demand and provide additional value to our dealers. These initiatives include the build out of our commercial organization, a new market development framework around segmentation by neighborhood, and the addition of sales resources in the field to keep Latham engaged with the consumer throughout the pool purchasing process while linking customers to our dealer network. These initiatives will be supported by a targeted marketing campaign aimed at educating consumers on the benefits of fiberglass and pool ownership.</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 Transition</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Effective January 5, 2026, Sean Gadd was appointed as our President and Chief Executive Officer and as a member of the Board. Scott Rajeski retired from such positions effective as of January 4, 2026 and will serve as a Special Adviser for a six-month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Acquisition</w:t>
      </w:r>
    </w:p>
    <w:p>
      <w:pPr>
        <w:spacing w:after="0" w:line="21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Strategic transactions continue to be part of our growth strategy. On February 26, 2026, we completed the acquisition of Freedom Pools, a fiberglass pool manufacturer and installer operating in Australia and New Zealand. The acquisition is</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expected to be immediately accretive to our earnings, adding approximately $20.0 million in net sales and approximately $4.0 million in adjusted EBITDA, on an annualized basis, before acquisition synergies. The GAAP purchase price was $15.4 million, and included a holdback of $1.6 million that has been accrued on our condensed consolidated balance sheet. The transaction was fully funded with cash on hand.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Property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purchased four fiberglass production facilities that had previously been leased during the quarter ended March 28, 2026. The transaction was completed on February 6, 2026 for a total purchase price of $17.6 million. The purchase price included a $12 million deposit made in the fourth quarter of 2025, and $5.6 million paid at closing. This purchase was the primary reason for the increase of property and equipment, net on the condensed consolidated balance sheet.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derive our revenue from the design, manufacture, and sale of in-ground swimming pools, pool covers, and pool liners. We sell fiberglass pools, which are one-piece manufactured fiberglass pools that are ready to be installed in a consumer’s backyard, and custom vinyl pools, which are manufactured pools that are made out of non-corrosive steel or composite polymer frame, on top of which a vinyl liner is installed. We sell liners for the interior surface of vinyl pools (including pools that were not manufactured by us). We also sell all-season pool covers, which are winterizing mesh or solid pool covers that protect pools against debris and cold or inclement weather, and automatic safety covers for pools that can be operated with a switch.</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sales are made through one-step and two-step business-to-business distribution channels. In our one-step distribution channel, we sell our products directly to dealers who, in turn, sell our products to consumers. In our two-step distribution channel, we sell our products to distributors who warehouse our products and sell them on to dealers, who ultimately sell our products to consumers.</w:t>
      </w:r>
    </w:p>
    <w:p>
      <w:pPr>
        <w:spacing w:after="0" w:line="17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Each product shipped is considered to be one performance obligation. With the exception of our extended service warranties and our custom product contracts, we recognize our revenue when control of our promised goods is transferred to our customers (dealer in one-step distribution channel or distributor in two-step distribution channel), either upon shipment or arrival at our customer’s destination depending upon the terms of the purchase order. Sales are recognized net of any estimated rebates, returns, allowances, or other sales incentives. Revenue that is derived from our extended service warranties, which are separately priced and sold, is recognized over the term of the contracts. Revenue from custom products is recognized over time utilizing an input method that compares the cost of cumulative work-in-process to date to the most current estimates for the entire cost of the performance obligation.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Gross margin is gross profit as a percentage of our net sales. Gross margin depends upon several factors, such as the prices we charge buyers, changes in prices of raw materials, the volume and relative sales mix among product lines, and plant performance, among other factors. Gross margin is also impacted by the costs of distribution and occupancy costs, which can vary.</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gross profit is variable in nature and generally follows changes in net sales. The components of our cost of sales may not be comparable to the components of cost of sales or similar measures of other companies. As a result, our gross profit and gross margin may not be comparable to similar data made available by other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Adjusted EBITDA and Adjusted EBITDA margin are key metrics used by management and our Board of Directors of the Company (the “Board”)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to utilize as a significant performance metric in our annual management incentive bonus plan compensation, and to compare our performance against that of other companies using similar measures. We have presented Adjusted EBITDA and Adjusted EBITDA margin solely as supplemental disclosures because we believe they allow for a more complete analysis of results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of operations and assist investors and analysts in comparing our operating performance across reporting periods on a consistent basis by excluding items that we do not believe are indicative of our core operating performance, such as (i) depreciation and amortization, (ii) interest expense, net, (iii) income tax expense (benefit), (iv) (gain) loss on sale and disposal of property and equipment, (v) restructuring charges, (vi) stock-based compensation expense, (vii) unrealized losses (gains) on foreign currency transactions, (viii) strategic initiative costs, (ix) acquisition and integration related costs and (x) other.</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Adjusted EBITDA and Adjusted EBITDA margin are non-GAAP financial measures and should not be considered as alternatives to net income (loss) as a measure of financial performance or any other performance measure derived in accordance with GAAP, and they should not be construed as an inference that our future results will be unaffected by unusual or non-recurring items. We encourage evaluation of these adjustments and the reasons we consider them appropriate for supplemental analysis. In evaluating Adjusted EBITDA and Adjusted EBITDA margin, be mindful that in the future we may incur expenses that are the same as or similar to some of the adjustments in this presentation. There can be no assurance that we will not modify the presentation of Adjusted EBITDA and Adjusted EBITDA margin in the future,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Adjusted EBITDA and Adjusted EBITDA margin are useful measurements for investors as they help identify underlying trends that could otherwise be masked by certain expenses that we do not consider indicative of our ongoing operating performance. We also use Adjusted EBITDA and Adjusted EBITDA margin for planning purposes, assessing our financial performance, and other strategic decisions. For a discussion of Adjusted EBITDA and Adjusted EBITDA margin and the limitations on their use, and the reconciliation of Adjusted EBITDA to net income (loss), the most directly comparable GAAP financial measure, and our calculation of Adjusted EBITDA margin see “— Non-GAAP Financial Measures” below.</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Quarter Ended March 28, 2026 Compared to Fiscal Quarter Ended March 29,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fiscal quarter ended March 28, 2026 and March 29, 2025 (dollars in thousands):</w:t>
      </w:r>
    </w:p>
    <w:p>
      <w:pPr>
        <w:spacing w:after="0" w:line="26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Fiscal Quarter Ended</w:t>
      </w:r>
    </w:p>
    <w:p>
      <w:pPr>
        <w:spacing w:after="0" w:line="31" w:lineRule="exact"/>
        <w:rPr>
          <w:sz w:val="20"/>
          <w:szCs w:val="20"/>
          <w:color w:val="auto"/>
        </w:rPr>
      </w:pPr>
    </w:p>
    <w:tbl>
      <w:tblPr>
        <w:tblLayout w:type="fixed"/>
        <w:tblInd w:w="2240" w:type="dxa"/>
        <w:tblCellMar>
          <w:top w:w="0" w:type="dxa"/>
          <w:left w:w="0" w:type="dxa"/>
          <w:bottom w:w="0" w:type="dxa"/>
          <w:right w:w="0" w:type="dxa"/>
        </w:tblCellMar>
      </w:tblPr>
      <w:tr>
        <w:trPr>
          <w:trHeight w:val="214"/>
        </w:trPr>
        <w:tc>
          <w:tcPr>
            <w:tcW w:w="15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c>
          <w:tcPr>
            <w:tcW w:w="17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c>
          <w:tcPr>
            <w:tcW w:w="14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0"/>
        </w:trPr>
        <w:tc>
          <w:tcPr>
            <w:tcW w:w="15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March 28,</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Net</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7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 of</w:t>
            </w:r>
          </w:p>
        </w:tc>
      </w:tr>
      <w:tr>
        <w:trPr>
          <w:trHeight w:val="238"/>
        </w:trPr>
        <w:tc>
          <w:tcPr>
            <w:tcW w:w="15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7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4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Net Sales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23"/>
                <w:szCs w:val="23"/>
                <w:color w:val="auto"/>
              </w:rPr>
            </w:pPr>
          </w:p>
        </w:tc>
      </w:tr>
      <w:tr>
        <w:trPr>
          <w:trHeight w:val="279"/>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rPr>
                <w:sz w:val="24"/>
                <w:szCs w:val="24"/>
                <w:color w:val="auto"/>
              </w:rPr>
            </w:pPr>
          </w:p>
        </w:tc>
      </w:tr>
      <w:tr>
        <w:trPr>
          <w:trHeight w:val="180"/>
        </w:trPr>
        <w:tc>
          <w:tcPr>
            <w:tcW w:w="2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Selling, general, and</w:t>
            </w:r>
          </w:p>
        </w:tc>
        <w:tc>
          <w:tcPr>
            <w:tcW w:w="140" w:type="dxa"/>
            <w:vAlign w:val="bottom"/>
          </w:tcPr>
          <w:p>
            <w:pPr>
              <w:spacing w:after="0"/>
              <w:rPr>
                <w:sz w:val="15"/>
                <w:szCs w:val="15"/>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w:t>
            </w:r>
          </w:p>
        </w:tc>
        <w:tc>
          <w:tcPr>
            <w:tcW w:w="140" w:type="dxa"/>
            <w:vAlign w:val="bottom"/>
          </w:tcPr>
          <w:p>
            <w:pPr>
              <w:spacing w:after="0"/>
              <w:rPr>
                <w:sz w:val="20"/>
                <w:szCs w:val="20"/>
                <w:color w:val="auto"/>
              </w:rPr>
            </w:pPr>
          </w:p>
        </w:tc>
      </w:tr>
      <w:tr>
        <w:trPr>
          <w:trHeight w:val="279"/>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24"/>
                <w:szCs w:val="24"/>
                <w:color w:val="auto"/>
              </w:rPr>
            </w:pPr>
          </w:p>
        </w:tc>
      </w:tr>
      <w:tr>
        <w:trPr>
          <w:trHeight w:val="279"/>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40" w:type="dxa"/>
            <w:vAlign w:val="bottom"/>
          </w:tcPr>
          <w:p>
            <w:pPr>
              <w:spacing w:after="0"/>
              <w:rPr>
                <w:sz w:val="20"/>
                <w:szCs w:val="20"/>
                <w:color w:val="auto"/>
              </w:rPr>
            </w:pP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23"/>
                <w:szCs w:val="23"/>
                <w:color w:val="auto"/>
              </w:rPr>
            </w:pP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0" w:type="dxa"/>
            <w:vAlign w:val="bottom"/>
          </w:tcPr>
          <w:p>
            <w:pPr>
              <w:spacing w:after="0"/>
              <w:rPr>
                <w:sz w:val="23"/>
                <w:szCs w:val="23"/>
                <w:color w:val="auto"/>
              </w:rPr>
            </w:pPr>
          </w:p>
        </w:tc>
      </w:tr>
      <w:tr>
        <w:trPr>
          <w:trHeight w:val="279"/>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40" w:type="dxa"/>
            <w:vAlign w:val="bottom"/>
          </w:tcPr>
          <w:p>
            <w:pPr>
              <w:spacing w:after="0"/>
              <w:rPr>
                <w:sz w:val="24"/>
                <w:szCs w:val="24"/>
                <w:color w:val="auto"/>
              </w:rPr>
            </w:pPr>
          </w:p>
        </w:tc>
      </w:tr>
      <w:tr>
        <w:trPr>
          <w:trHeight w:val="180"/>
        </w:trPr>
        <w:tc>
          <w:tcPr>
            <w:tcW w:w="2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Earnings from equity method</w:t>
            </w:r>
          </w:p>
        </w:tc>
        <w:tc>
          <w:tcPr>
            <w:tcW w:w="140" w:type="dxa"/>
            <w:vAlign w:val="bottom"/>
          </w:tcPr>
          <w:p>
            <w:pPr>
              <w:spacing w:after="0"/>
              <w:rPr>
                <w:sz w:val="15"/>
                <w:szCs w:val="15"/>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investment</w:t>
            </w:r>
          </w:p>
        </w:tc>
        <w:tc>
          <w:tcPr>
            <w:tcW w:w="140" w:type="dxa"/>
            <w:vAlign w:val="bottom"/>
          </w:tcPr>
          <w:p>
            <w:pPr>
              <w:spacing w:after="0"/>
              <w:rPr>
                <w:sz w:val="20"/>
                <w:szCs w:val="20"/>
                <w:color w:val="auto"/>
              </w:rPr>
            </w:pPr>
          </w:p>
        </w:tc>
      </w:tr>
      <w:tr>
        <w:trPr>
          <w:trHeight w:val="292"/>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tcPr>
          <w:p>
            <w:pPr>
              <w:spacing w:after="0"/>
              <w:rPr>
                <w:sz w:val="24"/>
                <w:szCs w:val="24"/>
                <w:color w:val="auto"/>
              </w:rPr>
            </w:pP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5"/>
              </w:rPr>
              <w:t>117,315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3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111,420</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3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80,158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68.3 %</w:t>
            </w: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78,539</w:t>
            </w:r>
          </w:p>
        </w:tc>
        <w:tc>
          <w:tcPr>
            <w:tcW w:w="3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70.5 %</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3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9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37,157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32,881</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29.5 %</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418"/>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36,589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30,620</w:t>
            </w: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70"/>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7,169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3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9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(6,601)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500"/>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4,756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818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3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3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7"/>
        </w:trPr>
        <w:tc>
          <w:tcPr>
            <w:tcW w:w="9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5,574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418"/>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835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9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7"/>
              </w:rPr>
              <w:t>(11,340)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70"/>
        </w:trPr>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(2,806)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3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3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-1619885</wp:posOffset>
            </wp:positionV>
            <wp:extent cx="7132320" cy="16459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64592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-2065020</wp:posOffset>
            </wp:positionV>
            <wp:extent cx="7132320" cy="179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2340" w:space="520"/>
            <w:col w:w="83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61"/>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8"/>
              </w:rPr>
              <w:t>(8,534)</w:t>
            </w:r>
          </w:p>
        </w:tc>
        <w:tc>
          <w:tcPr>
            <w:tcW w:w="320" w:type="dxa"/>
            <w:vAlign w:val="bottom"/>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0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(5,962)</w:t>
            </w:r>
          </w:p>
        </w:tc>
        <w:tc>
          <w:tcPr>
            <w:tcW w:w="30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32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22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89"/>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(a)</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12,160</w:t>
            </w:r>
          </w:p>
        </w:tc>
        <w:tc>
          <w:tcPr>
            <w:tcW w:w="3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3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11,139</w:t>
            </w:r>
          </w:p>
        </w:tc>
        <w:tc>
          <w:tcPr>
            <w:tcW w:w="3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3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3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85"/>
        </w:trPr>
        <w:tc>
          <w:tcPr>
            <w:tcW w:w="3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198" w:lineRule="exact"/>
        <w:rPr>
          <w:sz w:val="20"/>
          <w:szCs w:val="20"/>
          <w:color w:val="auto"/>
        </w:rPr>
      </w:pPr>
    </w:p>
    <w:p>
      <w:pPr>
        <w:ind w:right="520" w:firstLine="8"/>
        <w:spacing w:after="0" w:line="282" w:lineRule="auto"/>
        <w:tabs>
          <w:tab w:leader="none" w:pos="32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Financial Measures” for a reconciliation to net loss, the most directly comparable GAAP measure, and for information regarding our use of Adjusted EBITDA.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sales was $117.3 million for the fiscal quarter ended March 28, 2026, compared to $111.4 million for the fiscal quarter ended March 29, 2025. The $5.9 million, or 5.3%, increase in net sales was due to a $3.0 million increase in sales volume and a $2.9 million increase from higher pricing. The increase in net sales was primarily driven by organic growth in liners and covers, the acquisition of Freedom Pools, sales growth in Florida and the full year benefit of the 2025 price increase partially offset by adverse weather conditions across North America. The increase in net sales of $5.9 million across our product lines consisted of an increase of $2.0 million for in-ground swimming pools, $2.0 million for liners and $1.9 million for covers.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Margin</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Cost of sales was $80.2 million for the fiscal quarter ended March 28, 2026, compared to $78.5 million for the fiscal quarter ended March 29, 2025. Gross margin increased by 2.2%, to 31.7% of net sales for the fiscal quarter ended March 28, 2026, compared to 29.5% of net sales for the fiscal quarter ended March 29, 2025. The $1.6 million, or 2.1%, increase in cost of sales was primarily the result of the increase in sales volume, partially offset by the impact of production efficiencies resulting from lean manufacturing and value engineering programs. The 2.2% increase in gross margin was primarily driven by volume leverage and the benefits of lean manufacturing and value engineering initiatives.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was $36.6 million for the fiscal quarter ended March 28, 2026, compared to $30.6 million for the fiscal quarter ended March 29, 2025. The $6.0 million, or 19.5%, increase in selling, general, and administrative expense was primarily due to acquisition and integration related costs, increased sales and marketing investment to accelerate the fiberglass conversion strategy in the Sand State markets, and our digital transformation efforts.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was $7.2 million for both of the fiscal quarters ended March 28, 2026 and March 29,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Interest expense, net was $4.8 million for the fiscal quarter ended March 28, 2026, compared to $6.4 million for the fiscal quarter ended March 29, 2025. The $1.6 million, or 25.3%, decrease in interest expense, net was primarily the result of the change in the fair value of our interest rate swap, compared to the fiscal quarter ended March 29,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Other expense, net was $0.8 million for the fiscal quarter ended March 28, 2026, compared to other income, net of $0.3 million for fiscal quarter ended March 29, 2025. The $1.1 million increase in other expense, net was primarily driven by an unfavorable change in net foreign currency transaction gains and losses associated with our international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from Equity Method Investment</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Earnings from our equity method investment in Premier Pools &amp; Spas was $0.8 million for the fiscal quarter ended March 28, 2026, compared to $1.0 million for the fiscal quarter ended March 29, 2025, due to the financial performance of Premier Pools &amp; Spas.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Income tax benefit was $2.8 million for the fiscal quarter ended March 28, 2026, compared to $4.1 million for the fiscal quarter ended March 29, 2025. Our effective tax rate was 24.8% for the fiscal quarter ended March 28, 2026, compared to 40.6% for the fiscal quarter ended March 29, 2025. The differences between the U.S. federal statutory income tax rate and our effective income tax rates for the fiscal quarter ended March 28, 2026 and the fiscal quarter ended March 29, 2025 were primarily attributable to the discrete impact of stock-based compensation expense for which there is no associated tax benefit and the effects of branch accounting for Latham Canada.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Net loss was $8.5 million for the fiscal quarter ended March 28, 2026, compared to $6.0 million for the fiscal quarter ended March 29, 2025. The $2.6 million, or 43.1%, increase in net loss was primarily because of the factors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Margin</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loss margin was 7.3% for the fiscal quarter ended March 28, 2026, compared to 5.4% for the fiscal quarter ended March 29, 2025. The 1.9% increase in net loss margin was driven by the factors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Adjusted EBITDA was $12.2 million for the fiscal quarter ended March 28, 2026, compared to $11.1 million for the fiscal quarter ended March 29, 2025. The $1.0 million, or 9.2%, increase in Adjusted EBITDA was primarily because of the gross profit growth from the increase in net sales, as well as the other factors described above.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Margin</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Adjusted EBITDA margin was 10.4% for the fiscal quarter ended March 28, 2026, compared to 10.0% for the fiscal quarter ended March 29, 2025. The 0.4% increase in Adjusted EBITDA margin was primarily because of a $1.0 million increase in Adjusted EBITDA, compared to the fiscal quarter ended March 29, 2025, which was impacted by the factors described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Adjusted EBITDA and Adjusted EBITDA margin are key metrics used by management and our Board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to utilize as a significant performance metric in our annual management incentive bonus plan compensation, and to compare our performance against that of other companies using similar measures.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 (i) depreciation and amortization, (ii) interest expense, net,</w:t>
      </w:r>
    </w:p>
    <w:p>
      <w:pPr>
        <w:spacing w:after="0" w:line="1" w:lineRule="exact"/>
        <w:rPr>
          <w:sz w:val="20"/>
          <w:szCs w:val="20"/>
          <w:color w:val="auto"/>
        </w:rPr>
      </w:pPr>
    </w:p>
    <w:p>
      <w:pPr>
        <w:jc w:val="both"/>
        <w:ind w:right="40" w:firstLine="8"/>
        <w:spacing w:after="0" w:line="255" w:lineRule="auto"/>
        <w:tabs>
          <w:tab w:leader="none" w:pos="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(benefit), (iv) (gain) loss on sale and disposal of property and equipment, (v) restructuring charges, (vi) stock-based compensation expense, (vii) unrealized losses (gains) on foreign currency transactions, (viii) strategic initiative costs, (ix) acquisition and integration related costs and (x) other.</w:t>
      </w:r>
    </w:p>
    <w:p>
      <w:pPr>
        <w:spacing w:after="0" w:line="18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Adjusted EBITDA and Adjusted EBITDA margin are non-GAAP financial measures and should not be considered as alternatives to net income (loss) as a measure of financial performance or any other performance measure derived in accordance with GAAP, and they should not be construed as an inference that our future results will be unaffected by unusual or non-recurring items. We encourage evaluation of these adjustments and the reasons we consider them appropriate for supplemental analysis. In evaluating Adjusted EBITDA and Adjusted EBITDA margin, be mindful that in the future we may incur expenses that are the same as or similar to some of the adjustments in this presentation. There can be no assurance that we will not modify the presentation of Adjusted EBITDA and Adjusted EBITDA margin in the future,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spacing w:after="0" w:line="1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Adjusted EBITDA and Adjusted EBITDA margin have their limitations as analytical tools, and should not be considered in isolation or as a substitute for analysis of our results as reported under GAAP. Some of these limitations are that Adjusted EBITDA and Adjusted EBITDA margin:</w:t>
      </w:r>
    </w:p>
    <w:p>
      <w:pPr>
        <w:spacing w:after="0" w:line="162" w:lineRule="exact"/>
        <w:rPr>
          <w:sz w:val="20"/>
          <w:szCs w:val="20"/>
          <w:color w:val="auto"/>
        </w:rPr>
      </w:pPr>
    </w:p>
    <w:p>
      <w:pPr>
        <w:ind w:left="980" w:hanging="311"/>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every expenditure, future requirements for capital expenditures or contractual commitments;</w:t>
      </w:r>
    </w:p>
    <w:p>
      <w:pPr>
        <w:spacing w:after="0" w:line="225" w:lineRule="exact"/>
        <w:rPr>
          <w:rFonts w:ascii="Times New Roman" w:cs="Times New Roman" w:eastAsia="Times New Roman" w:hAnsi="Times New Roman"/>
          <w:sz w:val="18"/>
          <w:szCs w:val="18"/>
          <w:color w:val="auto"/>
        </w:rPr>
      </w:pPr>
    </w:p>
    <w:p>
      <w:pPr>
        <w:ind w:left="980" w:hanging="311"/>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changes in our working capital needs;</w:t>
      </w:r>
    </w:p>
    <w:p>
      <w:pPr>
        <w:spacing w:after="0" w:line="225" w:lineRule="exact"/>
        <w:rPr>
          <w:rFonts w:ascii="Times New Roman" w:cs="Times New Roman" w:eastAsia="Times New Roman" w:hAnsi="Times New Roman"/>
          <w:sz w:val="18"/>
          <w:szCs w:val="18"/>
          <w:color w:val="auto"/>
        </w:rPr>
      </w:pPr>
    </w:p>
    <w:p>
      <w:pPr>
        <w:ind w:left="980" w:hanging="311"/>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the interest expense, net, or the amounts necessary to service interest or principal payments, on our outstanding debt;</w:t>
      </w:r>
    </w:p>
    <w:p>
      <w:pPr>
        <w:spacing w:after="0" w:line="225" w:lineRule="exact"/>
        <w:rPr>
          <w:rFonts w:ascii="Times New Roman" w:cs="Times New Roman" w:eastAsia="Times New Roman" w:hAnsi="Times New Roman"/>
          <w:sz w:val="18"/>
          <w:szCs w:val="18"/>
          <w:color w:val="auto"/>
        </w:rPr>
      </w:pPr>
    </w:p>
    <w:p>
      <w:pPr>
        <w:ind w:left="1000" w:right="100" w:hanging="331"/>
        <w:spacing w:after="0" w:line="282" w:lineRule="auto"/>
        <w:tabs>
          <w:tab w:leader="none" w:pos="9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income tax expense (benefit), and because the payment of taxes is part of our operations, tax expense is a necessary element of our costs and ability to operate;</w:t>
      </w:r>
    </w:p>
    <w:p>
      <w:pPr>
        <w:spacing w:after="0" w:line="161" w:lineRule="exact"/>
        <w:rPr>
          <w:rFonts w:ascii="Times New Roman" w:cs="Times New Roman" w:eastAsia="Times New Roman" w:hAnsi="Times New Roman"/>
          <w:sz w:val="18"/>
          <w:szCs w:val="18"/>
          <w:color w:val="auto"/>
        </w:rPr>
      </w:pPr>
    </w:p>
    <w:p>
      <w:pPr>
        <w:ind w:left="980" w:hanging="311"/>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non-cash stock-based compensation, which will remain a key element of our overall compensation package; and</w:t>
      </w:r>
    </w:p>
    <w:p>
      <w:pPr>
        <w:spacing w:after="0" w:line="225" w:lineRule="exact"/>
        <w:rPr>
          <w:rFonts w:ascii="Times New Roman" w:cs="Times New Roman" w:eastAsia="Times New Roman" w:hAnsi="Times New Roman"/>
          <w:sz w:val="18"/>
          <w:szCs w:val="18"/>
          <w:color w:val="auto"/>
        </w:rPr>
      </w:pPr>
    </w:p>
    <w:p>
      <w:pPr>
        <w:ind w:left="980" w:hanging="311"/>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the impact of earnings or charges resulting from matters we consider not to be indicative of our ongoing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Although depreciation and amortization are eliminated in the calculation of Adjusted EBITDA and Adjusted EBITDA margin, the assets being depreciated and amortized will often have to be replaced in the future, and Adjusted EBITDA and Adjusted EBITDA margin do not reflect any costs of such replacements.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compensates for these limitations by primarily relying on our GAAP results, while using Adjusted EBITDA and Adjusted EBITDA margin as supplements to the corresponding GAAP financial measures.</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our net loss to Adjusted EBITDA for the periods presented and the calculation of Adjusted EBITDA margin (dollars in thousands):</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Fiscal Quarter Ended</w:t>
            </w:r>
          </w:p>
        </w:tc>
        <w:tc>
          <w:tcPr>
            <w:tcW w:w="1320" w:type="dxa"/>
            <w:vAlign w:val="bottom"/>
            <w:tcBorders>
              <w:bottom w:val="single" w:sz="8" w:color="auto"/>
            </w:tcBorders>
          </w:tcPr>
          <w:p>
            <w:pPr>
              <w:spacing w:after="0"/>
              <w:rPr>
                <w:sz w:val="20"/>
                <w:szCs w:val="20"/>
                <w:color w:val="auto"/>
              </w:rPr>
            </w:pPr>
          </w:p>
        </w:tc>
      </w:tr>
      <w:tr>
        <w:trPr>
          <w:trHeight w:val="214"/>
        </w:trPr>
        <w:tc>
          <w:tcPr>
            <w:tcW w:w="5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28,</w:t>
            </w:r>
          </w:p>
        </w:tc>
        <w:tc>
          <w:tcPr>
            <w:tcW w:w="500" w:type="dxa"/>
            <w:vAlign w:val="bottom"/>
          </w:tcPr>
          <w:p>
            <w:pPr>
              <w:spacing w:after="0"/>
              <w:rPr>
                <w:sz w:val="18"/>
                <w:szCs w:val="18"/>
                <w:color w:val="auto"/>
              </w:rPr>
            </w:pP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8"/>
              </w:rPr>
              <w:t>March 29,</w:t>
            </w:r>
          </w:p>
        </w:tc>
      </w:tr>
      <w:tr>
        <w:trPr>
          <w:trHeight w:val="238"/>
        </w:trPr>
        <w:tc>
          <w:tcPr>
            <w:tcW w:w="55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(8,534)</w:t>
            </w:r>
          </w:p>
        </w:tc>
        <w:tc>
          <w:tcPr>
            <w:tcW w:w="7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(5,962)</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13,067</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12,400</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4,756</w:t>
            </w:r>
          </w:p>
        </w:tc>
        <w:tc>
          <w:tcPr>
            <w:tcW w:w="7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6,371</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Pr>
          <w:p>
            <w:pPr>
              <w:spacing w:after="0"/>
              <w:rPr>
                <w:sz w:val="19"/>
                <w:szCs w:val="19"/>
                <w:color w:val="auto"/>
              </w:rPr>
            </w:pP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(2,806)</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(4,079)</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and disposal of property and equipment</w:t>
            </w:r>
          </w:p>
        </w:tc>
        <w:tc>
          <w:tcPr>
            <w:tcW w:w="32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5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3"/>
                <w:szCs w:val="23"/>
                <w:color w:val="auto"/>
                <w:vertAlign w:val="superscript"/>
              </w:rPr>
              <w:t>(a)</w:t>
            </w:r>
          </w:p>
        </w:tc>
        <w:tc>
          <w:tcPr>
            <w:tcW w:w="320" w:type="dxa"/>
            <w:vAlign w:val="bottom"/>
          </w:tcPr>
          <w:p>
            <w:pPr>
              <w:spacing w:after="0"/>
              <w:rPr>
                <w:sz w:val="19"/>
                <w:szCs w:val="19"/>
                <w:color w:val="auto"/>
              </w:rPr>
            </w:pPr>
          </w:p>
        </w:tc>
        <w:tc>
          <w:tcPr>
            <w:tcW w:w="222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5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3"/>
                <w:szCs w:val="23"/>
                <w:color w:val="auto"/>
                <w:vertAlign w:val="superscript"/>
              </w:rPr>
              <w:t>(b)</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1,104</w:t>
            </w:r>
          </w:p>
        </w:tc>
        <w:tc>
          <w:tcPr>
            <w:tcW w:w="7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1,971</w:t>
            </w:r>
          </w:p>
        </w:tc>
      </w:tr>
      <w:tr>
        <w:trPr>
          <w:trHeight w:val="230"/>
        </w:trPr>
        <w:tc>
          <w:tcPr>
            <w:tcW w:w="5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Unrealized losses (gains) on foreign currency transactions</w:t>
            </w:r>
            <w:r>
              <w:rPr>
                <w:rFonts w:ascii="Times New Roman" w:cs="Times New Roman" w:eastAsia="Times New Roman" w:hAnsi="Times New Roman"/>
                <w:sz w:val="23"/>
                <w:szCs w:val="23"/>
                <w:color w:val="auto"/>
                <w:vertAlign w:val="superscript"/>
              </w:rPr>
              <w:t>(c)</w:t>
            </w:r>
          </w:p>
        </w:tc>
        <w:tc>
          <w:tcPr>
            <w:tcW w:w="32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997</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(417)</w:t>
            </w:r>
          </w:p>
        </w:tc>
      </w:tr>
      <w:tr>
        <w:trPr>
          <w:trHeight w:val="229"/>
        </w:trPr>
        <w:tc>
          <w:tcPr>
            <w:tcW w:w="5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Strategic initiative costs</w:t>
            </w:r>
            <w:r>
              <w:rPr>
                <w:rFonts w:ascii="Times New Roman" w:cs="Times New Roman" w:eastAsia="Times New Roman" w:hAnsi="Times New Roman"/>
                <w:sz w:val="23"/>
                <w:szCs w:val="23"/>
                <w:color w:val="auto"/>
                <w:vertAlign w:val="superscript"/>
              </w:rPr>
              <w:t>(d)</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450</w:t>
            </w:r>
          </w:p>
        </w:tc>
        <w:tc>
          <w:tcPr>
            <w:tcW w:w="7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644</w:t>
            </w:r>
          </w:p>
        </w:tc>
      </w:tr>
      <w:tr>
        <w:trPr>
          <w:trHeight w:val="229"/>
        </w:trPr>
        <w:tc>
          <w:tcPr>
            <w:tcW w:w="5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Acquisition and integration related costs</w:t>
            </w:r>
            <w:r>
              <w:rPr>
                <w:rFonts w:ascii="Times New Roman" w:cs="Times New Roman" w:eastAsia="Times New Roman" w:hAnsi="Times New Roman"/>
                <w:sz w:val="23"/>
                <w:szCs w:val="23"/>
                <w:color w:val="auto"/>
                <w:vertAlign w:val="superscript"/>
              </w:rPr>
              <w:t>(e)</w:t>
            </w:r>
          </w:p>
        </w:tc>
        <w:tc>
          <w:tcPr>
            <w:tcW w:w="32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3,126</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267</w:t>
            </w:r>
          </w:p>
        </w:tc>
      </w:tr>
      <w:tr>
        <w:trPr>
          <w:trHeight w:val="230"/>
        </w:trPr>
        <w:tc>
          <w:tcPr>
            <w:tcW w:w="5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(f)</w:t>
            </w:r>
          </w:p>
        </w:tc>
        <w:tc>
          <w:tcPr>
            <w:tcW w:w="32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12,160</w:t>
            </w:r>
          </w:p>
        </w:tc>
        <w:tc>
          <w:tcPr>
            <w:tcW w:w="7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11,139</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117,315</w:t>
            </w:r>
          </w:p>
        </w:tc>
        <w:tc>
          <w:tcPr>
            <w:tcW w:w="7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111,420</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margin</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5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3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7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225" w:lineRule="exact"/>
        <w:rPr>
          <w:sz w:val="20"/>
          <w:szCs w:val="20"/>
          <w:color w:val="auto"/>
        </w:rPr>
      </w:pPr>
    </w:p>
    <w:p>
      <w:pPr>
        <w:ind w:left="240" w:hanging="232"/>
        <w:spacing w:after="0"/>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that include severance and other expenses for our executive management changes.</w:t>
      </w:r>
    </w:p>
    <w:p>
      <w:pPr>
        <w:spacing w:after="0" w:line="2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stock-based compensation expense.</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unrealized foreign currency transaction losses (gains) associated with our international subsidiaries.</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paid to external consultants and other expenses for our strategic initiatives.</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 and integration costs as well as other costs related to potential transactions.</w:t>
      </w:r>
    </w:p>
    <w:p>
      <w:pPr>
        <w:spacing w:after="0" w:line="9" w:lineRule="exact"/>
        <w:rPr>
          <w:rFonts w:ascii="Times New Roman" w:cs="Times New Roman" w:eastAsia="Times New Roman" w:hAnsi="Times New Roman"/>
          <w:sz w:val="18"/>
          <w:szCs w:val="18"/>
          <w:color w:val="auto"/>
        </w:rPr>
      </w:pPr>
    </w:p>
    <w:p>
      <w:pPr>
        <w:ind w:left="260" w:right="180" w:hanging="252"/>
        <w:spacing w:after="0" w:line="260" w:lineRule="auto"/>
        <w:tabs>
          <w:tab w:leader="none" w:pos="25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consist of other discrete items as determined by management, primarily including (i) fees paid to external advisors for various matters and (ii) other items.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220" w:firstLine="648"/>
        <w:spacing w:after="0" w:line="281" w:lineRule="auto"/>
        <w:rPr>
          <w:sz w:val="20"/>
          <w:szCs w:val="20"/>
          <w:color w:val="auto"/>
        </w:rPr>
      </w:pPr>
      <w:r>
        <w:rPr>
          <w:rFonts w:ascii="Times New Roman" w:cs="Times New Roman" w:eastAsia="Times New Roman" w:hAnsi="Times New Roman"/>
          <w:sz w:val="17"/>
          <w:szCs w:val="17"/>
          <w:color w:val="auto"/>
        </w:rPr>
        <w:t>Our primary sources of liquidity are net cash provided by operating activities and availability under our Revolving Credit Facility (as defined below). Historically, we have funded working capital requirements, capital expenditures, payments related to acquisitions, and debt service requirements with internally generated cash on hand, through borrowings under our credit facilities, and through the issuance of shares of our common stock. Our primary cash needs are to fund working capital, capital expenditures, debt service requirements, any acquisitions or investments we may undertake.</w:t>
      </w:r>
    </w:p>
    <w:p>
      <w:pPr>
        <w:spacing w:after="0" w:line="164"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As of March 28, 2026, we had $27.5 million of cash, $280.2 million of outstanding borrowings and an additional $44.0 million of borrowing availability under our Revolving Credit Facility.</w:t>
      </w:r>
    </w:p>
    <w:p>
      <w:pPr>
        <w:spacing w:after="0" w:line="189"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Our primary working capital requirements are for the purchase of inventory, payroll, rent, facility costs and other selling, general, and administrative costs. Our working capital requirements fluctuate during the fiscal year, driven primarily by seasonality and the timing of raw material purchases. Our capital expenditures are primarily related to our</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growth strategy, including production capacity, diversifying our product offerings, storage, and delivery equipment. We are in the middle of our digital transformation effort to upgrade all of our technology and enterprise resource planning ("ERP") systems. We expect to fund these capital expenditures from net cash provided by operating activities or the utilization of a portion of our borrowing availability under our Revolving Credit Facility.</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disciplined capital activity allocation strategy remains focused on deploying capital opportunistically to position Latham for profitable organic and acquisition-related growth and to de-lever and further reduce our net debt leverage ratio.</w:t>
      </w:r>
    </w:p>
    <w:p>
      <w:pPr>
        <w:spacing w:after="0" w:line="18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It is our belief that our existing cash, cash generated from operations and availability under our Revolving Credit Facility will be adequate to fund our operating expenses and capital expenditure requirements over the next 12 months, as well as our longer-term liquidity needs. We have based this estimate on assumptions that may prove to be wrong, and we could utilize our available capital resources sooner than we expect. We may issue debt or equity securities, which may provide an additional source of liquidity. However, there can be no assurance equity or debt financing will be available to us when we need it or, if available, the terms will be satisfactory to us and not dilutive to our then-current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w:t>
      </w:r>
    </w:p>
    <w:p>
      <w:pPr>
        <w:spacing w:after="0" w:line="229"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On February 23, 2022, Latham Pool Products, Inc. (“Latham Pool Products”), our wholly owned subsidiary, entered into the Credit Agreement with Barclays Bank PLC (the "Credit Agreement"), which provides a senior secured multicurrency revolving line of credit (the "Revolving Credit Facility") in an initial principal amount of $75.0 million and a U.S. Dollar senior secured term loan (the “Term Loan”) in an initial principal amount of $325.0 million.</w:t>
      </w:r>
    </w:p>
    <w:p>
      <w:pPr>
        <w:spacing w:after="0" w:line="15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obligations under the Credit Agreement are guaranteed by certain of our wholly owned subsidiaries as defined in the security agreement. The obligations under the Credit Agreement are secured by substantially all of the guarantors’ tangible and intangible assets, including, but not limited to, their accounts receivables, equipment, intellectual property, inventory, cash and cash equivalents, deposit accounts and security accounts.</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are required to meet certain financial covenants, including maintaining specific liquidity measurements. There are also negative covenants, including certain restrictions on our ability and the ability of our subsidiaries to incur additional indebtedness, create liens, make investments, consolidate or merge with other entities, enter into transactions with affiliates, make prepayments with respect to certain indebtedness, make dividend payments, loans, or advances to us, declare dividends and make restricted payments and other distributions.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28, 2026, we were in compliance with all covenants under the Credit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Revolving Credit Facility may be utilized to finance ongoing general corporate and working capital needs and permits Latham Pool Products to borrow loans in U.S. Dollars, Canadian Dollars, Euros and Australian Dollars. The Revolving Credit Facility matures on February 23, 2027. Loans outstanding under the Revolving Credit Facility denominated in U.S. Dollars and Canadian Dollars bear interest, at the borrower’s option, at a rate per annum based on Term SOFR or CDO (each, as defined in the Credit Agreement), as applicable, plus a margin of 3.50%, or at a rate per annum based on the Base Rate or the Canadian Prime Rate (each, as defined in the Credit Agreement), plus a margin of 2.50%. Loans outstanding under the Revolving Credit Facility denominated in Euros or Australian Dollars bear interest based on EURIBOR or the AUD Rate (each, as defined in the Credit Agreement), respectively, plus a margin of 3.50%. A commitment fee accrues on any unused portion of the commitments under the Revolving Credit Facility. The commitment fee is due and payable quarterly in arrears, and initially was 0.375% per annum and, thereafter accrues at a rate per annum ranging from 0.25% to 0.50%, depending on the First Lien Net Leverage Ratio. Borrowings under the Revolving Credit Facility are not subject to amortization and are due at maturity.</w:t>
      </w:r>
    </w:p>
    <w:p>
      <w:pPr>
        <w:spacing w:after="0" w:line="18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of March 28, 2026, we had $31.0 million in outstanding borrowings under the Revolving Credit Facility and $44.0 million was available for future borrowing.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Term Loan matures on February 23, 2029. Loans outstanding under the Term Loan bear interest, at the borrower’s option, at a rate per annum based on Term SOFR (as defined in the Credit Agreement), plus a margin ranging from 3.75%</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to 4.00%, depending on the First Lien Net Leverage Ratio, or based on the Base Rate (each as defined in the Credit Agreement), plus a margin ranging from 2.75% to 3.00%, depending on the First Lien Net Leverage Ratio. Loans under the Term Loan are subject to scheduled quarterly amortization payments equal to 0.25% of the initial principal amount of the Term Loan.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28, 2026, we had $280.2 million of outstanding borrowings under the Term Loan.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 (dollars in thousands):</w:t>
      </w:r>
    </w:p>
    <w:p>
      <w:pPr>
        <w:spacing w:after="0" w:line="262" w:lineRule="exact"/>
        <w:rPr>
          <w:sz w:val="20"/>
          <w:szCs w:val="20"/>
          <w:color w:val="auto"/>
        </w:rPr>
      </w:pPr>
    </w:p>
    <w:tbl>
      <w:tblPr>
        <w:tblLayout w:type="fixed"/>
        <w:tblInd w:w="152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4"/>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Fiscal Quarter Ended</w:t>
            </w:r>
          </w:p>
        </w:tc>
      </w:tr>
      <w:tr>
        <w:trPr>
          <w:trHeight w:val="214"/>
        </w:trPr>
        <w:tc>
          <w:tcPr>
            <w:tcW w:w="4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28,</w:t>
            </w:r>
          </w:p>
        </w:tc>
        <w:tc>
          <w:tcPr>
            <w:tcW w:w="280" w:type="dxa"/>
            <w:vAlign w:val="bottom"/>
          </w:tcPr>
          <w:p>
            <w:pPr>
              <w:spacing w:after="0"/>
              <w:rPr>
                <w:sz w:val="18"/>
                <w:szCs w:val="18"/>
                <w:color w:val="auto"/>
              </w:rPr>
            </w:pPr>
          </w:p>
        </w:tc>
        <w:tc>
          <w:tcPr>
            <w:tcW w:w="14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29,</w:t>
            </w:r>
          </w:p>
        </w:tc>
      </w:tr>
      <w:tr>
        <w:trPr>
          <w:trHeight w:val="238"/>
        </w:trPr>
        <w:tc>
          <w:tcPr>
            <w:tcW w:w="4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0"/>
        </w:trPr>
        <w:tc>
          <w:tcPr>
            <w:tcW w:w="4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(47,720)</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(46,882)</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(24,899)</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(8,386)</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28,402</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22,493</w:t>
            </w:r>
          </w:p>
        </w:tc>
      </w:tr>
      <w:tr>
        <w:trPr>
          <w:trHeight w:val="229"/>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6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(43,562)</w:t>
            </w:r>
          </w:p>
        </w:tc>
        <w:tc>
          <w:tcPr>
            <w:tcW w:w="6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(32,432)</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fiscal quarter ended March 28, 2026, operating activities used $47.7 million of cash. Net loss, after adjustments for non-cash items, provided cash of $8.0 million. Cash used in operating activities was primarily driven by changes in our operating assets and liabilities, which used $55.7 million. Net cash used due to changes in our operating assets and liabilities for the fiscal quarter ended March 28, 2026 consisted primarily of a $49.5 million increase in trade receivables, a $9.6 million increase in inventories, a $3.0 million increase in income tax receivable, a $2.3 million decrease in accrued expenses and other current liabilities, a $0.8 million increase in prepaid expenses and other current assets and a $0.1 million increase in other assets, partially offset by a $9.7 million increase in accounts payable. The change in trade receivables was primarily driven by the increase and timing of net sales, the change in accounts payable was primarily driven by volume of purchases and timing of payments and the change in inventories was primarily driven by the acquisition of Freedom Pools.</w:t>
      </w:r>
    </w:p>
    <w:p>
      <w:pPr>
        <w:spacing w:after="0" w:line="19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During the fiscal quarter ended March 29, 2025, operating activities used $46.9 million of cash. Net loss, after adjustments for non-cash items, provided cash of $10.3 million. Cash used in operating activities was driven by changes in our operating assets and liabilities of $57.2 million. Net cash used due to changes in our operating assets and liabilities for the fiscal quarter ended March 29, 2025 consisted primarily of a $52.6 million increase in trade receivables, a $9.6 million increase in inventories, a $4.9 million decrease in accrued expenses and other current liabilities, a $4.6 million increase in income tax receivable, a $0.1 million decrease in other long-term liabilities and a less than $0.1 million increase in other assets, partially offset by a $14.3 million increase in accounts payable and a $0.2 million decrease in prepaid expenses and other current assets. The change in trade receivables was primarily driven by the timing of net sales. The change in inventory was driven by pre-purchasing due to the global trade environment. The changes in accrued expenses and other current liabilities and accounts payable were primarily driven by volume of purchases and timing of payments.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fiscal quarter ended March 28, 2026, investing activities used $24.9 million of cash, consisting of a cash payment for the acquisition of business, net of cash acquired of $14.4 million and purchases of property and equipment for $10.5 million. Acquisition of business, net of cash acquired included a $13.9 million cash paid for the acquisition of Freedom Pools and $0.5 million for a holdback paid related to the acquisition of two of our smaller autocover dealers in New York and Tennessee. Purchases of property and equipment included the second payment of $5.6 million that was paid as a follow up to the deposit made in the prior year of $12.0 million for the purchase of four fiberglass plants that had previously been leased. The remainder was primarily to expand capacity for production and diversify offerings, especially for fiberglass pools, and on-going strategic initiatives such as digital transformation.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29, 2025, investing activities used $8.4 million of cash, consisting of the acquisition of two of our autocover dealers of $4.9 million and purchases of property and equipment for $3.5 million. The purchases of property and equipment was primarily to expand capacity for production and diversify offerings, especially for fiberglass pools, the majority of which relates to finishing up carryover projects from the prior year.</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28, 2026, financing activities provided $28.4 million of cash, primarily consisting of proceeds from borrowing on our Revolving Credit Facility of $31.0 million, partially offset by common stock withheld for taxes on restricted stock units of $2.4 million and repayments of finance lease obligations of $0.2 million.</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29, 2025, financing activities provided $22.5 million of cash, primarily consisting of long-term debt borrowings of $25.0 million partially offset by common stock withheld for taxes on restricted stock units of $2.3 million and repayments of finance lease obligations of $0.2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outside of the ordinary course of business, to our contractual obligations during the fiscal quarter ended March 28, 2026 from those described under the heading “Management’s Discussion and Analysis of Financial Condition and Results of Operations—Contractual Obligations” in our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generally accepted accounting principles in the United States. Throughout the preparation of these financial statements, we have made estimates and assumptions that impact the reported amounts of assets, liabilities, and the disclosure of contingent liabilities at the date of the financial statements and revenues and expenses during the reporting period. Our critical accounting policies and estimates are described under the heading “Management’s Discussion and Analysis of Financial Condition and Results of Operations—Critical Accounting Policies and Estimates” in our Annual Report and Note 2 to our condensed consolidated financial statements in this Quarterly Report on Form 10-Q. These estimates are based on historical results, trends, and other assumptions we believe to be reasonable. We evaluate these estimates on an ongoing basis. Actual results may differ from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and notes to such financial statements, is disclosed in Note 2 to our condensed consolidated financial statements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Market risk is the potential loss that may result from market changes associated with our business or with an existing or forecasted financial transaction. The value of a financial instrument may change as a result of changes in interest rates, exchange rates, commodity prices, equity prices and other market changes. We are exposed to changes in interest rates and foreign currency exchange rates because we finance certain operations through variable rate debt instruments and denominate some of our transactions in foreign currencies. Changes in these rates may have an impact on future cash flow and earnings. We manage these risks through normal operating and financing activities.</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28, 2026, there have been no material changes to the information included under the heading “Management’s Discussion and Analysis of Financial Condition and Results of Operations— Quantitative and Qualitative Disclosures about Market Risk” in our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entered into an interest rate swap that was executed on March 10, 2023 (the “2023 Interest Rate Swap”). The 2023 Interest Rate Swap had an effective date of May 18, 2023 and a termination date of May 18, 2026. Under the terms of the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2023 Interest Rate Swap, we fixed our SOFR borrowing rate on a notional amount of $161.0 million. The 2023 Interest Rate Swap was not designated as a hedging instrument for accounting purposes.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Additionally, we entered into a new interest rate swap that was executed on June 4, 2025 (the “2025 Interest Rate Swap”). As part of the 2025 Interest Rate Swap, we terminated the 2023 Interest Rate Swap prior to its May 18, 2026 termination date. The 2025 Interest Rate Swap became effective on May 19, 2025 and has a termination date of May 18, 2027. Under the terms of the 2025 Interest Rate Swap, we fixed our SOFR borrowing rate on a notional amount of $140.0 million. The 2025 Interest Rate Swap is not designated as a hedging instrument for accounting purposes.</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An increase or decrease of 1% in the effective interest rate, giving effect related to interest rate swaps, as of March 28, 2026, would cause an increase or decrease to annual interest expense, net of approximately $1.4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Disclosure controls and procedures (as defined in Rules 13a-15(e) and 15d-15(e) under the Exchange Act) are controls and other procedures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6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March 28, 2026. Based upon their evaluation, our Chief Executive Officer and Chief Financial Officer concluded that our disclosure controls and procedures were effective at a reasonable assurance level as of March 28,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Starting in the second quarter of 2024, as part of a multi-year implementation of a new ERP system, the Company began utilizing certain aspects of the new ERP system. Eventually, this ERP system will replace the existing core financial systems. The ERP system is designed to accurately maintain the Company’s financial records, enhance the flow of financial information, improve data management and provide timely information to its management team. The Company does not believe the changes implemented to date represent a material change in internal control over financial reporting.</w:t>
      </w:r>
    </w:p>
    <w:p>
      <w:pPr>
        <w:spacing w:after="0" w:line="180" w:lineRule="exact"/>
        <w:rPr>
          <w:sz w:val="20"/>
          <w:szCs w:val="20"/>
          <w:color w:val="auto"/>
        </w:rPr>
      </w:pPr>
    </w:p>
    <w:p>
      <w:pPr>
        <w:jc w:val="both"/>
        <w:ind w:right="60"/>
        <w:spacing w:after="0" w:line="312" w:lineRule="auto"/>
        <w:rPr>
          <w:sz w:val="20"/>
          <w:szCs w:val="20"/>
          <w:color w:val="auto"/>
        </w:rPr>
      </w:pPr>
      <w:r>
        <w:rPr>
          <w:rFonts w:ascii="Times New Roman" w:cs="Times New Roman" w:eastAsia="Times New Roman" w:hAnsi="Times New Roman"/>
          <w:sz w:val="17"/>
          <w:szCs w:val="17"/>
          <w:color w:val="auto"/>
        </w:rPr>
        <w:t>There were no other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a control system must reflect the fact that there are resource constraints and that management is required to apply judgment in evaluating the benefits of possible controls and procedures relative to their costs. Further, because of the inherent limitations in all control systems, no evaluation of controls can provide absolute assurance that misstatements related to error or fraud will not occur or that all control issues and instances of fraud, if any, have been detected.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we may be involved in legal proceedings in the ordinary course of business, including, among others, contract and employment claims, personal injury claims, intellectual property claims, product liability claims and warranty claims, some of which may be covered by insurance. Currently, there are no legal proceedings against us that we believe will have a material adverse effect on our business, financial condition, results of operations or cash flows. Further, no material legal proceedings were terminated, settled, or otherwise resolved during the fiscal quarter ended March 28, 2026. However, the results of any current or future legal proceedings cannot be predicted with certainty and, regardless of the outcome, we may incur significant costs and experience a diversion of management resources as a result of legal proceedings.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We have disclosed under the heading “Risk Factors” in our Annual Report, the risk factors that materially affect our business, financial condition, and results of operations. Except as set forth below, there have been no material changes from the risk factors previously disclosed in our Annual Report. You should carefully consider the risks, uncertainties, assumptions and other important factors set forth in the Annual Report and other subsequent reports we file with the SEC, including this Quarterly Report on Form 10-Q, any of which may cause our actual results, performance or achievements to be materially different from any future results, performance or achievements expressed or implied. For similar reasons, our past results may not be a reliable indicator of future performance and trends. You also should be aware that these risk factors and other information do not describe every risk that we face. Additional risks and uncertainties not currently known to us or that we currently deem to be immaterial also may affect us. We operate in a very competitive and rapidly changing environment and new risks emerge from time to time, and we anticipate that subsequent events and developments will cause our views to change. In addition, these risks do not reflect the potential impact of any future acquisitions, mergers, dispositions, joint ventures or investments we may undertake. Any of these known or emerging factors may materially adversely affect our business, financial condition, and operating results, as well as the trading price of our common stock.</w:t>
      </w:r>
    </w:p>
    <w:p>
      <w:pPr>
        <w:spacing w:after="0" w:line="18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political uncertainty and financial market volatility caused by political instability, changes in international trade relationships and conflicts could make it more difficult for us to access financing and could adversely affect our business and operations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Political uncertainty, an increase in trade protectionism or geopolitical conflict could have a material adverse effect on global macroeconomic activities and trade and adversely affect our business, results of operations and financial condition.</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conflict in the Middle East between the United States, Israel and Iran and related geopolitical instability may adversely affect our business. In February 2026, the United States and Israel launched coordinated military strikes against Iran, which retaliated with missile attacks across the region and has since taken actions to disrupt ocean bound vessels carrying petroleum and other supplies from passing through the Strait of Hormuz. The ongoing conflict and any further escalation, including additional military actions, retaliatory measures, sanctions, disruptions to trade or transportation routes, cyberattacks, or other governmental or market responses, has and could continue to lead to significant disruption of global energy supplies and increases in global energy prices, heighten inflationary pressures on our input costs and supply chain, adversely affect global supply chains, energy markets, commodity prices, currency exchange rates, interest rates, financial markets and overall macroeconomic conditions, increase the cost or reduce the availability of debt financing, and adversely impact customer spending patterns in markets in which we operate. To the extent that we are unable to offset potential increases in energy and commodity costs with price increases and other mitigation actions, our profitability and overall financial results could be adversely impacted by the ongoing conflict.</w:t>
      </w:r>
    </w:p>
    <w:p>
      <w:pPr>
        <w:spacing w:after="0" w:line="221"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rise of economic nationalist sentiments, trade protectionism and geopolitical security has led to increasing political uncertainty and unpredictability throughout the world. Additionally, there can be no assurance that additional or new trade tensions, imposition of import and export restrictions and tariffs will not arise between various trade partners. These potential developments, market perceptions concerning these and related issues and the attendant regulatory uncertainty regarding, for example, the posture of governments with respect to international trade or national security issues, could have a material adverse effect on global trade and economic growth which, in turn, can adversely affect our business, results of operation and financial condition.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Increased trade protectionism or the perception that it may occur could materially adversely affect our business. Increasing trade protectionism may cause an increase in the cost of products exported from regions globally, the length of time required to transport products, and the risks associated with exporting products. Such increases may have an adverse impact on our business, operating schedule and financial condition. If the current global economy or outlook is undermined by downside risks and there is a prolonged economic downturn, governments may resort to new or enhanced trade barriers to protect their domestic industries against imports, thereby depressing demand.</w:t>
      </w:r>
    </w:p>
    <w:p>
      <w:pPr>
        <w:spacing w:after="0" w:line="21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Protectionist developments or adverse international political tensions or developments, or the perception they may occur, may have a material adverse effect on global economic conditions, and may significantly reduce global trade. Increasing trade protectionism in the markets could increase the risks associated with exporting goods to such markets. These developments could have a material adverse effect on our business, results of operations and financial condition.</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 – Directors and Section 16 Officers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28, 2026, none of the Company’s directors or Section 16 officers adopted or terminated (i) any contract, instruction or written plan for the purchase or sale of Company securities that was intended to satisfy the affirmative defense conditions of Rule 10b5-1(c) of the Exchange Act or (ii)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w:t>
            </w:r>
          </w:p>
        </w:tc>
        <w:tc>
          <w:tcPr>
            <w:tcW w:w="2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48"/>
        </w:trPr>
        <w:tc>
          <w:tcPr>
            <w:tcW w:w="11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182"/>
        </w:trPr>
        <w:tc>
          <w:tcPr>
            <w:tcW w:w="1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8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Amended and Restated Certificate of Incorporation of Latham Group, Inc. (incorporated by reference to Exhibit 3.1 to Latham Group,</w:t>
              </w:r>
            </w:hyperlink>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gridSpan w:val="5"/>
          </w:tcPr>
          <w:p>
            <w:pPr>
              <w:spacing w:after="0" w:line="15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Inc.’s Quarterly Report on Form 10-Q filed with the SEC on June 3, 2021 (File No. 001-40358))</w:t>
              </w:r>
            </w:hyperlink>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Amended and Restated Bylaws of Latham Group, Inc. (incorporated by reference to Exhibit 3.2 to Latham Group, Inc.’s Quarterly Report</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gridSpan w:val="6"/>
          </w:tcPr>
          <w:p>
            <w:pPr>
              <w:spacing w:after="0" w:line="15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on Form 10-Q filed with the SEC on June 3, 2021 (File No. 001-40358))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7"/>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64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Latham Group, Inc. Amended and Restated Non-Employee Director Compensation Plan</w:t>
              </w:r>
            </w:hyperlink>
          </w:p>
        </w:tc>
        <w:tc>
          <w:tcPr>
            <w:tcW w:w="354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dated January 1, 2026 (incorporated by reference</w:t>
              </w:r>
            </w:hyperlink>
          </w:p>
        </w:tc>
        <w:tc>
          <w:tcPr>
            <w:tcW w:w="20" w:type="dxa"/>
            <w:vAlign w:val="bottom"/>
          </w:tcPr>
          <w:p>
            <w:pPr>
              <w:spacing w:after="0"/>
              <w:rPr>
                <w:sz w:val="24"/>
                <w:szCs w:val="24"/>
                <w:color w:val="auto"/>
              </w:rPr>
            </w:pPr>
          </w:p>
        </w:tc>
      </w:tr>
      <w:tr>
        <w:trPr>
          <w:trHeight w:val="136"/>
        </w:trPr>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20" w:type="dxa"/>
            <w:vAlign w:val="bottom"/>
            <w:tcBorders>
              <w:bottom w:val="single" w:sz="8" w:color="0000FF"/>
            </w:tcBorders>
            <w:gridSpan w:val="2"/>
          </w:tcPr>
          <w:p>
            <w:pPr>
              <w:spacing w:after="0" w:line="136" w:lineRule="exact"/>
              <w:rPr>
                <w:rFonts w:ascii="Times New Roman" w:cs="Times New Roman" w:eastAsia="Times New Roman" w:hAnsi="Times New Roman"/>
                <w:sz w:val="15"/>
                <w:szCs w:val="15"/>
                <w:color w:val="0000FF"/>
              </w:rPr>
            </w:pPr>
            <w:hyperlink r:id="rId92">
              <w:r>
                <w:rPr>
                  <w:rFonts w:ascii="Times New Roman" w:cs="Times New Roman" w:eastAsia="Times New Roman" w:hAnsi="Times New Roman"/>
                  <w:sz w:val="15"/>
                  <w:szCs w:val="15"/>
                  <w:color w:val="0000FF"/>
                </w:rPr>
                <w:t>to Exhibit 10.27 to Latham Group, Inc.'s Annual Report on Form 10-K filed with the SEC</w:t>
              </w:r>
            </w:hyperlink>
          </w:p>
        </w:tc>
        <w:tc>
          <w:tcPr>
            <w:tcW w:w="1460" w:type="dxa"/>
            <w:vAlign w:val="bottom"/>
            <w:tcBorders>
              <w:bottom w:val="single" w:sz="8" w:color="0000FF"/>
            </w:tcBorders>
            <w:gridSpan w:val="2"/>
          </w:tcPr>
          <w:p>
            <w:pPr>
              <w:ind w:left="120"/>
              <w:spacing w:after="0" w:line="136" w:lineRule="exact"/>
              <w:rPr>
                <w:rFonts w:ascii="Times New Roman" w:cs="Times New Roman" w:eastAsia="Times New Roman" w:hAnsi="Times New Roman"/>
                <w:sz w:val="15"/>
                <w:szCs w:val="15"/>
                <w:color w:val="0000FF"/>
              </w:rPr>
            </w:pPr>
            <w:hyperlink r:id="rId92">
              <w:r>
                <w:rPr>
                  <w:rFonts w:ascii="Times New Roman" w:cs="Times New Roman" w:eastAsia="Times New Roman" w:hAnsi="Times New Roman"/>
                  <w:sz w:val="15"/>
                  <w:szCs w:val="15"/>
                  <w:color w:val="0000FF"/>
                </w:rPr>
                <w:t>on March 4, 2026)</w:t>
              </w:r>
            </w:hyperlink>
          </w:p>
        </w:tc>
        <w:tc>
          <w:tcPr>
            <w:tcW w:w="20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r>
    </w:tbl>
    <w:p>
      <w:pPr>
        <w:spacing w:after="0" w:line="103"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CEO, pursuant to SEC Rule 13a-14(a) and 15d-14(a)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CFO, pursuant to SEC Rule 13a-14(a) and 15d-14(a)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by the CEO, pursuant to 18 U.S.C. Section 1350, as adopted pursuant to Section 906 of the Sarbanes-Oxley Act of 2002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by the CFO, pursuant to 18 U.S.C. Section 1350, as adopted pursuant to Section 906 of the Sarbanes-Oxley Act of 2002</w:t>
      </w:r>
    </w:p>
    <w:p>
      <w:pPr>
        <w:spacing w:after="0" w:line="77" w:lineRule="exact"/>
        <w:rPr>
          <w:sz w:val="20"/>
          <w:szCs w:val="20"/>
          <w:color w:val="auto"/>
        </w:rPr>
      </w:pPr>
    </w:p>
    <w:p>
      <w:pPr>
        <w:ind w:right="720"/>
        <w:spacing w:after="0" w:line="237"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77" w:lineRule="exact"/>
        <w:rPr>
          <w:sz w:val="20"/>
          <w:szCs w:val="20"/>
          <w:color w:val="auto"/>
        </w:rPr>
      </w:pPr>
    </w:p>
    <w:p>
      <w:pPr>
        <w:sectPr>
          <w:pgSz w:w="11900" w:h="16838" w:orient="portrait"/>
          <w:cols w:equalWidth="0" w:num="2">
            <w:col w:w="720" w:space="540"/>
            <w:col w:w="998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115" w:lineRule="exact"/>
        <w:rPr>
          <w:sz w:val="20"/>
          <w:szCs w:val="20"/>
          <w:color w:val="auto"/>
        </w:rPr>
      </w:pPr>
    </w:p>
    <w:p>
      <w:pPr>
        <w:sectPr>
          <w:pgSz w:w="11900" w:h="16838" w:orient="portrait"/>
          <w:cols w:equalWidth="0" w:num="2">
            <w:col w:w="800" w:space="460"/>
            <w:col w:w="998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225" w:lineRule="exact"/>
        <w:rPr>
          <w:sz w:val="20"/>
          <w:szCs w:val="20"/>
          <w:color w:val="auto"/>
        </w:rPr>
      </w:pPr>
    </w:p>
    <w:p>
      <w:pPr>
        <w:ind w:left="1060" w:hanging="1052"/>
        <w:spacing w:after="0"/>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1060" w:hanging="1052"/>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25" w:lineRule="exact"/>
        <w:rPr>
          <w:sz w:val="20"/>
          <w:szCs w:val="20"/>
          <w:color w:val="auto"/>
        </w:rPr>
      </w:pPr>
    </w:p>
    <w:p>
      <w:pPr>
        <w:ind w:left="1060" w:hanging="1052"/>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6, 2026</w:t>
      </w:r>
    </w:p>
    <w:p>
      <w:pPr>
        <w:spacing w:after="0" w:line="2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LATHAM GROUP, INC.</w:t>
      </w:r>
    </w:p>
    <w:p>
      <w:pPr>
        <w:spacing w:after="0" w:line="18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 Oliver C. Gloe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Oliver C. Gloe</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20"/>
          </w:cols>
          <w:pgMar w:left="320" w:top="121" w:right="35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1"/>
          <w:szCs w:val="21"/>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LATHAM GROUP,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Sean Gadd, certify that:</w:t>
      </w:r>
    </w:p>
    <w:p>
      <w:pPr>
        <w:spacing w:after="0" w:line="110"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Latham Group, Inc.;</w:t>
      </w:r>
    </w:p>
    <w:p>
      <w:pPr>
        <w:spacing w:after="0" w:line="231" w:lineRule="exact"/>
        <w:rPr>
          <w:rFonts w:ascii="Times New Roman" w:cs="Times New Roman" w:eastAsia="Times New Roman" w:hAnsi="Times New Roman"/>
          <w:sz w:val="21"/>
          <w:szCs w:val="21"/>
          <w:color w:val="auto"/>
        </w:rPr>
      </w:pPr>
    </w:p>
    <w:p>
      <w:pPr>
        <w:jc w:val="both"/>
        <w:ind w:left="660" w:hanging="328"/>
        <w:spacing w:after="0" w:line="255" w:lineRule="auto"/>
        <w:tabs>
          <w:tab w:leader="none" w:pos="653"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21"/>
          <w:szCs w:val="21"/>
          <w:color w:val="auto"/>
        </w:rPr>
      </w:pPr>
    </w:p>
    <w:p>
      <w:pPr>
        <w:jc w:val="both"/>
        <w:ind w:left="660" w:hanging="328"/>
        <w:spacing w:after="0" w:line="262" w:lineRule="auto"/>
        <w:tabs>
          <w:tab w:leader="none" w:pos="653"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Times New Roman" w:cs="Times New Roman" w:eastAsia="Times New Roman" w:hAnsi="Times New Roman"/>
          <w:sz w:val="21"/>
          <w:szCs w:val="21"/>
          <w:color w:val="auto"/>
        </w:rPr>
      </w:pPr>
    </w:p>
    <w:p>
      <w:pPr>
        <w:jc w:val="both"/>
        <w:ind w:left="660" w:hanging="328"/>
        <w:spacing w:after="0" w:line="262" w:lineRule="auto"/>
        <w:tabs>
          <w:tab w:leader="none" w:pos="653"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Securities Exchange Act Rules 13a-15(e) and 15d-15(e)) and internal control over financial reporting (as defined in Securities Exchange Act Rule 13-a15(f) and 15d-15(f)) for the registrant and have:</w:t>
      </w:r>
    </w:p>
    <w:p>
      <w:pPr>
        <w:spacing w:after="0" w:line="167" w:lineRule="exact"/>
        <w:rPr>
          <w:rFonts w:ascii="Times New Roman" w:cs="Times New Roman" w:eastAsia="Times New Roman" w:hAnsi="Times New Roman"/>
          <w:sz w:val="21"/>
          <w:szCs w:val="21"/>
          <w:color w:val="auto"/>
        </w:rPr>
      </w:pPr>
    </w:p>
    <w:p>
      <w:pPr>
        <w:jc w:val="both"/>
        <w:ind w:left="1300" w:hanging="320"/>
        <w:spacing w:after="0" w:line="255" w:lineRule="auto"/>
        <w:tabs>
          <w:tab w:leader="none" w:pos="1295"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Times New Roman" w:cs="Times New Roman" w:eastAsia="Times New Roman" w:hAnsi="Times New Roman"/>
          <w:sz w:val="21"/>
          <w:szCs w:val="21"/>
          <w:color w:val="auto"/>
        </w:rPr>
      </w:pPr>
    </w:p>
    <w:p>
      <w:pPr>
        <w:jc w:val="both"/>
        <w:ind w:left="1300" w:right="20" w:hanging="320"/>
        <w:spacing w:after="0" w:line="274" w:lineRule="auto"/>
        <w:tabs>
          <w:tab w:leader="none" w:pos="1293"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Times New Roman" w:cs="Times New Roman" w:eastAsia="Times New Roman" w:hAnsi="Times New Roman"/>
          <w:sz w:val="20"/>
          <w:szCs w:val="20"/>
          <w:color w:val="auto"/>
        </w:rPr>
      </w:pPr>
    </w:p>
    <w:p>
      <w:pPr>
        <w:jc w:val="both"/>
        <w:ind w:left="1300" w:hanging="320"/>
        <w:spacing w:after="0" w:line="262" w:lineRule="auto"/>
        <w:tabs>
          <w:tab w:leader="none" w:pos="1295"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21"/>
          <w:szCs w:val="21"/>
          <w:color w:val="auto"/>
        </w:rPr>
      </w:pPr>
    </w:p>
    <w:p>
      <w:pPr>
        <w:jc w:val="both"/>
        <w:ind w:left="1300" w:hanging="320"/>
        <w:spacing w:after="0" w:line="255" w:lineRule="auto"/>
        <w:tabs>
          <w:tab w:leader="none" w:pos="1293"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21"/>
          <w:szCs w:val="21"/>
          <w:color w:val="auto"/>
        </w:rPr>
      </w:pPr>
    </w:p>
    <w:p>
      <w:pPr>
        <w:jc w:val="both"/>
        <w:ind w:left="660" w:hanging="328"/>
        <w:spacing w:after="0" w:line="255" w:lineRule="auto"/>
        <w:tabs>
          <w:tab w:leader="none" w:pos="653"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21"/>
          <w:szCs w:val="21"/>
          <w:color w:val="auto"/>
        </w:rPr>
      </w:pPr>
    </w:p>
    <w:p>
      <w:pPr>
        <w:jc w:val="both"/>
        <w:ind w:left="1300" w:hanging="320"/>
        <w:spacing w:after="0" w:line="262" w:lineRule="auto"/>
        <w:tabs>
          <w:tab w:leader="none" w:pos="1295"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928" w:right="339" w:bottom="1440" w:gutter="0" w:footer="0" w:header="0"/>
        </w:sectPr>
      </w:pPr>
    </w:p>
    <w:bookmarkStart w:id="40" w:name="page41"/>
    <w:bookmarkEnd w:id="40"/>
    <w:p>
      <w:pPr>
        <w:ind w:left="1280" w:hanging="320"/>
        <w:spacing w:after="0" w:line="270" w:lineRule="auto"/>
        <w:tabs>
          <w:tab w:leader="none" w:pos="1273"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7820" w:val="left"/>
        </w:tabs>
        <w:rPr>
          <w:sz w:val="20"/>
          <w:szCs w:val="20"/>
          <w:color w:val="auto"/>
        </w:rPr>
      </w:pPr>
      <w:r>
        <w:rPr>
          <w:rFonts w:ascii="Times New Roman" w:cs="Times New Roman" w:eastAsia="Times New Roman" w:hAnsi="Times New Roman"/>
          <w:sz w:val="21"/>
          <w:szCs w:val="21"/>
          <w:color w:val="auto"/>
        </w:rPr>
        <w:t>May 6, 2026</w:t>
      </w:r>
      <w:r>
        <w:rPr>
          <w:sz w:val="20"/>
          <w:szCs w:val="20"/>
          <w:color w:val="auto"/>
        </w:rPr>
        <w:tab/>
      </w:r>
      <w:r>
        <w:rPr>
          <w:rFonts w:ascii="Times New Roman" w:cs="Times New Roman" w:eastAsia="Times New Roman" w:hAnsi="Times New Roman"/>
          <w:sz w:val="20"/>
          <w:szCs w:val="20"/>
          <w:i w:val="1"/>
          <w:iCs w:val="1"/>
          <w:color w:val="auto"/>
        </w:rPr>
        <w:t>/s/ Sean Gadd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14605</wp:posOffset>
            </wp:positionV>
            <wp:extent cx="3566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1"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21"/>
          <w:szCs w:val="21"/>
          <w:color w:val="auto"/>
        </w:rPr>
        <w:t>Sean Gadd</w:t>
      </w:r>
    </w:p>
    <w:p>
      <w:pPr>
        <w:spacing w:after="0" w:line="2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21"/>
          <w:szCs w:val="21"/>
          <w:color w:val="auto"/>
        </w:rPr>
        <w:t>Chief Executive Officer and President</w:t>
      </w:r>
    </w:p>
    <w:p>
      <w:pPr>
        <w:spacing w:after="0" w:line="1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21"/>
          <w:szCs w:val="21"/>
          <w:color w:val="auto"/>
        </w:rPr>
        <w:t>Latham Group, Inc.</w:t>
      </w:r>
    </w:p>
    <w:p>
      <w:pPr>
        <w:sectPr>
          <w:pgSz w:w="11900" w:h="16838" w:orient="portrait"/>
          <w:cols w:equalWidth="0" w:num="1">
            <w:col w:w="11200"/>
          </w:cols>
          <w:pgMar w:left="340" w:top="930" w:right="35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1"/>
          <w:szCs w:val="21"/>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LATHAM GROUP,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Oliver C. Gloe, certify that:</w:t>
      </w:r>
    </w:p>
    <w:p>
      <w:pPr>
        <w:spacing w:after="0" w:line="110"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Latham Group, Inc.;</w:t>
      </w:r>
    </w:p>
    <w:p>
      <w:pPr>
        <w:spacing w:after="0" w:line="231" w:lineRule="exact"/>
        <w:rPr>
          <w:rFonts w:ascii="Times New Roman" w:cs="Times New Roman" w:eastAsia="Times New Roman" w:hAnsi="Times New Roman"/>
          <w:sz w:val="21"/>
          <w:szCs w:val="21"/>
          <w:color w:val="auto"/>
        </w:rPr>
      </w:pPr>
    </w:p>
    <w:p>
      <w:pPr>
        <w:jc w:val="both"/>
        <w:ind w:left="660" w:hanging="328"/>
        <w:spacing w:after="0" w:line="255" w:lineRule="auto"/>
        <w:tabs>
          <w:tab w:leader="none" w:pos="653"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21"/>
          <w:szCs w:val="21"/>
          <w:color w:val="auto"/>
        </w:rPr>
      </w:pPr>
    </w:p>
    <w:p>
      <w:pPr>
        <w:jc w:val="both"/>
        <w:ind w:left="660" w:hanging="328"/>
        <w:spacing w:after="0" w:line="262" w:lineRule="auto"/>
        <w:tabs>
          <w:tab w:leader="none" w:pos="653"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Times New Roman" w:cs="Times New Roman" w:eastAsia="Times New Roman" w:hAnsi="Times New Roman"/>
          <w:sz w:val="21"/>
          <w:szCs w:val="21"/>
          <w:color w:val="auto"/>
        </w:rPr>
      </w:pPr>
    </w:p>
    <w:p>
      <w:pPr>
        <w:jc w:val="both"/>
        <w:ind w:left="660" w:hanging="328"/>
        <w:spacing w:after="0" w:line="262" w:lineRule="auto"/>
        <w:tabs>
          <w:tab w:leader="none" w:pos="653"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Securities Exchange Act Rules 13a-15(e) and 15d-15(e)) and internal control over financial reporting (as defined in Securities Exchange Act Rule 13-a15(f) and 15d-15(f)) for the registrant and have:</w:t>
      </w:r>
    </w:p>
    <w:p>
      <w:pPr>
        <w:spacing w:after="0" w:line="167" w:lineRule="exact"/>
        <w:rPr>
          <w:rFonts w:ascii="Times New Roman" w:cs="Times New Roman" w:eastAsia="Times New Roman" w:hAnsi="Times New Roman"/>
          <w:sz w:val="21"/>
          <w:szCs w:val="21"/>
          <w:color w:val="auto"/>
        </w:rPr>
      </w:pPr>
    </w:p>
    <w:p>
      <w:pPr>
        <w:jc w:val="both"/>
        <w:ind w:left="1300" w:hanging="320"/>
        <w:spacing w:after="0" w:line="255" w:lineRule="auto"/>
        <w:tabs>
          <w:tab w:leader="none" w:pos="1295"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Times New Roman" w:cs="Times New Roman" w:eastAsia="Times New Roman" w:hAnsi="Times New Roman"/>
          <w:sz w:val="21"/>
          <w:szCs w:val="21"/>
          <w:color w:val="auto"/>
        </w:rPr>
      </w:pPr>
    </w:p>
    <w:p>
      <w:pPr>
        <w:jc w:val="both"/>
        <w:ind w:left="1300" w:right="20" w:hanging="320"/>
        <w:spacing w:after="0" w:line="274" w:lineRule="auto"/>
        <w:tabs>
          <w:tab w:leader="none" w:pos="1293"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Times New Roman" w:cs="Times New Roman" w:eastAsia="Times New Roman" w:hAnsi="Times New Roman"/>
          <w:sz w:val="20"/>
          <w:szCs w:val="20"/>
          <w:color w:val="auto"/>
        </w:rPr>
      </w:pPr>
    </w:p>
    <w:p>
      <w:pPr>
        <w:jc w:val="both"/>
        <w:ind w:left="1300" w:hanging="320"/>
        <w:spacing w:after="0" w:line="262" w:lineRule="auto"/>
        <w:tabs>
          <w:tab w:leader="none" w:pos="1295"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21"/>
          <w:szCs w:val="21"/>
          <w:color w:val="auto"/>
        </w:rPr>
      </w:pPr>
    </w:p>
    <w:p>
      <w:pPr>
        <w:jc w:val="both"/>
        <w:ind w:left="1300" w:hanging="320"/>
        <w:spacing w:after="0" w:line="255" w:lineRule="auto"/>
        <w:tabs>
          <w:tab w:leader="none" w:pos="1293"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21"/>
          <w:szCs w:val="21"/>
          <w:color w:val="auto"/>
        </w:rPr>
      </w:pPr>
    </w:p>
    <w:p>
      <w:pPr>
        <w:jc w:val="both"/>
        <w:ind w:left="660" w:hanging="328"/>
        <w:spacing w:after="0" w:line="255" w:lineRule="auto"/>
        <w:tabs>
          <w:tab w:leader="none" w:pos="653"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21"/>
          <w:szCs w:val="21"/>
          <w:color w:val="auto"/>
        </w:rPr>
      </w:pPr>
    </w:p>
    <w:p>
      <w:pPr>
        <w:jc w:val="both"/>
        <w:ind w:left="1300" w:hanging="320"/>
        <w:spacing w:after="0" w:line="262" w:lineRule="auto"/>
        <w:tabs>
          <w:tab w:leader="none" w:pos="1295"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928" w:right="339" w:bottom="1440" w:gutter="0" w:footer="0" w:header="0"/>
        </w:sectPr>
      </w:pPr>
    </w:p>
    <w:bookmarkStart w:id="42" w:name="page43"/>
    <w:bookmarkEnd w:id="42"/>
    <w:p>
      <w:pPr>
        <w:ind w:left="1280" w:hanging="320"/>
        <w:spacing w:after="0" w:line="270" w:lineRule="auto"/>
        <w:tabs>
          <w:tab w:leader="none" w:pos="1273"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7660" w:val="left"/>
        </w:tabs>
        <w:rPr>
          <w:sz w:val="20"/>
          <w:szCs w:val="20"/>
          <w:color w:val="auto"/>
        </w:rPr>
      </w:pPr>
      <w:r>
        <w:rPr>
          <w:rFonts w:ascii="Times New Roman" w:cs="Times New Roman" w:eastAsia="Times New Roman" w:hAnsi="Times New Roman"/>
          <w:sz w:val="21"/>
          <w:szCs w:val="21"/>
          <w:color w:val="auto"/>
        </w:rPr>
        <w:t>May 6, 2026</w:t>
      </w:r>
      <w:r>
        <w:rPr>
          <w:sz w:val="20"/>
          <w:szCs w:val="20"/>
          <w:color w:val="auto"/>
        </w:rPr>
        <w:tab/>
      </w:r>
      <w:r>
        <w:rPr>
          <w:rFonts w:ascii="Times New Roman" w:cs="Times New Roman" w:eastAsia="Times New Roman" w:hAnsi="Times New Roman"/>
          <w:sz w:val="20"/>
          <w:szCs w:val="20"/>
          <w:i w:val="1"/>
          <w:iCs w:val="1"/>
          <w:color w:val="auto"/>
        </w:rPr>
        <w:t>/s/ Oliver C. Gloe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14605</wp:posOffset>
            </wp:positionV>
            <wp:extent cx="3566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1"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21"/>
          <w:szCs w:val="21"/>
          <w:color w:val="auto"/>
        </w:rPr>
        <w:t>Oliver C. Gloe</w:t>
      </w:r>
    </w:p>
    <w:p>
      <w:pPr>
        <w:spacing w:after="0" w:line="2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21"/>
          <w:szCs w:val="21"/>
          <w:color w:val="auto"/>
        </w:rPr>
        <w:t>Chief Financial Officer</w:t>
      </w:r>
    </w:p>
    <w:p>
      <w:pPr>
        <w:spacing w:after="0" w:line="1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21"/>
          <w:szCs w:val="21"/>
          <w:color w:val="auto"/>
        </w:rPr>
        <w:t>Latham Group, Inc.</w:t>
      </w:r>
    </w:p>
    <w:p>
      <w:pPr>
        <w:sectPr>
          <w:pgSz w:w="11900" w:h="16838" w:orient="portrait"/>
          <w:cols w:equalWidth="0" w:num="1">
            <w:col w:w="11200"/>
          </w:cols>
          <w:pgMar w:left="340" w:top="930" w:right="35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2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LATHAM GROUP, INC.</w:t>
      </w:r>
    </w:p>
    <w:p>
      <w:pPr>
        <w:spacing w:after="0" w:line="22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In connection with the Quarterly Report of Latham Group,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on Form 10-Q for the period ending March 28, 2026 as filed with the Securities and Exchange Commission on the date hereof (the “</w:t>
      </w:r>
      <w:r>
        <w:rPr>
          <w:rFonts w:ascii="Times New Roman" w:cs="Times New Roman" w:eastAsia="Times New Roman" w:hAnsi="Times New Roman"/>
          <w:sz w:val="22"/>
          <w:szCs w:val="22"/>
          <w:u w:val="single" w:color="auto"/>
          <w:color w:val="auto"/>
        </w:rPr>
        <w:t>Report</w:t>
      </w:r>
      <w:r>
        <w:rPr>
          <w:rFonts w:ascii="Times New Roman" w:cs="Times New Roman" w:eastAsia="Times New Roman" w:hAnsi="Times New Roman"/>
          <w:sz w:val="22"/>
          <w:szCs w:val="22"/>
          <w:color w:val="auto"/>
        </w:rPr>
        <w:t>”), I, Sean Gadd,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219" w:lineRule="exact"/>
        <w:rPr>
          <w:rFonts w:ascii="Times New Roman" w:cs="Times New Roman" w:eastAsia="Times New Roman" w:hAnsi="Times New Roman"/>
          <w:sz w:val="22"/>
          <w:szCs w:val="22"/>
          <w:color w:val="auto"/>
        </w:rPr>
      </w:pPr>
    </w:p>
    <w:p>
      <w:pPr>
        <w:ind w:left="660" w:hanging="328"/>
        <w:spacing w:after="0" w:line="271" w:lineRule="auto"/>
        <w:tabs>
          <w:tab w:leader="none" w:pos="655"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tabs>
          <w:tab w:leader="none" w:pos="8000" w:val="left"/>
        </w:tabs>
        <w:rPr>
          <w:sz w:val="20"/>
          <w:szCs w:val="20"/>
          <w:color w:val="auto"/>
        </w:rPr>
      </w:pPr>
      <w:r>
        <w:rPr>
          <w:rFonts w:ascii="Times New Roman" w:cs="Times New Roman" w:eastAsia="Times New Roman" w:hAnsi="Times New Roman"/>
          <w:sz w:val="22"/>
          <w:szCs w:val="22"/>
          <w:color w:val="auto"/>
        </w:rPr>
        <w:t>May 6, 2026</w:t>
      </w:r>
      <w:r>
        <w:rPr>
          <w:sz w:val="20"/>
          <w:szCs w:val="20"/>
          <w:color w:val="auto"/>
        </w:rPr>
        <w:tab/>
      </w:r>
      <w:r>
        <w:rPr>
          <w:rFonts w:ascii="Times New Roman" w:cs="Times New Roman" w:eastAsia="Times New Roman" w:hAnsi="Times New Roman"/>
          <w:sz w:val="21"/>
          <w:szCs w:val="21"/>
          <w:i w:val="1"/>
          <w:iCs w:val="1"/>
          <w:color w:val="auto"/>
        </w:rPr>
        <w:t>/s/ Sean Gadd</w:t>
      </w:r>
    </w:p>
    <w:p>
      <w:pPr>
        <w:spacing w:after="0" w:line="3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22"/>
          <w:szCs w:val="22"/>
          <w:color w:val="auto"/>
        </w:rPr>
        <w:t>Sean Gadd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-160020</wp:posOffset>
            </wp:positionV>
            <wp:extent cx="33172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22"/>
          <w:szCs w:val="22"/>
          <w:color w:val="auto"/>
        </w:rPr>
        <w:t>Chief Executive Officer and President</w:t>
      </w:r>
    </w:p>
    <w:p>
      <w:pPr>
        <w:spacing w:after="0" w:line="1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22"/>
          <w:szCs w:val="22"/>
          <w:color w:val="auto"/>
        </w:rPr>
        <w:t>Latham Group, Inc.</w:t>
      </w:r>
    </w:p>
    <w:p>
      <w:pPr>
        <w:spacing w:after="0" w:line="30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9"/>
          <w:szCs w:val="19"/>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ectPr>
          <w:pgSz w:w="11900" w:h="16838" w:orient="portrait"/>
          <w:cols w:equalWidth="0" w:num="1">
            <w:col w:w="11240"/>
          </w:cols>
          <w:pgMar w:left="320" w:top="932"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2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LATHAM GROUP, INC.</w:t>
      </w:r>
    </w:p>
    <w:p>
      <w:pPr>
        <w:spacing w:after="0" w:line="22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In connection with the Quarterly Report of Latham Group,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on Form 10-Q for the period ending March 28, 2026 as filed with the Securities and Exchange Commission on the date hereof (the “</w:t>
      </w:r>
      <w:r>
        <w:rPr>
          <w:rFonts w:ascii="Times New Roman" w:cs="Times New Roman" w:eastAsia="Times New Roman" w:hAnsi="Times New Roman"/>
          <w:sz w:val="22"/>
          <w:szCs w:val="22"/>
          <w:u w:val="single" w:color="auto"/>
          <w:color w:val="auto"/>
        </w:rPr>
        <w:t>Report</w:t>
      </w:r>
      <w:r>
        <w:rPr>
          <w:rFonts w:ascii="Times New Roman" w:cs="Times New Roman" w:eastAsia="Times New Roman" w:hAnsi="Times New Roman"/>
          <w:sz w:val="22"/>
          <w:szCs w:val="22"/>
          <w:color w:val="auto"/>
        </w:rPr>
        <w:t>”), I, Oliver C. Gloe,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219" w:lineRule="exact"/>
        <w:rPr>
          <w:rFonts w:ascii="Times New Roman" w:cs="Times New Roman" w:eastAsia="Times New Roman" w:hAnsi="Times New Roman"/>
          <w:sz w:val="22"/>
          <w:szCs w:val="22"/>
          <w:color w:val="auto"/>
        </w:rPr>
      </w:pPr>
    </w:p>
    <w:p>
      <w:pPr>
        <w:ind w:left="660" w:hanging="328"/>
        <w:spacing w:after="0" w:line="271" w:lineRule="auto"/>
        <w:tabs>
          <w:tab w:leader="none" w:pos="65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tabs>
          <w:tab w:leader="none" w:pos="7840" w:val="left"/>
        </w:tabs>
        <w:rPr>
          <w:sz w:val="20"/>
          <w:szCs w:val="20"/>
          <w:color w:val="auto"/>
        </w:rPr>
      </w:pPr>
      <w:r>
        <w:rPr>
          <w:rFonts w:ascii="Times New Roman" w:cs="Times New Roman" w:eastAsia="Times New Roman" w:hAnsi="Times New Roman"/>
          <w:sz w:val="22"/>
          <w:szCs w:val="22"/>
          <w:color w:val="auto"/>
        </w:rPr>
        <w:t>May 6, 2026</w:t>
      </w:r>
      <w:r>
        <w:rPr>
          <w:sz w:val="20"/>
          <w:szCs w:val="20"/>
          <w:color w:val="auto"/>
        </w:rPr>
        <w:tab/>
      </w:r>
      <w:r>
        <w:rPr>
          <w:rFonts w:ascii="Times New Roman" w:cs="Times New Roman" w:eastAsia="Times New Roman" w:hAnsi="Times New Roman"/>
          <w:sz w:val="21"/>
          <w:szCs w:val="21"/>
          <w:i w:val="1"/>
          <w:iCs w:val="1"/>
          <w:color w:val="auto"/>
        </w:rPr>
        <w:t>/s/ Oliver C. Gloe</w:t>
      </w:r>
    </w:p>
    <w:p>
      <w:pPr>
        <w:spacing w:after="0" w:line="3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22"/>
          <w:szCs w:val="22"/>
          <w:color w:val="auto"/>
        </w:rPr>
        <w:t>Oliver C. Gloe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-160020</wp:posOffset>
            </wp:positionV>
            <wp:extent cx="33172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1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22"/>
          <w:szCs w:val="22"/>
          <w:color w:val="auto"/>
        </w:rPr>
        <w:t>Latham Group, Inc.</w:t>
      </w:r>
    </w:p>
    <w:p>
      <w:pPr>
        <w:spacing w:after="0" w:line="30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9"/>
          <w:szCs w:val="19"/>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sectPr>
      <w:pgSz w:w="11900" w:h="16838" w:orient="portrait"/>
      <w:cols w:equalWidth="0" w:num="1">
        <w:col w:w="11240"/>
      </w:cols>
      <w:pgMar w:left="320" w:top="9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lowerRoman"/>
      <w:start w:val="2"/>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1"/>
    </w:lvl>
    <w:lvl w:ilvl="1">
      <w:lvlJc w:val="left"/>
      <w:lvlText w:val="(%2)"/>
      <w:numFmt w:val="decimal"/>
      <w:start w:val="1"/>
    </w:lvl>
  </w:abstractNum>
  <w:abstractNum w:abstractNumId="6">
    <w:nsid w:val="7FDCC233"/>
    <w:multiLevelType w:val="hybridMultilevel"/>
    <w:lvl w:ilvl="0">
      <w:lvlJc w:val="left"/>
      <w:lvlText w:val="%1."/>
      <w:numFmt w:val="decimal"/>
      <w:start w:val="13"/>
    </w:lvl>
    <w:lvl w:ilvl="1">
      <w:lvlJc w:val="left"/>
      <w:lvlText w:val="%2"/>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lowerRoman"/>
      <w:start w:val="3"/>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lvl w:ilvl="1">
      <w:lvlJc w:val="left"/>
      <w:lvlText w:val="%2."/>
      <w:numFmt w:val="lowerLetter"/>
      <w:start w:val="1"/>
    </w:lvl>
  </w:abstractNum>
  <w:abstractNum w:abstractNumId="17">
    <w:nsid w:val="62BBD95A"/>
    <w:multiLevelType w:val="hybridMultilevel"/>
    <w:lvl w:ilvl="0">
      <w:lvlJc w:val="left"/>
      <w:lvlText w:val="%1."/>
      <w:numFmt w:val="lowerLetter"/>
      <w:start w:val="2"/>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lowerLetter"/>
      <w:start w:val="2"/>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0" Type="http://schemas.openxmlformats.org/officeDocument/2006/relationships/hyperlink" Target="https://www.sec.gov/Archives/edgar/data/1833197/000110465921076404/tm2117455d1_ex3-1.htm" TargetMode="External"/><Relationship Id="rId91" Type="http://schemas.openxmlformats.org/officeDocument/2006/relationships/hyperlink" Target="https://www.sec.gov/Archives/edgar/data/1833197/000110465921076404/tm2117455d1_ex3-2.htm" TargetMode="External"/><Relationship Id="rId92" Type="http://schemas.openxmlformats.org/officeDocument/2006/relationships/hyperlink" Target="https://www.sec.gov/Archives/edgar/data/1833197/000183319726000017/swim-20251231xex10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2026-05-06T06:33:54Z</dcterms:created>
  <dcterms:modified xsi:type="dcterms:W3CDTF">2026-05-06T06:33:54Z</dcterms:modified>
</cp:coreProperties>
</file>