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50165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33020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ind w:left="700" w:hanging="650"/>
        <w:spacing w:after="0"/>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ANNUAL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For the fiscal year ended </w:t>
      </w:r>
      <w:r>
        <w:rPr>
          <w:rFonts w:ascii="Arial" w:cs="Arial" w:eastAsia="Arial" w:hAnsi="Arial"/>
          <w:sz w:val="13"/>
          <w:szCs w:val="13"/>
          <w:b w:val="1"/>
          <w:bCs w:val="1"/>
          <w:u w:val="single" w:color="auto"/>
          <w:color w:val="auto"/>
        </w:rPr>
        <w:t>December 31, 2022</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OR</w:t>
      </w:r>
    </w:p>
    <w:p>
      <w:pPr>
        <w:spacing w:after="0" w:line="26"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gridSpan w:val="3"/>
          </w:tcPr>
          <w:p>
            <w:pPr>
              <w:ind w:left="80"/>
              <w:spacing w:after="0"/>
              <w:rPr>
                <w:sz w:val="20"/>
                <w:szCs w:val="20"/>
                <w:color w:val="auto"/>
              </w:rPr>
            </w:pPr>
            <w:r>
              <w:rPr>
                <w:rFonts w:ascii="Arial" w:cs="Arial" w:eastAsia="Arial" w:hAnsi="Arial"/>
                <w:sz w:val="13"/>
                <w:szCs w:val="13"/>
                <w:color w:val="auto"/>
                <w:w w:val="95"/>
              </w:rPr>
              <w:t>For the transition period from</w:t>
            </w:r>
          </w:p>
        </w:tc>
        <w:tc>
          <w:tcPr>
            <w:tcW w:w="180" w:type="dxa"/>
            <w:vAlign w:val="bottom"/>
            <w:tcBorders>
              <w:bottom w:val="single" w:sz="8" w:color="auto"/>
            </w:tcBorders>
          </w:tcPr>
          <w:p>
            <w:pPr>
              <w:spacing w:after="0"/>
              <w:rPr>
                <w:sz w:val="13"/>
                <w:szCs w:val="13"/>
                <w:color w:val="auto"/>
              </w:rPr>
            </w:pPr>
          </w:p>
        </w:tc>
        <w:tc>
          <w:tcPr>
            <w:tcW w:w="3600" w:type="dxa"/>
            <w:vAlign w:val="bottom"/>
            <w:gridSpan w:val="3"/>
          </w:tcPr>
          <w:p>
            <w:pPr>
              <w:ind w:left="40"/>
              <w:spacing w:after="0"/>
              <w:rPr>
                <w:sz w:val="20"/>
                <w:szCs w:val="20"/>
                <w:color w:val="auto"/>
              </w:rPr>
            </w:pPr>
            <w:r>
              <w:rPr>
                <w:rFonts w:ascii="Arial" w:cs="Arial" w:eastAsia="Arial" w:hAnsi="Arial"/>
                <w:sz w:val="13"/>
                <w:szCs w:val="13"/>
                <w:color w:val="auto"/>
              </w:rPr>
              <w:t>to</w:t>
            </w: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80" w:type="dxa"/>
            <w:vAlign w:val="bottom"/>
            <w:gridSpan w:val="7"/>
          </w:tcPr>
          <w:p>
            <w:pPr>
              <w:jc w:val="center"/>
              <w:ind w:right="3333"/>
              <w:spacing w:after="0"/>
              <w:rPr>
                <w:sz w:val="20"/>
                <w:szCs w:val="20"/>
                <w:color w:val="auto"/>
              </w:rPr>
            </w:pPr>
            <w:r>
              <w:rPr>
                <w:rFonts w:ascii="Arial" w:cs="Arial" w:eastAsia="Arial" w:hAnsi="Arial"/>
                <w:sz w:val="13"/>
                <w:szCs w:val="13"/>
                <w:color w:val="auto"/>
                <w:w w:val="95"/>
              </w:rPr>
              <w:t xml:space="preserve">Commission file number: </w:t>
            </w:r>
            <w:r>
              <w:rPr>
                <w:rFonts w:ascii="Arial" w:cs="Arial" w:eastAsia="Arial" w:hAnsi="Arial"/>
                <w:sz w:val="13"/>
                <w:szCs w:val="13"/>
                <w:b w:val="1"/>
                <w:bCs w:val="1"/>
                <w:color w:val="auto"/>
                <w:w w:val="95"/>
              </w:rPr>
              <w:t>001-40358</w:t>
            </w:r>
          </w:p>
        </w:tc>
        <w:tc>
          <w:tcPr>
            <w:tcW w:w="2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80" w:type="dxa"/>
            <w:vAlign w:val="bottom"/>
            <w:gridSpan w:val="7"/>
          </w:tcPr>
          <w:p>
            <w:pPr>
              <w:jc w:val="center"/>
              <w:ind w:right="3333"/>
              <w:spacing w:after="0"/>
              <w:rPr>
                <w:sz w:val="20"/>
                <w:szCs w:val="20"/>
                <w:color w:val="auto"/>
              </w:rPr>
            </w:pPr>
            <w:r>
              <w:rPr>
                <w:rFonts w:ascii="Arial" w:cs="Arial" w:eastAsia="Arial" w:hAnsi="Arial"/>
                <w:sz w:val="20"/>
                <w:szCs w:val="20"/>
                <w:b w:val="1"/>
                <w:bCs w:val="1"/>
                <w:color w:val="auto"/>
                <w:w w:val="97"/>
              </w:rPr>
              <w:t>LATHAM GROUP, Inc.</w:t>
            </w:r>
          </w:p>
        </w:tc>
        <w:tc>
          <w:tcPr>
            <w:tcW w:w="20" w:type="dxa"/>
            <w:vAlign w:val="bottom"/>
          </w:tcPr>
          <w:p>
            <w:pPr>
              <w:spacing w:after="0"/>
              <w:rPr>
                <w:sz w:val="22"/>
                <w:szCs w:val="22"/>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80" w:type="dxa"/>
            <w:vAlign w:val="bottom"/>
            <w:gridSpan w:val="8"/>
          </w:tcPr>
          <w:p>
            <w:pPr>
              <w:jc w:val="center"/>
              <w:ind w:right="2933"/>
              <w:spacing w:after="0"/>
              <w:rPr>
                <w:sz w:val="20"/>
                <w:szCs w:val="20"/>
                <w:color w:val="auto"/>
              </w:rPr>
            </w:pPr>
            <w:r>
              <w:rPr>
                <w:rFonts w:ascii="Arial" w:cs="Arial" w:eastAsia="Arial" w:hAnsi="Arial"/>
                <w:sz w:val="13"/>
                <w:szCs w:val="13"/>
                <w:color w:val="auto"/>
                <w:w w:val="94"/>
              </w:rPr>
              <w:t>(Exact name of registrant as specified in its charter)</w:t>
            </w:r>
          </w:p>
        </w:tc>
        <w:tc>
          <w:tcPr>
            <w:tcW w:w="20" w:type="dxa"/>
            <w:vAlign w:val="bottom"/>
          </w:tcPr>
          <w:p>
            <w:pPr>
              <w:spacing w:after="0"/>
              <w:rPr>
                <w:sz w:val="14"/>
                <w:szCs w:val="14"/>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jc w:val="center"/>
              <w:ind w:left="873"/>
              <w:spacing w:after="0"/>
              <w:rPr>
                <w:sz w:val="20"/>
                <w:szCs w:val="20"/>
                <w:color w:val="auto"/>
              </w:rPr>
            </w:pPr>
            <w:r>
              <w:rPr>
                <w:rFonts w:ascii="Arial" w:cs="Arial" w:eastAsia="Arial" w:hAnsi="Arial"/>
                <w:sz w:val="13"/>
                <w:szCs w:val="13"/>
                <w:b w:val="1"/>
                <w:bCs w:val="1"/>
                <w:color w:val="auto"/>
                <w:w w:val="94"/>
              </w:rPr>
              <w:t>Delaware</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1773"/>
              <w:spacing w:after="0"/>
              <w:rPr>
                <w:sz w:val="20"/>
                <w:szCs w:val="20"/>
                <w:color w:val="auto"/>
              </w:rPr>
            </w:pPr>
            <w:r>
              <w:rPr>
                <w:rFonts w:ascii="Arial" w:cs="Arial" w:eastAsia="Arial" w:hAnsi="Arial"/>
                <w:sz w:val="13"/>
                <w:szCs w:val="13"/>
                <w:b w:val="1"/>
                <w:bCs w:val="1"/>
                <w:color w:val="auto"/>
              </w:rPr>
              <w:t>83-2797583</w:t>
            </w:r>
          </w:p>
        </w:tc>
        <w:tc>
          <w:tcPr>
            <w:tcW w:w="20" w:type="dxa"/>
            <w:vAlign w:val="bottom"/>
          </w:tcPr>
          <w:p>
            <w:pPr>
              <w:spacing w:after="0"/>
              <w:rPr>
                <w:sz w:val="20"/>
                <w:szCs w:val="20"/>
                <w:color w:val="auto"/>
              </w:rPr>
            </w:pPr>
          </w:p>
        </w:tc>
      </w:tr>
      <w:tr>
        <w:trPr>
          <w:trHeight w:val="131"/>
        </w:trPr>
        <w:tc>
          <w:tcPr>
            <w:tcW w:w="20" w:type="dxa"/>
            <w:vAlign w:val="bottom"/>
          </w:tcPr>
          <w:p>
            <w:pPr>
              <w:spacing w:after="0"/>
              <w:rPr>
                <w:sz w:val="11"/>
                <w:szCs w:val="11"/>
                <w:color w:val="auto"/>
              </w:rPr>
            </w:pPr>
          </w:p>
        </w:tc>
        <w:tc>
          <w:tcPr>
            <w:tcW w:w="3400" w:type="dxa"/>
            <w:vAlign w:val="bottom"/>
            <w:gridSpan w:val="3"/>
          </w:tcPr>
          <w:p>
            <w:pPr>
              <w:jc w:val="center"/>
              <w:ind w:left="873"/>
              <w:spacing w:after="0" w:line="131" w:lineRule="exact"/>
              <w:rPr>
                <w:sz w:val="20"/>
                <w:szCs w:val="20"/>
                <w:color w:val="auto"/>
              </w:rPr>
            </w:pPr>
            <w:r>
              <w:rPr>
                <w:rFonts w:ascii="Arial" w:cs="Arial" w:eastAsia="Arial" w:hAnsi="Arial"/>
                <w:sz w:val="13"/>
                <w:szCs w:val="13"/>
                <w:color w:val="auto"/>
                <w:w w:val="97"/>
              </w:rPr>
              <w:t>(State or other jurisdiction of</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0" w:type="dxa"/>
            <w:vAlign w:val="bottom"/>
            <w:gridSpan w:val="3"/>
          </w:tcPr>
          <w:p>
            <w:pPr>
              <w:jc w:val="center"/>
              <w:ind w:right="693"/>
              <w:spacing w:after="0" w:line="131" w:lineRule="exact"/>
              <w:rPr>
                <w:sz w:val="20"/>
                <w:szCs w:val="20"/>
                <w:color w:val="auto"/>
              </w:rPr>
            </w:pPr>
            <w:r>
              <w:rPr>
                <w:rFonts w:ascii="Arial" w:cs="Arial" w:eastAsia="Arial" w:hAnsi="Arial"/>
                <w:sz w:val="13"/>
                <w:szCs w:val="13"/>
                <w:color w:val="auto"/>
                <w:w w:val="97"/>
              </w:rPr>
              <w:t>(I.R.S. Employer Identification No.)</w:t>
            </w:r>
          </w:p>
        </w:tc>
        <w:tc>
          <w:tcPr>
            <w:tcW w:w="2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jc w:val="center"/>
              <w:ind w:left="873"/>
              <w:spacing w:after="0"/>
              <w:rPr>
                <w:sz w:val="20"/>
                <w:szCs w:val="20"/>
                <w:color w:val="auto"/>
              </w:rPr>
            </w:pPr>
            <w:r>
              <w:rPr>
                <w:rFonts w:ascii="Arial" w:cs="Arial" w:eastAsia="Arial" w:hAnsi="Arial"/>
                <w:sz w:val="13"/>
                <w:szCs w:val="13"/>
                <w:color w:val="auto"/>
                <w:w w:val="95"/>
              </w:rPr>
              <w:t>incorporation or organization)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4"/>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center"/>
              <w:ind w:left="873"/>
              <w:spacing w:after="0"/>
              <w:rPr>
                <w:sz w:val="20"/>
                <w:szCs w:val="20"/>
                <w:color w:val="auto"/>
              </w:rPr>
            </w:pPr>
            <w:r>
              <w:rPr>
                <w:rFonts w:ascii="Arial" w:cs="Arial" w:eastAsia="Arial" w:hAnsi="Arial"/>
                <w:sz w:val="13"/>
                <w:szCs w:val="13"/>
                <w:b w:val="1"/>
                <w:bCs w:val="1"/>
                <w:color w:val="auto"/>
                <w:w w:val="97"/>
              </w:rPr>
              <w:t>787 Watervliet Shaker Road, Latham, NY</w:t>
            </w: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933"/>
              <w:spacing w:after="0"/>
              <w:rPr>
                <w:sz w:val="20"/>
                <w:szCs w:val="20"/>
                <w:color w:val="auto"/>
              </w:rPr>
            </w:pPr>
            <w:r>
              <w:rPr>
                <w:rFonts w:ascii="Arial" w:cs="Arial" w:eastAsia="Arial" w:hAnsi="Arial"/>
                <w:sz w:val="13"/>
                <w:szCs w:val="13"/>
                <w:b w:val="1"/>
                <w:bCs w:val="1"/>
                <w:color w:val="auto"/>
              </w:rPr>
              <w:t>12110</w:t>
            </w:r>
          </w:p>
        </w:tc>
        <w:tc>
          <w:tcPr>
            <w:tcW w:w="2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3400" w:type="dxa"/>
            <w:vAlign w:val="bottom"/>
            <w:gridSpan w:val="3"/>
          </w:tcPr>
          <w:p>
            <w:pPr>
              <w:jc w:val="center"/>
              <w:ind w:left="873"/>
              <w:spacing w:after="0"/>
              <w:rPr>
                <w:sz w:val="20"/>
                <w:szCs w:val="20"/>
                <w:color w:val="auto"/>
              </w:rPr>
            </w:pPr>
            <w:r>
              <w:rPr>
                <w:rFonts w:ascii="Arial" w:cs="Arial" w:eastAsia="Arial" w:hAnsi="Arial"/>
                <w:sz w:val="13"/>
                <w:szCs w:val="13"/>
                <w:color w:val="auto"/>
                <w:w w:val="96"/>
              </w:rPr>
              <w:t>(Address of principal executive offices)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jc w:val="center"/>
              <w:ind w:right="1433"/>
              <w:spacing w:after="0"/>
              <w:rPr>
                <w:sz w:val="20"/>
                <w:szCs w:val="20"/>
                <w:color w:val="auto"/>
              </w:rPr>
            </w:pPr>
            <w:r>
              <w:rPr>
                <w:rFonts w:ascii="Arial" w:cs="Arial" w:eastAsia="Arial" w:hAnsi="Arial"/>
                <w:sz w:val="13"/>
                <w:szCs w:val="13"/>
                <w:color w:val="auto"/>
                <w:w w:val="97"/>
              </w:rPr>
              <w:t>(Zip Code)</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jc w:val="center"/>
              <w:ind w:left="306"/>
              <w:spacing w:after="0"/>
              <w:rPr>
                <w:sz w:val="20"/>
                <w:szCs w:val="20"/>
                <w:color w:val="auto"/>
              </w:rPr>
            </w:pPr>
            <w:r>
              <w:rPr>
                <w:rFonts w:ascii="Arial" w:cs="Arial" w:eastAsia="Arial" w:hAnsi="Arial"/>
                <w:sz w:val="15"/>
                <w:szCs w:val="15"/>
                <w:b w:val="1"/>
                <w:bCs w:val="1"/>
                <w:color w:val="auto"/>
                <w:w w:val="93"/>
              </w:rPr>
              <w:t>(800) 833-3800</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80" w:type="dxa"/>
            <w:vAlign w:val="bottom"/>
            <w:gridSpan w:val="8"/>
          </w:tcPr>
          <w:p>
            <w:pPr>
              <w:jc w:val="center"/>
              <w:ind w:right="2913"/>
              <w:spacing w:after="0"/>
              <w:rPr>
                <w:sz w:val="20"/>
                <w:szCs w:val="20"/>
                <w:color w:val="auto"/>
              </w:rPr>
            </w:pPr>
            <w:r>
              <w:rPr>
                <w:rFonts w:ascii="Arial" w:cs="Arial" w:eastAsia="Arial" w:hAnsi="Arial"/>
                <w:sz w:val="13"/>
                <w:szCs w:val="13"/>
                <w:color w:val="auto"/>
                <w:w w:val="93"/>
              </w:rPr>
              <w:t>(Registrant’s telephone number, including area code)</w:t>
            </w:r>
          </w:p>
        </w:tc>
        <w:tc>
          <w:tcPr>
            <w:tcW w:w="20" w:type="dxa"/>
            <w:vAlign w:val="bottom"/>
          </w:tcPr>
          <w:p>
            <w:pPr>
              <w:spacing w:after="0"/>
              <w:rPr>
                <w:sz w:val="14"/>
                <w:szCs w:val="14"/>
                <w:color w:val="auto"/>
              </w:rPr>
            </w:pPr>
          </w:p>
        </w:tc>
      </w:tr>
      <w:tr>
        <w:trPr>
          <w:trHeight w:val="189"/>
        </w:trPr>
        <w:tc>
          <w:tcPr>
            <w:tcW w:w="3420" w:type="dxa"/>
            <w:vAlign w:val="bottom"/>
            <w:gridSpan w:val="4"/>
          </w:tcPr>
          <w:p>
            <w:pPr>
              <w:ind w:left="20"/>
              <w:spacing w:after="0"/>
              <w:rPr>
                <w:sz w:val="20"/>
                <w:szCs w:val="20"/>
                <w:color w:val="auto"/>
              </w:rPr>
            </w:pPr>
            <w:r>
              <w:rPr>
                <w:rFonts w:ascii="Arial" w:cs="Arial" w:eastAsia="Arial" w:hAnsi="Arial"/>
                <w:sz w:val="13"/>
                <w:szCs w:val="13"/>
                <w:b w:val="1"/>
                <w:bCs w:val="1"/>
                <w:color w:val="auto"/>
                <w:w w:val="94"/>
              </w:rPr>
              <w:t>Securities registered pursuant to Section 12(b) of the Act: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3400" w:type="dxa"/>
            <w:vAlign w:val="bottom"/>
            <w:gridSpan w:val="3"/>
          </w:tcPr>
          <w:p>
            <w:pPr>
              <w:jc w:val="center"/>
              <w:ind w:right="493"/>
              <w:spacing w:after="0"/>
              <w:rPr>
                <w:sz w:val="20"/>
                <w:szCs w:val="20"/>
                <w:color w:val="auto"/>
              </w:rPr>
            </w:pPr>
            <w:r>
              <w:rPr>
                <w:rFonts w:ascii="Arial" w:cs="Arial" w:eastAsia="Arial" w:hAnsi="Arial"/>
                <w:sz w:val="13"/>
                <w:szCs w:val="13"/>
                <w:color w:val="auto"/>
                <w:w w:val="92"/>
              </w:rPr>
              <w:t>Title of each class</w:t>
            </w:r>
          </w:p>
        </w:tc>
        <w:tc>
          <w:tcPr>
            <w:tcW w:w="1700" w:type="dxa"/>
            <w:vAlign w:val="bottom"/>
            <w:gridSpan w:val="3"/>
          </w:tcPr>
          <w:p>
            <w:pPr>
              <w:jc w:val="center"/>
              <w:ind w:left="246"/>
              <w:spacing w:after="0"/>
              <w:rPr>
                <w:sz w:val="20"/>
                <w:szCs w:val="20"/>
                <w:color w:val="auto"/>
              </w:rPr>
            </w:pPr>
            <w:r>
              <w:rPr>
                <w:rFonts w:ascii="Arial" w:cs="Arial" w:eastAsia="Arial" w:hAnsi="Arial"/>
                <w:sz w:val="13"/>
                <w:szCs w:val="13"/>
                <w:color w:val="auto"/>
                <w:w w:val="96"/>
              </w:rPr>
              <w:t>Trading Symbol(s)</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Arial" w:cs="Arial" w:eastAsia="Arial" w:hAnsi="Arial"/>
                <w:sz w:val="13"/>
                <w:szCs w:val="13"/>
                <w:color w:val="auto"/>
                <w:w w:val="93"/>
              </w:rPr>
              <w:t>Name of each exchange on which registered</w:t>
            </w:r>
          </w:p>
        </w:tc>
        <w:tc>
          <w:tcPr>
            <w:tcW w:w="20" w:type="dxa"/>
            <w:vAlign w:val="bottom"/>
          </w:tcPr>
          <w:p>
            <w:pPr>
              <w:spacing w:after="0"/>
              <w:rPr>
                <w:sz w:val="22"/>
                <w:szCs w:val="22"/>
                <w:color w:val="auto"/>
              </w:rPr>
            </w:pPr>
          </w:p>
        </w:tc>
      </w:tr>
      <w:tr>
        <w:trPr>
          <w:trHeight w:val="168"/>
        </w:trPr>
        <w:tc>
          <w:tcPr>
            <w:tcW w:w="2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stock, par value $0.0001 per share</w:t>
            </w: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jc w:val="center"/>
              <w:ind w:left="266"/>
              <w:spacing w:after="0"/>
              <w:rPr>
                <w:sz w:val="20"/>
                <w:szCs w:val="20"/>
                <w:color w:val="auto"/>
              </w:rPr>
            </w:pPr>
            <w:r>
              <w:rPr>
                <w:rFonts w:ascii="Arial" w:cs="Arial" w:eastAsia="Arial" w:hAnsi="Arial"/>
                <w:sz w:val="13"/>
                <w:szCs w:val="13"/>
                <w:b w:val="1"/>
                <w:bCs w:val="1"/>
                <w:color w:val="auto"/>
              </w:rPr>
              <w:t>SWIM</w:t>
            </w: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The Nasdaq Stock Market LLC</w:t>
            </w:r>
          </w:p>
        </w:tc>
        <w:tc>
          <w:tcPr>
            <w:tcW w:w="20" w:type="dxa"/>
            <w:vAlign w:val="bottom"/>
            <w:tcBorders>
              <w:top w:val="single" w:sz="8" w:color="auto"/>
            </w:tcBorders>
          </w:tcPr>
          <w:p>
            <w:pPr>
              <w:spacing w:after="0"/>
              <w:rPr>
                <w:sz w:val="14"/>
                <w:szCs w:val="14"/>
                <w:color w:val="auto"/>
              </w:rPr>
            </w:pPr>
          </w:p>
        </w:tc>
      </w:tr>
    </w:tbl>
    <w:p>
      <w:pPr>
        <w:spacing w:after="0" w:line="42" w:lineRule="exact"/>
        <w:rPr>
          <w:sz w:val="24"/>
          <w:szCs w:val="24"/>
          <w:color w:val="auto"/>
        </w:rPr>
      </w:pPr>
    </w:p>
    <w:p>
      <w:pPr>
        <w:ind w:left="6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57" w:lineRule="exact"/>
        <w:rPr>
          <w:sz w:val="24"/>
          <w:szCs w:val="24"/>
          <w:color w:val="auto"/>
        </w:rPr>
      </w:pPr>
    </w:p>
    <w:p>
      <w:pPr>
        <w:ind w:left="60" w:right="1679"/>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jc w:val="both"/>
        <w:ind w:left="60" w:right="99"/>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179"/>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left="60" w:right="5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60"/>
        <w:spacing w:after="0" w:line="150" w:lineRule="exact"/>
        <w:tabs>
          <w:tab w:leader="none" w:pos="1560" w:val="left"/>
          <w:tab w:leader="none" w:pos="2980" w:val="left"/>
          <w:tab w:leader="none" w:pos="4660" w:val="left"/>
          <w:tab w:leader="none" w:pos="6660" w:val="left"/>
          <w:tab w:leader="none" w:pos="864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rFonts w:ascii="MS PGothic" w:cs="MS PGothic" w:eastAsia="MS PGothic" w:hAnsi="MS PGothic"/>
          <w:sz w:val="13"/>
          <w:szCs w:val="13"/>
          <w:color w:val="auto"/>
        </w:rPr>
        <w:tab/>
        <w:t xml:space="preserve">☒  </w:t>
      </w:r>
      <w:r>
        <w:rPr>
          <w:rFonts w:ascii="Arial" w:cs="Arial" w:eastAsia="Arial" w:hAnsi="Arial"/>
          <w:sz w:val="13"/>
          <w:szCs w:val="13"/>
          <w:color w:val="auto"/>
        </w:rPr>
        <w:t>Non-accelerated filer</w:t>
      </w:r>
      <w:r>
        <w:rPr>
          <w:rFonts w:ascii="MS PGothic" w:cs="MS PGothic" w:eastAsia="MS PGothic" w:hAnsi="MS PGothic"/>
          <w:sz w:val="13"/>
          <w:szCs w:val="13"/>
          <w:color w:val="auto"/>
        </w:rPr>
        <w:tab/>
        <w:t xml:space="preserve">☐  </w:t>
      </w:r>
      <w:r>
        <w:rPr>
          <w:rFonts w:ascii="Arial" w:cs="Arial" w:eastAsia="Arial" w:hAnsi="Arial"/>
          <w:sz w:val="13"/>
          <w:szCs w:val="13"/>
          <w:color w:val="auto"/>
        </w:rPr>
        <w:t>Smaller reporting company</w:t>
      </w:r>
      <w:r>
        <w:rPr>
          <w:rFonts w:ascii="MS PGothic" w:cs="MS PGothic" w:eastAsia="MS PGothic" w:hAnsi="MS PGothic"/>
          <w:sz w:val="13"/>
          <w:szCs w:val="13"/>
          <w:color w:val="auto"/>
        </w:rPr>
        <w:tab/>
        <w:t xml:space="preserve">☐  </w:t>
      </w:r>
      <w:r>
        <w:rPr>
          <w:rFonts w:ascii="Arial" w:cs="Arial" w:eastAsia="Arial" w:hAnsi="Arial"/>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2" w:lineRule="exact"/>
        <w:rPr>
          <w:sz w:val="24"/>
          <w:szCs w:val="24"/>
          <w:color w:val="auto"/>
        </w:rPr>
      </w:pPr>
    </w:p>
    <w:p>
      <w:pPr>
        <w:ind w:left="60" w:right="99"/>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60" w:right="279"/>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4" w:lineRule="exact"/>
        <w:rPr>
          <w:sz w:val="24"/>
          <w:szCs w:val="24"/>
          <w:color w:val="auto"/>
        </w:rPr>
      </w:pPr>
    </w:p>
    <w:p>
      <w:pPr>
        <w:ind w:left="60" w:right="59"/>
        <w:spacing w:after="0" w:line="16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1" w:lineRule="exact"/>
        <w:rPr>
          <w:sz w:val="24"/>
          <w:szCs w:val="24"/>
          <w:color w:val="auto"/>
        </w:rPr>
      </w:pPr>
    </w:p>
    <w:p>
      <w:pPr>
        <w:ind w:left="60" w:right="79"/>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6" w:lineRule="exact"/>
        <w:rPr>
          <w:sz w:val="24"/>
          <w:szCs w:val="24"/>
          <w:color w:val="auto"/>
        </w:rPr>
      </w:pPr>
    </w:p>
    <w:p>
      <w:pPr>
        <w:ind w:left="60" w:right="1999"/>
        <w:spacing w:after="0" w:line="21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March 2, 2023, 114,678,263 shares of the registrant’s common stock, $0.0001 par value were outstanding.</w:t>
      </w:r>
    </w:p>
    <w:p>
      <w:pPr>
        <w:spacing w:after="0" w:line="44" w:lineRule="exact"/>
        <w:rPr>
          <w:sz w:val="24"/>
          <w:szCs w:val="24"/>
          <w:color w:val="auto"/>
        </w:rPr>
      </w:pPr>
    </w:p>
    <w:p>
      <w:pPr>
        <w:ind w:left="60" w:right="159"/>
        <w:spacing w:after="0" w:line="278" w:lineRule="auto"/>
        <w:rPr>
          <w:sz w:val="20"/>
          <w:szCs w:val="20"/>
          <w:color w:val="auto"/>
        </w:rPr>
      </w:pPr>
      <w:r>
        <w:rPr>
          <w:rFonts w:ascii="Arial" w:cs="Arial" w:eastAsia="Arial" w:hAnsi="Arial"/>
          <w:sz w:val="12"/>
          <w:szCs w:val="12"/>
          <w:color w:val="auto"/>
        </w:rPr>
        <w:t>The aggregate market value of common stock held by non-affiliates of the registrant based on the last reported sale price of the registrant’s common stock on the Nasdaq Global Select Market on July 1, 2022, which was the last business day of the registrant’s most recently completed second fiscal quarter, was $278,454,961. For purposes of this computation, the registrant has excluded the market value of all shares of its common stock reported as being beneficially owned by executive officers and directors; such exclusion shall not, however, be deemed to constitute an admission that any such person is an “affiliate” of the registrant.</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4"/>
          <w:szCs w:val="24"/>
          <w:color w:val="auto"/>
        </w:rPr>
      </w:pPr>
    </w:p>
    <w:p>
      <w:pPr>
        <w:ind w:left="60" w:right="59"/>
        <w:spacing w:after="0" w:line="255" w:lineRule="auto"/>
        <w:rPr>
          <w:sz w:val="20"/>
          <w:szCs w:val="20"/>
          <w:color w:val="auto"/>
        </w:rPr>
      </w:pPr>
      <w:r>
        <w:rPr>
          <w:rFonts w:ascii="Arial" w:cs="Arial" w:eastAsia="Arial" w:hAnsi="Arial"/>
          <w:sz w:val="13"/>
          <w:szCs w:val="13"/>
          <w:color w:val="auto"/>
        </w:rPr>
        <w:t>Portions of the registrant’s definitive proxy statement for use in connection with its 2023 Annual Meeting of Stockholders, which is to be filed no later than 120 days after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466090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46355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gridSpan w:val="16"/>
          </w:tcPr>
          <w:p>
            <w:pPr>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Page</w:t>
            </w:r>
          </w:p>
        </w:tc>
      </w:tr>
      <w:tr>
        <w:trPr>
          <w:trHeight w:val="35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13"/>
          </w:tcPr>
          <w:p>
            <w:pPr>
              <w:jc w:val="center"/>
              <w:ind w:right="4000"/>
              <w:spacing w:after="0"/>
              <w:rPr>
                <w:sz w:val="20"/>
                <w:szCs w:val="20"/>
                <w:color w:val="auto"/>
              </w:rPr>
            </w:pPr>
            <w:r>
              <w:rPr>
                <w:rFonts w:ascii="Arial" w:cs="Arial" w:eastAsia="Arial" w:hAnsi="Arial"/>
                <w:sz w:val="16"/>
                <w:szCs w:val="16"/>
                <w:b w:val="1"/>
                <w:bCs w:val="1"/>
                <w:color w:val="0000EE"/>
                <w:w w:val="99"/>
              </w:rPr>
              <w:t>PART I</w:t>
            </w:r>
          </w:p>
        </w:tc>
        <w:tc>
          <w:tcPr>
            <w:tcW w:w="540" w:type="dxa"/>
            <w:vAlign w:val="bottom"/>
          </w:tcPr>
          <w:p>
            <w:pPr>
              <w:spacing w:after="0"/>
              <w:rPr>
                <w:sz w:val="24"/>
                <w:szCs w:val="24"/>
                <w:color w:val="auto"/>
              </w:rPr>
            </w:pPr>
          </w:p>
        </w:tc>
      </w:tr>
      <w:tr>
        <w:trPr>
          <w:trHeight w:val="385"/>
        </w:trPr>
        <w:tc>
          <w:tcPr>
            <w:tcW w:w="3820" w:type="dxa"/>
            <w:vAlign w:val="bottom"/>
            <w:gridSpan w:val="16"/>
          </w:tcPr>
          <w:p>
            <w:pPr>
              <w:spacing w:after="0"/>
              <w:rPr>
                <w:sz w:val="20"/>
                <w:szCs w:val="20"/>
                <w:color w:val="auto"/>
              </w:rPr>
            </w:pPr>
            <w:r>
              <w:rPr>
                <w:rFonts w:ascii="Arial" w:cs="Arial" w:eastAsia="Arial" w:hAnsi="Arial"/>
                <w:sz w:val="16"/>
                <w:szCs w:val="16"/>
                <w:color w:val="0000EE"/>
              </w:rPr>
              <w:t>Item 1. Business</w:t>
            </w:r>
          </w:p>
        </w:tc>
        <w:tc>
          <w:tcPr>
            <w:tcW w:w="520" w:type="dxa"/>
            <w:vAlign w:val="bottom"/>
            <w:tcBorders>
              <w:top w:val="single" w:sz="8" w:color="0000EE"/>
            </w:tcBorders>
            <w:gridSpan w:val="2"/>
          </w:tcPr>
          <w:p>
            <w:pPr>
              <w:spacing w:after="0"/>
              <w:rPr>
                <w:sz w:val="24"/>
                <w:szCs w:val="24"/>
                <w:color w:val="auto"/>
              </w:rPr>
            </w:pPr>
          </w:p>
        </w:tc>
        <w:tc>
          <w:tcPr>
            <w:tcW w:w="400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1A. Risk Factors</w:t>
            </w: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4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1"/>
              </w:rPr>
              <w:t>Item 1B. Unresolved Staff Comments</w:t>
            </w:r>
          </w:p>
        </w:tc>
        <w:tc>
          <w:tcPr>
            <w:tcW w:w="590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2. Properties</w:t>
            </w: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7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0"/>
              </w:rPr>
              <w:t>Item 3. Legal Proceedings</w:t>
            </w:r>
          </w:p>
        </w:tc>
        <w:tc>
          <w:tcPr>
            <w:tcW w:w="664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4. Mine Safety Disclosures</w:t>
            </w: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b w:val="1"/>
                <w:bCs w:val="1"/>
                <w:color w:val="0000EE"/>
              </w:rPr>
              <w:t>PART II</w:t>
            </w:r>
          </w:p>
        </w:tc>
        <w:tc>
          <w:tcPr>
            <w:tcW w:w="39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776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1"/>
              </w:rPr>
              <w:t>Item 5. Market for Registrant’s Common Equity, Related Stockholder Matters and Issuer Purchases of Equity Securities</w:t>
            </w:r>
          </w:p>
        </w:tc>
        <w:tc>
          <w:tcPr>
            <w:tcW w:w="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98"/>
        </w:trPr>
        <w:tc>
          <w:tcPr>
            <w:tcW w:w="11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0"/>
              </w:rPr>
              <w:t>Item 6. Reserved</w:t>
            </w:r>
          </w:p>
        </w:tc>
        <w:tc>
          <w:tcPr>
            <w:tcW w:w="7200" w:type="dxa"/>
            <w:vAlign w:val="bottom"/>
            <w:gridSpan w:val="2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7. Management’s Discussion and Analysis of 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85"/>
        </w:trPr>
        <w:tc>
          <w:tcPr>
            <w:tcW w:w="6300" w:type="dxa"/>
            <w:vAlign w:val="bottom"/>
            <w:tcBorders>
              <w:top w:val="single" w:sz="8" w:color="0000EE"/>
            </w:tcBorders>
            <w:gridSpan w:val="25"/>
          </w:tcPr>
          <w:p>
            <w:pPr>
              <w:spacing w:after="0"/>
              <w:rPr>
                <w:sz w:val="20"/>
                <w:szCs w:val="20"/>
                <w:color w:val="auto"/>
              </w:rPr>
            </w:pPr>
            <w:r>
              <w:rPr>
                <w:rFonts w:ascii="Arial" w:cs="Arial" w:eastAsia="Arial" w:hAnsi="Arial"/>
                <w:sz w:val="16"/>
                <w:szCs w:val="16"/>
                <w:color w:val="0000EE"/>
              </w:rPr>
              <w:t>Item 7A. Quantitative and Qualitative Disclosures About Market Risk</w:t>
            </w:r>
          </w:p>
        </w:tc>
        <w:tc>
          <w:tcPr>
            <w:tcW w:w="20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85"/>
        </w:trPr>
        <w:tc>
          <w:tcPr>
            <w:tcW w:w="4520" w:type="dxa"/>
            <w:vAlign w:val="bottom"/>
            <w:tcBorders>
              <w:top w:val="single" w:sz="8" w:color="0000EE"/>
            </w:tcBorders>
            <w:gridSpan w:val="22"/>
          </w:tcPr>
          <w:p>
            <w:pPr>
              <w:spacing w:after="0"/>
              <w:rPr>
                <w:sz w:val="20"/>
                <w:szCs w:val="20"/>
                <w:color w:val="auto"/>
              </w:rPr>
            </w:pPr>
            <w:r>
              <w:rPr>
                <w:rFonts w:ascii="Arial" w:cs="Arial" w:eastAsia="Arial" w:hAnsi="Arial"/>
                <w:sz w:val="16"/>
                <w:szCs w:val="16"/>
                <w:color w:val="0000EE"/>
              </w:rPr>
              <w:t>Item 8. Financial Statements and Supplementary Data</w:t>
            </w:r>
          </w:p>
        </w:tc>
        <w:tc>
          <w:tcPr>
            <w:tcW w:w="38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9. Changes in and Disagreements with Accountants on Accounting and Financial Disclosure</w:t>
            </w:r>
          </w:p>
        </w:tc>
        <w:tc>
          <w:tcPr>
            <w:tcW w:w="5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85"/>
        </w:trPr>
        <w:tc>
          <w:tcPr>
            <w:tcW w:w="22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0"/>
              </w:rPr>
              <w:t>Item 9A. Controls and Procedures</w:t>
            </w:r>
          </w:p>
        </w:tc>
        <w:tc>
          <w:tcPr>
            <w:tcW w:w="4120" w:type="dxa"/>
            <w:vAlign w:val="bottom"/>
            <w:tcBorders>
              <w:top w:val="single" w:sz="8" w:color="0000EE"/>
            </w:tcBorders>
            <w:gridSpan w:val="16"/>
          </w:tcPr>
          <w:p>
            <w:pPr>
              <w:spacing w:after="0"/>
              <w:rPr>
                <w:sz w:val="24"/>
                <w:szCs w:val="24"/>
                <w:color w:val="auto"/>
              </w:rPr>
            </w:pPr>
          </w:p>
        </w:tc>
        <w:tc>
          <w:tcPr>
            <w:tcW w:w="20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9B. Other Information</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9C. Disclosure Regarding Foreign Jurisdictions that Prevent Inspections</w:t>
            </w: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ind w:right="20"/>
              <w:spacing w:after="0"/>
              <w:rPr>
                <w:sz w:val="20"/>
                <w:szCs w:val="20"/>
                <w:color w:val="auto"/>
              </w:rPr>
            </w:pPr>
            <w:r>
              <w:rPr>
                <w:rFonts w:ascii="Arial" w:cs="Arial" w:eastAsia="Arial" w:hAnsi="Arial"/>
                <w:sz w:val="16"/>
                <w:szCs w:val="16"/>
                <w:b w:val="1"/>
                <w:bCs w:val="1"/>
                <w:color w:val="0000EE"/>
              </w:rPr>
              <w:t>PART III</w:t>
            </w:r>
          </w:p>
        </w:tc>
        <w:tc>
          <w:tcPr>
            <w:tcW w:w="580" w:type="dxa"/>
            <w:vAlign w:val="bottom"/>
            <w:tcBorders>
              <w:top w:val="single" w:sz="8" w:color="0000EE"/>
            </w:tcBorders>
            <w:gridSpan w:val="2"/>
          </w:tcPr>
          <w:p>
            <w:pPr>
              <w:spacing w:after="0"/>
              <w:rPr>
                <w:sz w:val="24"/>
                <w:szCs w:val="24"/>
                <w:color w:val="auto"/>
              </w:rPr>
            </w:pPr>
          </w:p>
        </w:tc>
        <w:tc>
          <w:tcPr>
            <w:tcW w:w="33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430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91"/>
              </w:rPr>
              <w:t>Item 10. Directors, Executive Officers, and Corporate Governance</w:t>
            </w:r>
          </w:p>
        </w:tc>
        <w:tc>
          <w:tcPr>
            <w:tcW w:w="404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11. Executive Compensation</w:t>
            </w: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68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714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w w:val="91"/>
              </w:rPr>
              <w:t>Item 12. Security Ownership of Certain Beneficial Owners and Management and Related Stockholder Matters</w:t>
            </w:r>
          </w:p>
        </w:tc>
        <w:tc>
          <w:tcPr>
            <w:tcW w:w="12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85"/>
        </w:trPr>
        <w:tc>
          <w:tcPr>
            <w:tcW w:w="548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w w:val="90"/>
              </w:rPr>
              <w:t>Item 13. Certain Relationships and Related Transactions, and Director Independence</w:t>
            </w:r>
          </w:p>
        </w:tc>
        <w:tc>
          <w:tcPr>
            <w:tcW w:w="28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14. Principal Accounting Fees and Services</w:t>
            </w: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4"/>
          </w:tcPr>
          <w:p>
            <w:pPr>
              <w:jc w:val="center"/>
              <w:ind w:right="3940"/>
              <w:spacing w:after="0"/>
              <w:rPr>
                <w:sz w:val="20"/>
                <w:szCs w:val="20"/>
                <w:color w:val="auto"/>
              </w:rPr>
            </w:pPr>
            <w:r>
              <w:rPr>
                <w:rFonts w:ascii="Arial" w:cs="Arial" w:eastAsia="Arial" w:hAnsi="Arial"/>
                <w:sz w:val="16"/>
                <w:szCs w:val="16"/>
                <w:b w:val="1"/>
                <w:bCs w:val="1"/>
                <w:color w:val="0000EE"/>
                <w:w w:val="98"/>
              </w:rPr>
              <w:t>PART IV</w:t>
            </w:r>
          </w:p>
        </w:tc>
        <w:tc>
          <w:tcPr>
            <w:tcW w:w="540" w:type="dxa"/>
            <w:vAlign w:val="bottom"/>
          </w:tcPr>
          <w:p>
            <w:pPr>
              <w:spacing w:after="0"/>
              <w:rPr>
                <w:sz w:val="24"/>
                <w:szCs w:val="24"/>
                <w:color w:val="auto"/>
              </w:rPr>
            </w:pPr>
          </w:p>
        </w:tc>
      </w:tr>
      <w:tr>
        <w:trPr>
          <w:trHeight w:val="385"/>
        </w:trPr>
        <w:tc>
          <w:tcPr>
            <w:tcW w:w="34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1"/>
              </w:rPr>
              <w:t>Item 15. Exhibits and Financial Statement Schedules</w:t>
            </w:r>
          </w:p>
        </w:tc>
        <w:tc>
          <w:tcPr>
            <w:tcW w:w="300" w:type="dxa"/>
            <w:vAlign w:val="bottom"/>
            <w:gridSpan w:val="2"/>
          </w:tcPr>
          <w:p>
            <w:pPr>
              <w:spacing w:after="0"/>
              <w:rPr>
                <w:sz w:val="24"/>
                <w:szCs w:val="24"/>
                <w:color w:val="auto"/>
              </w:rPr>
            </w:pPr>
          </w:p>
        </w:tc>
        <w:tc>
          <w:tcPr>
            <w:tcW w:w="620" w:type="dxa"/>
            <w:vAlign w:val="bottom"/>
            <w:tcBorders>
              <w:top w:val="single" w:sz="8" w:color="0000EE"/>
            </w:tcBorders>
            <w:gridSpan w:val="5"/>
          </w:tcPr>
          <w:p>
            <w:pPr>
              <w:spacing w:after="0"/>
              <w:rPr>
                <w:sz w:val="24"/>
                <w:szCs w:val="24"/>
                <w:color w:val="auto"/>
              </w:rPr>
            </w:pPr>
          </w:p>
        </w:tc>
        <w:tc>
          <w:tcPr>
            <w:tcW w:w="394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85"/>
        </w:trPr>
        <w:tc>
          <w:tcPr>
            <w:tcW w:w="8340" w:type="dxa"/>
            <w:vAlign w:val="bottom"/>
            <w:gridSpan w:val="29"/>
          </w:tcPr>
          <w:p>
            <w:pPr>
              <w:spacing w:after="0"/>
              <w:rPr>
                <w:sz w:val="20"/>
                <w:szCs w:val="20"/>
                <w:color w:val="auto"/>
              </w:rPr>
            </w:pPr>
            <w:r>
              <w:rPr>
                <w:rFonts w:ascii="Arial" w:cs="Arial" w:eastAsia="Arial" w:hAnsi="Arial"/>
                <w:sz w:val="16"/>
                <w:szCs w:val="16"/>
                <w:color w:val="0000EE"/>
              </w:rPr>
              <w:t>Item 16. Form 10-K Summary</w:t>
            </w: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99"/>
        </w:trPr>
        <w:tc>
          <w:tcPr>
            <w:tcW w:w="6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6"/>
              </w:rPr>
              <w:t>Signatures</w:t>
            </w:r>
          </w:p>
        </w:tc>
        <w:tc>
          <w:tcPr>
            <w:tcW w:w="1280" w:type="dxa"/>
            <w:vAlign w:val="bottom"/>
            <w:tcBorders>
              <w:top w:val="single" w:sz="8" w:color="0000EE"/>
            </w:tcBorders>
            <w:gridSpan w:val="6"/>
          </w:tcPr>
          <w:p>
            <w:pPr>
              <w:spacing w:after="0"/>
              <w:rPr>
                <w:sz w:val="24"/>
                <w:szCs w:val="24"/>
                <w:color w:val="auto"/>
              </w:rPr>
            </w:pPr>
          </w:p>
        </w:tc>
        <w:tc>
          <w:tcPr>
            <w:tcW w:w="638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19" w:firstLine="648"/>
        <w:spacing w:after="0" w:line="280" w:lineRule="auto"/>
        <w:rPr>
          <w:sz w:val="20"/>
          <w:szCs w:val="20"/>
          <w:color w:val="auto"/>
        </w:rPr>
      </w:pPr>
      <w:r>
        <w:rPr>
          <w:rFonts w:ascii="Arial" w:cs="Arial" w:eastAsia="Arial" w:hAnsi="Arial"/>
          <w:sz w:val="17"/>
          <w:szCs w:val="17"/>
          <w:color w:val="auto"/>
        </w:rPr>
        <w:t>We are the largest designer, manufacturer, and marketer of in-ground residential swimming pools in North America, Australia, and New Zealand. We hold the #1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19"/>
          <w:szCs w:val="19"/>
          <w:color w:val="auto"/>
          <w:vertAlign w:val="superscript"/>
        </w:rPr>
        <w:t>TM</w:t>
      </w:r>
      <w:r>
        <w:rPr>
          <w:rFonts w:ascii="Arial" w:cs="Arial" w:eastAsia="Arial" w:hAnsi="Arial"/>
          <w:sz w:val="17"/>
          <w:szCs w:val="17"/>
          <w:color w:val="auto"/>
        </w:rPr>
        <w:t>.</w:t>
      </w:r>
    </w:p>
    <w:p>
      <w:pPr>
        <w:spacing w:after="0" w:line="14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71"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operations consist of over 2,000 employees across over 30 locations. The broad geographic reach of our manufacturing and distribution network allows us to deliver a fiberglass pool in a cost-effective manner. The full resources of our company are dedicated to designing and manufacturing high-quality pool products, with the homeowner in mind, and to position ourselves as a value-added partner to our dealers.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We are the leader in the large and growing residential in-ground swimming pool industry. Over the last decade, macroeconomic trends have driven an increase in reinvestment in the home, and we expect that consumers will continue to focus a portion of their rest-and-relaxation spending on exterior living spaces as they look for more ways to spend time outdoors.</w:t>
      </w:r>
    </w:p>
    <w:p>
      <w:pPr>
        <w:spacing w:after="0" w:line="187" w:lineRule="exact"/>
        <w:rPr>
          <w:sz w:val="20"/>
          <w:szCs w:val="20"/>
          <w:color w:val="auto"/>
        </w:rPr>
      </w:pPr>
    </w:p>
    <w:p>
      <w:pPr>
        <w:jc w:val="both"/>
        <w:ind w:left="60" w:right="99" w:firstLine="648"/>
        <w:spacing w:after="0" w:line="287" w:lineRule="auto"/>
        <w:rPr>
          <w:sz w:val="20"/>
          <w:szCs w:val="20"/>
          <w:color w:val="auto"/>
        </w:rPr>
      </w:pPr>
      <w:r>
        <w:rPr>
          <w:rFonts w:ascii="Arial" w:cs="Arial" w:eastAsia="Arial" w:hAnsi="Arial"/>
          <w:sz w:val="16"/>
          <w:szCs w:val="16"/>
          <w:color w:val="auto"/>
        </w:rPr>
        <w:t>Fiberglass pools are underpenetrated in the United States residential in-ground swimming pool market relative to other geographic markets. As a result of material conversion away from legacy pool construction materials, growth in sales of fiberglass pools in the United States is meaningfully outpacing that of the broader in-ground swimming pool market.</w:t>
      </w:r>
    </w:p>
    <w:p>
      <w:pPr>
        <w:spacing w:after="0" w:line="2" w:lineRule="exact"/>
        <w:rPr>
          <w:sz w:val="20"/>
          <w:szCs w:val="20"/>
          <w:color w:val="auto"/>
        </w:rPr>
      </w:pPr>
    </w:p>
    <w:p>
      <w:pPr>
        <w:ind w:left="60" w:right="319"/>
        <w:spacing w:after="0" w:line="260" w:lineRule="auto"/>
        <w:rPr>
          <w:sz w:val="20"/>
          <w:szCs w:val="20"/>
          <w:color w:val="auto"/>
        </w:rPr>
      </w:pPr>
      <w:r>
        <w:rPr>
          <w:rFonts w:ascii="Arial" w:cs="Arial" w:eastAsia="Arial" w:hAnsi="Arial"/>
          <w:sz w:val="18"/>
          <w:szCs w:val="18"/>
          <w:color w:val="auto"/>
        </w:rPr>
        <w:t>Despite this growth, fiberglass pools still have significant runway for growth in the United States relative to comparable international markets.</w:t>
      </w:r>
    </w:p>
    <w:p>
      <w:pPr>
        <w:spacing w:after="0" w:line="185"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This conversion to fiberglass pools from legacy pool construction materials, such as concrete, is being driven by greater homeowner awareness of the benefits of fiberglass products, including:</w:t>
      </w:r>
    </w:p>
    <w:p>
      <w:pPr>
        <w:spacing w:after="0" w:line="166" w:lineRule="exact"/>
        <w:rPr>
          <w:sz w:val="20"/>
          <w:szCs w:val="20"/>
          <w:color w:val="auto"/>
        </w:rPr>
      </w:pPr>
    </w:p>
    <w:p>
      <w:pPr>
        <w:ind w:left="1040" w:right="219" w:hanging="315"/>
        <w:spacing w:after="0" w:line="282"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Lower up-front and lifecycle costs</w:t>
      </w:r>
      <w:r>
        <w:rPr>
          <w:rFonts w:ascii="Arial" w:cs="Arial" w:eastAsia="Arial" w:hAnsi="Arial"/>
          <w:sz w:val="18"/>
          <w:szCs w:val="18"/>
          <w:color w:val="auto"/>
        </w:rPr>
        <w:t>. Fiberglass pools cost less and have lower repair expenses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concrete pools.</w:t>
      </w:r>
    </w:p>
    <w:p>
      <w:pPr>
        <w:spacing w:after="0" w:line="161" w:lineRule="exact"/>
        <w:rPr>
          <w:rFonts w:ascii="Arial" w:cs="Arial" w:eastAsia="Arial" w:hAnsi="Arial"/>
          <w:sz w:val="18"/>
          <w:szCs w:val="18"/>
          <w:color w:val="auto"/>
        </w:rPr>
      </w:pPr>
    </w:p>
    <w:p>
      <w:pPr>
        <w:ind w:left="1040" w:right="279" w:hanging="315"/>
        <w:spacing w:after="0" w:line="312"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Faster and easier installation</w:t>
      </w:r>
      <w:r>
        <w:rPr>
          <w:rFonts w:ascii="Arial" w:cs="Arial" w:eastAsia="Arial" w:hAnsi="Arial"/>
          <w:sz w:val="17"/>
          <w:szCs w:val="17"/>
          <w:color w:val="auto"/>
        </w:rPr>
        <w:t>. Based on our knowledge of our dealers, we believe fiberglass pools can be</w:t>
      </w:r>
      <w:r>
        <w:rPr>
          <w:rFonts w:ascii="Arial" w:cs="Arial" w:eastAsia="Arial" w:hAnsi="Arial"/>
          <w:sz w:val="17"/>
          <w:szCs w:val="17"/>
          <w:b w:val="1"/>
          <w:bCs w:val="1"/>
          <w:color w:val="auto"/>
        </w:rPr>
        <w:t xml:space="preserve"> </w:t>
      </w:r>
      <w:r>
        <w:rPr>
          <w:rFonts w:ascii="Arial" w:cs="Arial" w:eastAsia="Arial" w:hAnsi="Arial"/>
          <w:sz w:val="17"/>
          <w:szCs w:val="17"/>
          <w:color w:val="auto"/>
        </w:rPr>
        <w:t>installed in as little as two to three days, compared to up to three months for concrete pools.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right="299" w:hanging="315"/>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Premium quality and aesthetics</w:t>
      </w:r>
      <w:r>
        <w:rPr>
          <w:rFonts w:ascii="Arial" w:cs="Arial" w:eastAsia="Arial" w:hAnsi="Arial"/>
          <w:sz w:val="18"/>
          <w:szCs w:val="18"/>
          <w:color w:val="auto"/>
        </w:rPr>
        <w:t>. We believe our fiberglass pool offering is the most attractive swimming</w:t>
      </w:r>
      <w:r>
        <w:rPr>
          <w:rFonts w:ascii="Arial" w:cs="Arial" w:eastAsia="Arial" w:hAnsi="Arial"/>
          <w:sz w:val="18"/>
          <w:szCs w:val="18"/>
          <w:b w:val="1"/>
          <w:bCs w:val="1"/>
          <w:color w:val="auto"/>
        </w:rPr>
        <w:t xml:space="preserve"> </w:t>
      </w:r>
      <w:r>
        <w:rPr>
          <w:rFonts w:ascii="Arial" w:cs="Arial" w:eastAsia="Arial" w:hAnsi="Arial"/>
          <w:sz w:val="18"/>
          <w:szCs w:val="18"/>
          <w:color w:val="auto"/>
        </w:rPr>
        <w:t>pool offering on the market. Our special finishing process allows for traction where you need it (such as steps) and a smooth and lustrous finish everywhere else.</w:t>
      </w:r>
    </w:p>
    <w:p>
      <w:pPr>
        <w:spacing w:after="0" w:line="175" w:lineRule="exact"/>
        <w:rPr>
          <w:rFonts w:ascii="Arial" w:cs="Arial" w:eastAsia="Arial" w:hAnsi="Arial"/>
          <w:sz w:val="18"/>
          <w:szCs w:val="18"/>
          <w:color w:val="auto"/>
        </w:rPr>
      </w:pPr>
    </w:p>
    <w:p>
      <w:pPr>
        <w:ind w:left="1040" w:right="399" w:hanging="315"/>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Less chemicals</w:t>
      </w:r>
      <w:r>
        <w:rPr>
          <w:rFonts w:ascii="Arial" w:cs="Arial" w:eastAsia="Arial" w:hAnsi="Arial"/>
          <w:sz w:val="18"/>
          <w:szCs w:val="18"/>
          <w:color w:val="auto"/>
        </w:rPr>
        <w:t>. The smooth non-porous finish of fiberglass dramatically reduces the need for harsh</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to treat the pool. It also allows homeowners to opt for an eye- and skin-friendly saltwater pool, without concern for corrosion.</w:t>
      </w:r>
    </w:p>
    <w:p>
      <w:pPr>
        <w:spacing w:after="0" w:line="175" w:lineRule="exact"/>
        <w:rPr>
          <w:rFonts w:ascii="Arial" w:cs="Arial" w:eastAsia="Arial" w:hAnsi="Arial"/>
          <w:sz w:val="18"/>
          <w:szCs w:val="18"/>
          <w:color w:val="auto"/>
        </w:rPr>
      </w:pPr>
    </w:p>
    <w:p>
      <w:pPr>
        <w:ind w:left="1040" w:right="319" w:hanging="315"/>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Lifetime warranty</w:t>
      </w:r>
      <w:r>
        <w:rPr>
          <w:rFonts w:ascii="Arial" w:cs="Arial" w:eastAsia="Arial" w:hAnsi="Arial"/>
          <w:sz w:val="18"/>
          <w:szCs w:val="18"/>
          <w:color w:val="auto"/>
        </w:rPr>
        <w:t>. Our fiberglass pools are guaranteed to the original purchaser for a lifetime and do not</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be resurfaced or repainted every eight to ten years like legacy materials.</w:t>
      </w:r>
    </w:p>
    <w:p>
      <w:pPr>
        <w:spacing w:after="0" w:line="166" w:lineRule="exact"/>
        <w:rPr>
          <w:sz w:val="20"/>
          <w:szCs w:val="20"/>
          <w:color w:val="auto"/>
        </w:rPr>
      </w:pPr>
    </w:p>
    <w:p>
      <w:pPr>
        <w:ind w:left="60" w:right="339" w:firstLine="648"/>
        <w:spacing w:after="0" w:line="255" w:lineRule="auto"/>
        <w:rPr>
          <w:sz w:val="20"/>
          <w:szCs w:val="20"/>
          <w:color w:val="auto"/>
        </w:rPr>
      </w:pPr>
      <w:r>
        <w:rPr>
          <w:rFonts w:ascii="Arial" w:cs="Arial" w:eastAsia="Arial" w:hAnsi="Arial"/>
          <w:sz w:val="18"/>
          <w:szCs w:val="18"/>
          <w:color w:val="auto"/>
        </w:rPr>
        <w:t>Pool manufacturers have traditionally marketed to dealers rather than to homeowners. As a result, both manufacturers and homeowners have depended on dealers to educate homeowners and move them through their pool buying journey. The dealership market is highly-fragmented, consisting primarily of small, family-owned businesses. In addition, concrete pool installers face a number of challenges, particularly as a result, we believe, of many skilled tradesmen leaving the industry. Each of these factors, paired with the long-term positive demand trends in the industry, contribute to the supply constraint in the pool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and Strategy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Utilize Leading Brand and Digital Assets to Generate Greater Homeowner Lead Volumes</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Since 2019, we have increased spending on digital strategies and marketing. Our content-rich digital platform provides homeowners with education and engagement tools that help them to navigate their pool buying journey, including an unrivaled pool visualization experience, informational videos and resources, budget calculators, and a pool expert community consisting of a blog and direct homeowner outreach. The implementation of our new digital strategy has resulted in superior search engine optimization performance. We have boosted leads for our dealers, further strengthening Latham with our dealer base.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Accelerate Fiberglass Material Conversion through Unique Market Positioning</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As the leader in the fiberglass pool product category, we are driving the acceleration of material conversion, especially from concrete pools to fiberglass, by educating both homeowners and dealer partners about the superior benefits of fiberglass. Our marketing campaigns and digital platform, including our easy to use interactive website and mobile app, inform homeowners on the benefits of fiberglass, which include lower up-front and total cost of ownership, quicker installation, easier maintenance, and a more convenient buying experience. The Latham Augmented Reality Pool Visualizer app allows homeowners to browse fiberglass models and to select from a variety of options from their mobile device. At “Latham University,” our dealer partners discover firsthand the benefits of fiberglass pools, including the ease and speed of installation. Dealers also learn both basic and advanced fiberglass pool installation techniques.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Secure Additional Strategic Partnerships with Priority Dealers to Gain Share</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approach as a true business partner with our dealers positions us to take market share in our industry. We have secured exclusivity from many of our top dealer partners, including the nation’s largest franchised dealer network, Premier Pools &amp; Spas. As the only participant with national distribution in the fiberglass pool product category, we intend to continue pursuing strategic partnerships with priority dealers in underpenetrated geographical markets that can help us accelerate our growth.</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Grow Industry Capacity by Onboarding and Training New Dealer Partners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We believe that there is a tremendous opportunity to expand the capacity of skilled dealer partners to support overall industry growth and our continued market penetration. As such, we intend to continue to use our leadership position in the industry to educate small business owners currently installing concrete pools, as well as those in related trades, about the economic opportunities available in the fiberglass product category of the pool market. We further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intend to onboard, train, and support them with the same emphasis we have placed on our existing dealer partnerships, including our co-branding programs, “Latham University,” and our “Business Excellence” coaching, designed to help them manage their growth. Leveraging our investments and management expertise, we should be able to play a key role in growing the industry’s capacity.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Expand Margins through Mix Shift Towards Fiberglass and Productivity Initiatives</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believe that our consumer-centric marketing and compelling value proposition to our dealer partners will continue to drive long-term growth for our fiberglass pools. We have made significant manufacturing capacity investments not only to support this future growth, but also to continue to deliver the compelling margin profile of our fiberglass pool offering. We believe we can increase our margins significantly as we grow into our capacity investments and our product mix continues to shift towards fiberglass pools. Additionally, we expect that our investments in people, processes, and equipment aimed at enhancing our manufacturing productivity will further expand our margins.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Strategic Acquisitions that Enhance the Latham Platform</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The pool industry offers attractive opportunities to utilize strategic acquisitions to drive consolidation and expand our product offering. We have historically used strategic acquisitions to expand our geographic reach within the United States and internationally, enhance our product portfolio, and drive operational efficiencies. We will continue to focus on acquiring high-quality, market-leading businesses with teams, capabilities, and technologies that are complementary to our existing offerings and that enable us to better serve homeowners and dealer partners.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Our residential pool product portfolio is highly complementary and allows us to provide a wide-range of solutions to our homeowners. Our products are recognized by homeowners, dealers, and distributors for their quality, durability, performance, compelling value proposition, ease of installation and diverse style and design options. Over our history, we have leveraged our differentiated portfolio of products, manufacturing capabilities, customer service, and homeowner connectivity to develop a reputation as an innovative and dependable partner to our dealers and distributors. Additionally, the connectivity that we have built with our homeowners has provided us with the insights needed to stay ahead of homeowner demand trends that shape our market. Our broad and compelling product offering, proven ability to serve as a value added partner to our dealers and distributors, and our connectivity with homeowners have been critical in achieving the leading position in every pool product category in which we compete. Below is a summary of our products.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In-ground Swimming Pools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Fiberglass Pools</w:t>
      </w:r>
    </w:p>
    <w:p>
      <w:pPr>
        <w:spacing w:after="0" w:line="22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believe we are the #1 fiberglass pool manufacturer by volume in North America. Demand for our fiberglass pools is driven by both accelerating material conversion from legacy pool construction materials, especially concrete, and the long-term value, through both lower up-front and lifecycle costs, that our pools deliver to our homeowners. We offer an extensive portfolio of fiberglass pools with customizable features that include unique colors, elaborate finishes, floor mosaics, lighting options, water features, in-floor cleaning, tanning ledges, and spillover spas. Our pools come in a variety of different sizes and are known by homeowners for their premium quality and aesthetics. Our fiberglass pools offer significant cost, installation, and maintenance advantages over traditional concrete pools. Our innovative product portfolio is made up of a carbon fiber, Kevlar, and fiberglass build and is backed by a lifetime warranty to the original purchaser, providing our homeowners with peace of mind and security. Based on our knowledge of our dealers, we believe fiberglass pools can be installed in as little as two to three days, compared to three months for comparable concrete pools.</w:t>
      </w:r>
    </w:p>
    <w:p>
      <w:pPr>
        <w:spacing w:after="0" w:line="168"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While we believe that our fiberglass pools are the future of the industry and meet the majority of the market of pools sold, fiberglass pools do have some limitations. Because of shipping considerations, they are subject to certain size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limits. Although we offer a broad portfolio of design choices, fiberglass pools can be less customizable than concrete and vinyl. The vinyl packaged pools that Latham sells are similar to concrete pools in terms of flexibility.</w:t>
      </w:r>
    </w:p>
    <w:p>
      <w:pPr>
        <w:spacing w:after="0" w:line="14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Investments in innovation and product development have led to historical growth of our fiberglass pool sales, with increased potential for further growth and margin expansion.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Packaged Pools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We believe that we are also the leader by volume in the custom vinyl pool product category of the North American residential in-ground swimming pool market. Our leadership has been driven by our high-quality product offering, which is fully customizable and allows homeowners to choose from a wide range of colors and features (built-in sun ledges, benches, entry systems, and spillover spas), as well as our best-in-class national distribution network. Our custom vinyl pools are high-quality, and we believe that they are the most aesthetically pleasing on the market. Custom vinyl pools offer the most attractive homeowner economics when compared to any other material, and they can be installed faster and withstand weather better than concrete pools. The wall system for our custom vinyl pools is built of either non-corrosive steel or composite polymer, which provides our dealers with ease of installation.</w:t>
      </w:r>
    </w:p>
    <w:p>
      <w:pPr>
        <w:spacing w:after="0" w:line="16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In November 2021, Latham expanded our product offering and entered the vinyl-lined, aluminum-walled in-ground pool category with our purchase of Radiant Pools. Radiant Pools uses patented technology, derived from aerospace engineering, to make structurally insulated aluminum wall panels, which makes its products a durable and aesthetically pleasing option for homeowners. These pools can be built completely in-ground, semi-in-ground or above ground. Vinyl-lined, aluminum-walled pools are generally more affordable than other in-ground pools, and they offer homeowners a cost efficient way to enjoy the ultimate backyard experience.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Liners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believe we are the #1 replacement liner manufacturer in the North American residential in-ground swimming pool market, serving a market with large, non-discretionary replacement demand. Vinyl liners are a required component for the interior surface of a vinyl pool and our liners are highly customizable in shape, size, color, and pattern. Vinyl liners typically need to be replaced every eight to ten years. We believe replacement vinyl liners provide us with a significant avenue to stable recurring revenue.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Covers</w:t>
      </w:r>
    </w:p>
    <w:p>
      <w:pPr>
        <w:spacing w:after="0" w:line="225"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There are two types of covers in the pool market, automatic safety covers and all-season pool covers. Automatic safety covers operate with a switch and are used in the pool season to cover the pool after a refreshing swim. All-season pool covers generally go on after the swimming season. They protect the pool and its immediate surroundings from debris and weather, and they also provide safety for homeowners and their guests.</w:t>
      </w:r>
    </w:p>
    <w:p>
      <w:pPr>
        <w:spacing w:after="0" w:line="171" w:lineRule="exact"/>
        <w:rPr>
          <w:sz w:val="20"/>
          <w:szCs w:val="20"/>
          <w:color w:val="auto"/>
        </w:rPr>
      </w:pPr>
    </w:p>
    <w:p>
      <w:pPr>
        <w:ind w:left="60" w:right="219" w:firstLine="648"/>
        <w:spacing w:after="0" w:line="294" w:lineRule="auto"/>
        <w:rPr>
          <w:sz w:val="20"/>
          <w:szCs w:val="20"/>
          <w:color w:val="auto"/>
        </w:rPr>
      </w:pPr>
      <w:r>
        <w:rPr>
          <w:rFonts w:ascii="Arial" w:cs="Arial" w:eastAsia="Arial" w:hAnsi="Arial"/>
          <w:sz w:val="16"/>
          <w:szCs w:val="16"/>
          <w:color w:val="auto"/>
        </w:rPr>
        <w:t>We believe that Latham holds the top position in the category for automatic safety covers in North America. Our automatic safety covers provide increased safety, especially for children, and convenience for our homeowners while also driving savings by reducing energy, chemical and cleaning costs, and lowering water evaporation. Additionally, more and more pool owners are buying covers as local building codes push for safer pools. We also offer the most complete automatic safety cover portfolio when compared to our competitors, since our products range in mix from affordable luxury options to premium covers. Additionally, our automatic safety covers are compatible with fiberglass, vinyl, and concrete pools of almost any shape and size, driving homeowner preference for the CoverStar</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brand.</w:t>
      </w:r>
    </w:p>
    <w:p>
      <w:pPr>
        <w:spacing w:after="0" w:line="5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believe we are the leader in the category for all-season pool covers by volume in North America. Our winterizing mesh and solid covers are used during the off-season, reducing maintenance requirements for our homeowners. While these covers extend the lives of our homeowners’ pools, they typically need to be replaced every eight to ten years, providing us with significant replacement demand. Since our covers can be used for any pool, regardless of materials, shape, or size, we are able to replace covers for both our legacy homeowners and homeowners previously served by smaller, regional players.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Brands</w:t>
      </w:r>
    </w:p>
    <w:p>
      <w:pPr>
        <w:spacing w:after="0" w:line="229"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8"/>
          <w:szCs w:val="18"/>
          <w:color w:val="auto"/>
        </w:rPr>
        <w:t>In 2019, we unified our corporate branding and consolidated legacy in-ground swimming pool brands in North America under one banner, Latham. We relaunched our website under the Latham brand in February 2020 and streamlined our go-to-market approach by making the Latham brand the center of our strategy. This enabled us to increase our brand awareness with homeowners and to create the only consumer focused brand in the category. Our literature for dealers, marketing materials, our website, social media, advertising and promotion and our co-branding of dealer premises each reflect the Latham branding. Our sub-brands, which sit under the Latham master brand, include Narellan</w:t>
      </w:r>
      <w:r>
        <w:rPr>
          <w:rFonts w:ascii="Arial" w:cs="Arial" w:eastAsia="Arial" w:hAnsi="Arial"/>
          <w:sz w:val="26"/>
          <w:szCs w:val="26"/>
          <w:color w:val="auto"/>
          <w:vertAlign w:val="superscript"/>
        </w:rPr>
        <w:t>TM</w:t>
      </w:r>
      <w:r>
        <w:rPr>
          <w:rFonts w:ascii="Arial" w:cs="Arial" w:eastAsia="Arial" w:hAnsi="Arial"/>
          <w:sz w:val="18"/>
          <w:szCs w:val="18"/>
          <w:color w:val="auto"/>
        </w:rPr>
        <w:t>, CoverStar</w:t>
      </w:r>
      <w:r>
        <w:rPr>
          <w:rFonts w:ascii="Arial" w:cs="Arial" w:eastAsia="Arial" w:hAnsi="Arial"/>
          <w:sz w:val="26"/>
          <w:szCs w:val="26"/>
          <w:color w:val="auto"/>
          <w:vertAlign w:val="superscript"/>
        </w:rPr>
        <w:t>TM</w:t>
      </w:r>
      <w:r>
        <w:rPr>
          <w:rFonts w:ascii="Arial" w:cs="Arial" w:eastAsia="Arial" w:hAnsi="Arial"/>
          <w:sz w:val="18"/>
          <w:szCs w:val="18"/>
          <w:color w:val="auto"/>
        </w:rPr>
        <w:t>, and GLI, among others.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products are sold through both one-step and two-step business-to-business distribution channels. In our one-step distribution channel, which we exclusively use to sell our fiberglass pools, we sell our products directly to dealers who, in turn, sell our products to homeowners. In our two-step distribution channel, we sell our products to distributors who warehouse our products and sell them to dealers, who ultimately sell our products to homeowners.</w:t>
      </w:r>
    </w:p>
    <w:p>
      <w:pPr>
        <w:spacing w:after="0" w:line="157" w:lineRule="exact"/>
        <w:rPr>
          <w:sz w:val="20"/>
          <w:szCs w:val="20"/>
          <w:color w:val="auto"/>
        </w:rPr>
      </w:pPr>
    </w:p>
    <w:p>
      <w:pPr>
        <w:jc w:val="both"/>
        <w:ind w:left="60" w:right="99" w:firstLine="648"/>
        <w:spacing w:after="0" w:line="273" w:lineRule="auto"/>
        <w:rPr>
          <w:sz w:val="20"/>
          <w:szCs w:val="20"/>
          <w:color w:val="auto"/>
        </w:rPr>
      </w:pPr>
      <w:r>
        <w:rPr>
          <w:rFonts w:ascii="Arial" w:cs="Arial" w:eastAsia="Arial" w:hAnsi="Arial"/>
          <w:sz w:val="17"/>
          <w:szCs w:val="17"/>
          <w:color w:val="auto"/>
        </w:rPr>
        <w:t>In order to strengthen our relationship with our loyal dealer partners, we have implemented our “Latham Grand” dealer program, whereby we have secured exclusivity with over 250 of our largest dealers in North America. Included in this dealer population is the largest franchised dealer network in the United States, Premier Pools &amp; Spas. We also have a strong distribution network with over 450 distributor branch locations that represent our products. Through our significant investment in partnerships with dealers and distributors and our consumer-oriented marketing efforts, we have created both a “push and pull” dynamic for our products in the marketplace.</w:t>
      </w:r>
    </w:p>
    <w:p>
      <w:pPr>
        <w:spacing w:after="0" w:line="178"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Our Latham Grand dealers, like all of our dealers, are our customers and not our agents. Our agreements with our Latham Grand dealers provide for various benefits to the dealers, such as early access to customer leads, access to in-store advertising and exterior branding, basic and advanced installation training sessions, a dedicated and customized website landing page, technical support, early access to new models, and other sales support. Latham Grand dealers agree to use us as their exclusive provider of fiberglass pools. Latham Grand dealers also agree, among other things, to receive fiberglass training and to meet annual targets for fiberglass pool installations. Each Latham Grand dealer agrees to operate only in specified territories, and we agree to reasonably consider impacts on the dealer’s market opportunities prior to appointing additional dealers in the same territory. Our agreements with our Latham Grand dealers are generally perpetual and terminable at will by both parties.</w:t>
      </w:r>
    </w:p>
    <w:p>
      <w:pPr>
        <w:spacing w:after="0" w:line="181"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Our exclusive supply agreement with Premier Pools &amp; Spas governs the sales of certain of our products to Premier Pools &amp; Spas franchisees. We agree to provide training support, marketing materials and, upon prior written request, on-site field support with respect to the first installation of a product by any franchisee of Premier Pools &amp; Spas. We also agree to provide certain franchisees with an annual allowance for use in marketing activities and marketing co-op funds, subject to certain conditions, and to provide rebates as a percentage of sales to Premier Pools &amp; Spas.</w:t>
      </w:r>
    </w:p>
    <w:p>
      <w:pPr>
        <w:spacing w:after="0" w:line="16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have long-term relationships with both our dealers and distributors. Our largest distributor, which provides valuable local market support with a network of over 290 locations, accounted for 20.3% of our net sales in 2022, 25.0% of our net sales in 2021, and 22.3% of our net sales in 2020. We have maintained a strong relationship with our largest distributor for over 25 years, as well as with the distributor’s nationwide network of operators, who are responsible for daily operations and purchasing decisions. Our top ten dealer and distributor relationships accounted for 39.4% of our net sales in 2022, 46.0% of our net sales in 2021 and 41.1% of our net sales in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We are a global manufacturer based in the United States, delivering quality products with a competitive cost position. Our manufacturing processes require significant capital investment, footprint, expertise, and time to develop. We have continuously invested the capital necessary to expand our manufacturing capacity and to improve our manufacturing processes. We will have sufficient capacity to support our near term growth once we have completed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current multi-year capital plan to invest in our facilities, technologies, and systems. We use our own fleet of trucks and drivers, as well as third-party common carriers to ship our finished products.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In-ground Swimming Pools</w:t>
      </w:r>
    </w:p>
    <w:p>
      <w:pPr>
        <w:spacing w:after="0" w:line="225"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manufacture of fiberglass pools requires highly specialized equipment and a technically skilled workforce. We manufacture fiberglass pools by applying the various layers of materials onto a mold, ending with the fiberglass finish that gives these pools their name. We have a broad and diverse mold portfolio designed to meet customer needs.</w:t>
      </w:r>
    </w:p>
    <w:p>
      <w:pPr>
        <w:spacing w:after="0" w:line="14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use an eight-layer building process to provide an industry-leading thickness and durability formula for our fiberglass pools. We also use finite element analysis, which is a computerized method for predicting how a product reacts to real-world forces, vibration, heat, fluid flow, and other physical effects. This allows us to model the fiberglass pools that we build to minimize the risk that there are any structural weak points in the design(s). Our use of a flow controlled material delivery system allows us to ensure that we are applying the appropriate mixture of resin and material, and to align the mixture to the temperature and humidity of the local environment of our production plant.</w:t>
      </w:r>
    </w:p>
    <w:p>
      <w:pPr>
        <w:spacing w:after="0" w:line="178"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In addition to the technical know-how and equipment, the manufacturing of fiberglass pools requires local and state air permits in each of our manufacturing plants. We have existing air permits to accommodate our current fiberglass manufacturing capacity, and we work with local, state, and federal agencies to increase capacity limits as needed.</w:t>
      </w:r>
    </w:p>
    <w:p>
      <w:pPr>
        <w:spacing w:after="0" w:line="149"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Our coast-to-coast network of facilities provides, on average, lower transportation costs and shorter lead times compared to smaller, regional manufacturers in our sector. Over-highway transportation costs of fiberglass pools become increasingly expensive beyond a 400-500 mile radius, a cost that is typically passed to the homeowner. In addition, Latham has our own fleet of delivery vehicles and drivers, who complement our third party distributor partners and provide us with greater surety of timely delivering during the peak building season. Once our fiberglass pools are delivered to their destination, our dealers provide quality installation and support to homeowners.</w:t>
      </w:r>
    </w:p>
    <w:p>
      <w:pPr>
        <w:spacing w:after="0" w:line="178" w:lineRule="exact"/>
        <w:rPr>
          <w:sz w:val="20"/>
          <w:szCs w:val="20"/>
          <w:color w:val="auto"/>
        </w:rPr>
      </w:pPr>
    </w:p>
    <w:p>
      <w:pPr>
        <w:ind w:left="60" w:right="219" w:firstLine="648"/>
        <w:spacing w:after="0" w:line="253" w:lineRule="auto"/>
        <w:rPr>
          <w:sz w:val="20"/>
          <w:szCs w:val="20"/>
          <w:color w:val="auto"/>
        </w:rPr>
      </w:pPr>
      <w:r>
        <w:rPr>
          <w:rFonts w:ascii="Arial" w:cs="Arial" w:eastAsia="Arial" w:hAnsi="Arial"/>
          <w:sz w:val="18"/>
          <w:szCs w:val="18"/>
          <w:color w:val="auto"/>
        </w:rPr>
        <w:t>The manufacture of our custom vinyl pools requires different techniques based on the product type. For our polymer wall vinyl pools, we have a facility that produces all of our polymer panels on structural foam equipment, which requires unique and specialized molds for each panel, as well as a system to inject the resin into the molds. Our highly-engineered plastic molding machines provide us the leading edge capability to mold high-quality structural panels in customized, proprietary shapes. For our steel panel vinyl pools, we have various processes and highly-engineered metal processing machines that have the capability to convert flat coil steel through various steps into panels that have been punched, bent, seamed, welded, and stacked. The use of a multi-head “soft” tooling cartridge allows simple and fast change-over times and high tolerance performance. We also have customized jigs and equipment to produce special sized panels as needed.</w:t>
      </w:r>
    </w:p>
    <w:p>
      <w:pPr>
        <w:spacing w:after="0" w:line="19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We manufacture our steps for pools based on the steel and fiberglass processes described above. We also have a thermoforming machine that produces all of our thermoformed one piece drop-in steps utilizing a wide variety of specialized molds of various shapes and sizes.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Liners</w:t>
      </w:r>
    </w:p>
    <w:p>
      <w:pPr>
        <w:spacing w:after="0" w:line="225"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We manufacture a complete line of both sonically and heat welded vinyl pool liners for both above and in-ground swimming pool applications, with what we believe is the most technologically advanced processing of vinyl sonic welding in the industry. We have installed specialized machines across our liner and cover facilities in North America, which has allowed us to gain a significant advantage over the competition. Our Ultra-Seam</w:t>
      </w:r>
      <w:r>
        <w:rPr>
          <w:rFonts w:ascii="Arial" w:cs="Arial" w:eastAsia="Arial" w:hAnsi="Arial"/>
          <w:sz w:val="19"/>
          <w:szCs w:val="19"/>
          <w:color w:val="auto"/>
          <w:vertAlign w:val="superscript"/>
        </w:rPr>
        <w:t>TM</w:t>
      </w:r>
      <w:r>
        <w:rPr>
          <w:rFonts w:ascii="Arial" w:cs="Arial" w:eastAsia="Arial" w:hAnsi="Arial"/>
          <w:sz w:val="17"/>
          <w:szCs w:val="17"/>
          <w:color w:val="auto"/>
        </w:rPr>
        <w:t xml:space="preserve"> technology provides an industry-leading capability to address seam tear or separation. We have production capacity to support custom liners at or better than the industry standard delivery window, from design to shipment.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Covers</w:t>
      </w:r>
    </w:p>
    <w:p>
      <w:pPr>
        <w:spacing w:after="0" w:line="225"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Our automatic safety cover manufacturing facilities cut, sew, and assemble highly engineered motorized safety covers in a build-to-order model at or better than the industry standard delivery window, from design to shipment.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96" w:lineRule="auto"/>
        <w:rPr>
          <w:sz w:val="20"/>
          <w:szCs w:val="20"/>
          <w:color w:val="auto"/>
        </w:rPr>
      </w:pPr>
      <w:r>
        <w:rPr>
          <w:rFonts w:ascii="Arial" w:cs="Arial" w:eastAsia="Arial" w:hAnsi="Arial"/>
          <w:sz w:val="16"/>
          <w:szCs w:val="16"/>
          <w:color w:val="auto"/>
        </w:rPr>
        <w:t>automatic safety cover business leverages our capabilities around machining, cut/sew, sonic welding, and assembly operations to provide a recessed/concealed covering application for in-ground swimming pool cover products. Our traveling heat welding machine provides an industry-leading seam for durability and finish. Our processing equipment offers tight tolerance and flexible manufacturing with compressed lead times across the various laser cutters, bending, assembly, and test equipment. Our all-season covers are manufactured on the same equipment as our liners.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Traditionally we have relied heavily on a business-to-business model built on strong partnerships with our dealers and distributors to generate awareness of our products. In parallel with our 2020 rebranding, we pivoted to a “direct-to-homeowner” digital and social marketing strategy that puts the consumer at the center of our marketing efforts. Latham’s unique “direct-to-homeowner” marketing strategy is driving a greater understanding of the benefits of owning a pool, specifically a fiberglass pool, and generating significant consumer demand. We have made meaningful, ongoing investments to position Latham as the brand of choice for the homeowner.</w:t>
      </w:r>
    </w:p>
    <w:p>
      <w:pPr>
        <w:spacing w:after="0" w:line="17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continued investment in innovation, product quality, and consumer engagement has been a key driver of our sales growth. We are increasingly responsible for our own lead generation, including via our online platform, mobile app, and consumer hotline. This allows us to provide higher quality, purchase-ready leads to our dealer partners. Our new digital platform engages the consumer early in the pool buying process and facilitates the buying journey from inspiration and design to a Latham pool purchase. Our Latham Augmented Reality Pool Visualizer app, along with our website, allow homeowners to re-imagine their outdoor living spaces and directly connects them to a dealer of our choice. For example, our website has visualization tools that allow homeowners to browse through the variety of pool shapes, sizes, colors, patterns, details, and specifications that we offer to choose their pool or their pool liner. Once chosen, homeowners can save the illustrated PDF file and take it to a local dealer to purchase. In addition, our Latham Augmented Reality Pool Visualizer app provides the technology for homeowners to visualize a Latham pool in their own backyard. The interactive nature allows homeowners to compare a variety of pool types and shapes and, when ready, directly contact a dealer without leaving the app.</w:t>
      </w:r>
    </w:p>
    <w:p>
      <w:pPr>
        <w:spacing w:after="0" w:line="17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maintain a sales organization throughout North America, Australia, and New Zealand that works with dealers and distributors and focuses on increased penetration, dealer growth, and dealer share of wallet. An example of this was the 2020 launch of Latham Grand, a valued-added program that drives dealers toward a 100% exclusive relationship with Latham. Once Latham Grand dealers become exclusive, we invest in them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in under-penetrated markets, and in the largest in-ground swimming pool markets.</w:t>
      </w:r>
    </w:p>
    <w:p>
      <w:pPr>
        <w:spacing w:after="0" w:line="16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Through focused demonstrations, education, product training, and other sales support efforts, we are raising the level of professionalism of our dealers to help facilitate higher lead conversion rates and quality installations, thereby driving the consumer demand. We established “Latham University” in Zephyrhills, Florida, where we provide both start-up training and education on fiberglass pool advantages and best practice, sales training, and advanced pool installation to our dealers. Additionally, we provide on-site installation assistance to our new dealer partners on their initial fiberglass pool installation. We recently announced the launch of Measure by Latham ("Measure"), a proprietary advanced AI-powered device that dramatically reduces dealer time and error in measuring swimming pool vinyl liners and safety covers. Measure is an end-to-end solution that will provide dealers with a simple, cost-effective user experience, high-performance measuring accuracy, and a modernized ordering process.</w:t>
      </w:r>
    </w:p>
    <w:p>
      <w:pPr>
        <w:spacing w:after="0" w:line="181"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To facilitate the decision to buy, we offer warranties for our products. In addition, to assist consumers in financing their pool purchase, we connect them to specialist pool financing providers with which we partner.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utilize a centralized sourcing model that includes a dedicated team of procurement professionals so that we can coordinate and leverage our purchases across a diverse supplier base. Our centralized sourcing model complements our growth to achieve competitive costs and to ensure supply availability. The manufacturing facilities coordinate all material deliveries with respect to volume and timing to ensure proper alignment between consumption and working capital programs. In 2022, we purchased supplies from over 275 suppliers, with 63% of supplies being purchased from our top ten suppliers and 17% of supplies being purchased from our largest supplier.</w:t>
      </w:r>
    </w:p>
    <w:p>
      <w:pPr>
        <w:spacing w:after="0" w:line="178"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The primary raw materials used in our products are PVC, galvanized steel, fiberglass, aluminum, Kevlar fiber, carbon fiber, various resins, gelcoat, polypropylene fabric, ceramics, and roving. Our supply agreements with key suppliers are typically negotiated on an annual basis. The cost of the raw materials used in our manufacturing processes has historically varied and has been affected by changes in supply and demand. We have minimal fixed-price contracts with our major vendors. We have not entered into hedges of our raw material costs at this time, but we may choose to enter into such hedges in the future. 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strive to maintain strong and collaborative relationships with our suppliers and believe that the sources for these inputs are well-established, generally available on world markets, and in sufficient quantity. We do not undertake defined purchase agreements requiring fixed commitments or “take or pay” requirements with our suppliers. If one or more suppliers were unable to satisfy our requirements for particular raw materials, we believe alternative sources of supply would be available, although we could experience a disruption to our operations as alternative suppliers are identified and qualified and new supply arrangements are entered into. See “Risk Factors — Risks Related to Our Operations and Industry — 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 and “Management’s Discussion and Analysis of Financial Condition and Results of Operations—Key Factors Affecting Our Performance— Cost and Availability of Materials.”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are the leader in the North American in-ground residential swimming pool market, holding the #1 position by volume in each of our product categories. We also operate in New Zealand and Australia, where we hold the #1 position by volume in the fiberglass pools category in both Australia and New Zealand, according to management estimates. We compete with regional and local manufacturers on the basis of a number of considerations, including brand recognition and loyalty, quality, performance, product characteristics, marketing, product development, sales and distribution, and price. We believe we compete favorably with respect to these factors through our differentiated consumer value proposition; brand, breadth, and quality of our product portfolio; national manufacturing footprint in the United States; leading sales force; and large network of dealers.</w:t>
      </w:r>
    </w:p>
    <w:p>
      <w:pPr>
        <w:spacing w:after="0" w:line="178"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main alternative to vinyl and fiberglass pools are concrete pools, which are built in the ground and are constructed by pouring concrete over steel rods to create the shell of the pool. Concrete pools are highly customizable when compared to fiberglass pools (which use a pre-manufactured shell), but they require frequent and more costly maintenance than fiberglass. In contrast to concrete pools, fiberglass pools are subject to shipping limitations and, as a result, their width cannot exceed certain size. Based on our knowledge of our dealers, we believe it takes approximately three months to install a concrete pool. We do not participate in the concrete pool market other than to provide automatic safety covers and all-season covers for concrete pools. We believe that the shift in material from concrete to fiberglass that the North American in-ground swimming pool industry is undergoing will favor our products. See “Risk Factors—Risks Related to Our Operations and Industry—We face competition both from within our industry and from other outdoor living products and if we are not able to compete effectively, our prospects for future success will be jeopardized.” and “Management’s Discussion and Analysis of Financial Condition and Results of Operations—Key Factors Affecting Our Performance—Volume of Products Sold.”</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Although we generally have demand for our products throughout the year, our business is seasonal, and weather is one of the principal external factors affecting the business. In general, net sales and net income are highest during spring and summer, representing the peak months of swimming pool use, pool installation, and remodeling and repair activities. Calendar years having severe weather also play a role in affecting sales growth, as particularly rainy or cold years tend to slow the volume of sales, including as a result of complicating conditions for pool installations. See “Risk Factors — Risks Related to Our Operations and Industry — Adverse weather conditions could negatively impact our sales, as well as result in significant variability of sales in reporting periods.”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rely on trademark and service mark protection to protect our brands, and we have registered or applied to register many of these trademarks and service marks. In particular, we believe the Latham brand is significant to the success of our business. We also rely on a combination of unpatented proprietary know-how and trade secrets, and to a lesser extent, patents to preserve our position in the market. As we develop technologies and processes that we believe are innovative, we assess the patentability of new intellectual property. In addition, we employ various other methods, including confidentiality and nondisclosure agreements with third parties and employees who have access to trade secrets, to protect our trade secrets and know-how. Our intellectual property rights may be challenged by third parties and may not be effective in excluding competitors from using the same or similar technologies, brands, or works.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2022, we had 2,198 full-time employees, of whom 230 were based outside of North America.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workforce is not unionized. We believe we have good relations with our employees.</w:t>
      </w:r>
    </w:p>
    <w:p>
      <w:pPr>
        <w:spacing w:after="0" w:line="211"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Our reputation for exceptional quality relies on having exceptional people, so we ensure that our team is rewarded, engaged, and developed to build fulfilling careers. We provide competitive employee wages that are appropriate to employee positions, skill levels, experience, knowledge, and geographic location, and we provide additional rewards including incentive plans, bonus plans, and achievement awards. We benchmark our benefits plan annually to ensure our employee value proposition remains competitive and attractive to new talent.</w:t>
      </w:r>
    </w:p>
    <w:p>
      <w:pPr>
        <w:spacing w:after="0" w:line="17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health and safety of our people is a primary concern for us, so we have implemented a comprehensive health and safety program to manage workplace safety hazards and to protect employees. We provide regular training and competency development to verify and ensure compliance with health and safety procedures and regulations. In the post-pandemic world, we continue to drive community health safety guidelines and best practices for employee wellness gained from our COVID-19 experience.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Diversity, equity, inclusion, and belonging are fundamental principles in our culture. We are committed to fostering, cultivating, celebrating, and preserving a culture of diversity, equity, inclusion, and belonging among our employees, customers, and suppliers. Latham’s diversity initiatives include, but are not limited to, our practices and policies on recruitment and selection; compensation; benefits plan design; professional development and training; promotions; transfers; internal communications; social and recreational programs; terminations; and both ongoing development of a work environment that encourages and enforces respectful communication, teamwork, work/life balance, and engaging in community efforts that promote a greater understanding and respect for the principles of diversity.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25"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Our health and safety policies and practices include an employee training and competency development program to train, verify, and encourage compliance with health and safety procedures and regulations annually. We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monitor our total recordable incident rate monthly and review workplace injury and claims trends with our carriers monthly to identify areas of focus and opportunities for implementing new programs to protect our employees.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 and Partnerships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made four acquisitions since 2018: the purchase of certain fiberglass pool manufacturing assets in Seminole, Oklahoma in November 2022; the purchase of Radiant Pools in November 2021, a manufacturer of vinyl-lined and aluminum-walled swimming pools; the purchase of GLI, a vinyl liner and safety cover manufacturer based in Ohio, in October 2020; and the purchase of Narellan, a manufacturer of fiberglass pools in Australia and New Zealand in May 2019. We also made a strategic investment in October 2020 by acquiring a 28% interest in Premier Pools &amp; Spas, a pool builder focusing on in-ground swimming pools (which was reduced in connection with a partial sale to 20.1% on August 6, 2021). On December 17, 2021, Premier Pools &amp; Spas issued additional non-voting common units. Our ownership interest in Premier Pools &amp; Spas after the issuance of additional non-voting common units is 18.2% while our voting interest remains 20.1%. We anticipate that we will continue to look to grow our portfolio of outdoor living products through further acquisitions. See “Management’s Discussion and Analysis of Financial Condition and Results of Operations — Key Factors Affecting Our Performance — Acquisitions and Partnerships.”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Our operations and properties are subject to extensive and frequently changing federal, state, and local environmental protection and health and safety laws, regulations, and ordinances. These laws, regulations, and ordinances, among other matters, govern activities and operations that may have adverse environmental effects, such as discharges to air, soil, and water, and establish standards for the handling of hazardous and toxic substances and the handling and disposal of solid and hazardous wastes.</w:t>
      </w:r>
    </w:p>
    <w:p>
      <w:pPr>
        <w:spacing w:after="0" w:line="188"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Certain of our operations require environmental, health and safety permits, or other approvals from governmental authorities, and certain of these permits and approvals are subject to expiration, denial, revocation, or modification under various circumstances. Those requirements obligate us to obtain and maintain permits from one or more governmental agencies in order to conduct our operations. Such permits are typically issued by state agencies, but permits and approvals may also be required from federal or local governmental agencies. As with all governmental permitting processes, there is a degree of uncertainty as to whether a permit will be granted, the time it will take for a permit to be issued, and the conditions that may be imposed in connection with the granting of the permit. Compliance with these laws, regulations, permits, and approvals is a significant factor in our business. From time to time, we incur significant capital and operating expenditures to achieve and maintain compliance with applicable environmental, health and safety laws, regulations, permits, and approvals. Our failure to comply with applicable environmental, health and safety laws and regulations, or permit or approval requirements, could result in substantial liabilities or civil or criminal fines, penalties or enforcement actions, including regulatory or judicial orders enjoining or curtailing operations or requiring remedial or corrective measures, installation of pollution control equipment, or other actions, such as business disruptions, which could have a material adverse effect on our business, financial condition, or results of operations.</w:t>
      </w:r>
    </w:p>
    <w:p>
      <w:pPr>
        <w:spacing w:after="0" w:line="17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Some of the environmental laws applicable to us provide that a current or previous owner or operator of real property may be liable for the costs of removal or remediation of environmental contamination on, under, or in that property or other impacted properties. Accordingly, such liability could apply to us in connection with any of our current or former manufacturing plants or other properties. In addition, some of these laws provide that persons who arrange, or are deemed to have arranged, for the disposal or treatment of hazardous substances may also be liable for the costs of removal or remediation of environmental contamination at the disposal or treatment site, regardless of whether the affected site is owned or operated by such person. Environmental laws, in general, often impose liability whether or not the owner, operator or arranger knew of, or caused, the presence of such environmental contamination. Also, third parties may make claims against owners or operators of properties for personal injuries, for property damage and/or for clean-up associated with releases of hazardous or toxic substances pursuant to applicable environmental laws and common law tort theories, including strict liability. Failure to comply with environmental laws or regulations could result in severe fines and penalties.</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are not aware of any environmental liabilities that would be expected to have a material adverse effect on our business, financial condition, or results of operations. We believe we comply in all material respects with environmental laws and regulations and possess the permits required to operate our manufacturing and other facilities. Our environmental compliance costs in the future will depend, in part, on the nature and extent of our manufacturing activities, regulatory developments and future requirements that cannot presently be predicted.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Social, and Governance</w:t>
      </w:r>
    </w:p>
    <w:p>
      <w:pPr>
        <w:spacing w:after="0" w:line="229"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To achieve long-term success as a business, we recognize the need to align our business strategy and priorities with the expectations of our stakeholders, and our ambition is to lead our industry towards a more sustainable future. In launching our formal ESG program in 2021, we worked with independent consultants to assess our ESG performance, benchmark our efforts against our competitors, and establish a comprehensive strategy to manage ESG risks and opportunities effectively.</w:t>
      </w:r>
    </w:p>
    <w:p>
      <w:pPr>
        <w:spacing w:after="0" w:line="18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management team develops ESG strategy and related goals and policies through an ESG working group, and our ESG program is overseen by our Board of Directors’ Nominating and Corporate Governance Committee. Management has established an ESG working group that is a cross-functional team managing the day-to-day implementation of company initiatives and driving accountability for ESG performance. The working group is focused on measuring our progress in each of the key ESG areas relevant to our business, including environmental, health, and safety; diversity, equity, and inclusion; sustainable products and supply chains; and corporate governance.</w:t>
      </w:r>
    </w:p>
    <w:p>
      <w:pPr>
        <w:spacing w:after="0" w:line="164"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We published our inaugural ESG report in the second quarter of 2022, which included information regarding our first materiality assessment undertaken by an independent third party. We intend to publish an annual ESG report to update our stakeholders on our ongoing journey.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Health and Safety Matters</w:t>
      </w:r>
    </w:p>
    <w:p>
      <w:pPr>
        <w:spacing w:after="0" w:line="22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Our health and safety policies and practices include an employee training and competency development program to regularly train, verify, and encourage compliance with health and safety procedures and regulations. We regularly monitor our total recordable incident rate. We employ an environmental, health, and safety team that is responsible for managing, auditing, and executing unified, companywide safety and compliance programs, as well as working directly with site leadership and associates on safety awareness, reports, and preventative measures.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Web Sites and Additional Information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U. S. Securities and Exchange Commission (“SEC”) maintains an Internet web site at www.sec.gov that contains reports, proxy statements, and other information regarding our Company. In addition, we maintain an Investor Relations web site at https://ir.lathampool.com/. We make available through our web 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 site. The contents of our web site or any other web site referenced are not a part of this report.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i w:val="1"/>
          <w:iCs w:val="1"/>
          <w:color w:val="auto"/>
        </w:rPr>
        <w:t>Certain statements in this Annual Report on Form 10-K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i w:val="1"/>
          <w:iCs w:val="1"/>
          <w:color w:val="auto"/>
        </w:rPr>
        <w:t>“plan,”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the section of this Annual Report on Form 10-K titled “Risk Factors,” "Management's Discussion and Analysis of Financial Condition and Results of Operations" and elsewhere in this Annual Report on Form 10-K, or as described on other subsequent reports we file or furnish with the SEC. We encourage you to read this report and our other filings with the SEC carefully. Moreover,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7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i w:val="1"/>
          <w:iCs w:val="1"/>
          <w:color w:val="auto"/>
        </w:rPr>
        <w:t>These forward-looking statements reflect our views with respect to future events as of the date of this Annual Report on Form 10-K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Annual Report on Form 10-K.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i w:val="1"/>
          <w:iCs w:val="1"/>
          <w:color w:val="auto"/>
        </w:rPr>
        <w:t>You should carefully consider the following risks and uncertainties, together with all of the other information contained in this Annual Report on Form 10-K, or this Annual Report, including our Consolidated Financial Statements and related notes included elsewhere in this Annual Report, before making an investment decision. In addition, past financial performance may not be a reliable indicator of future performance and historical trends may not predict results or trends in future periods. Any of the following risks, individually or collectively, could materially adversely affect our business, financial condition, and results of operations, in which case the trading price of our common stock could decline and you could lose all or part of your investment.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Our business is subject to a number of risks, including risks that may prevent us from achieving our business objectives or may adversely affect our business, financial condition, results of operations, cash flows and prospects. Risks that we deem material are described below. These risks include, but are not limited to, the following:</w:t>
      </w:r>
    </w:p>
    <w:p>
      <w:pPr>
        <w:spacing w:after="0" w:line="149" w:lineRule="exact"/>
        <w:rPr>
          <w:sz w:val="20"/>
          <w:szCs w:val="20"/>
          <w:color w:val="auto"/>
        </w:rPr>
      </w:pPr>
    </w:p>
    <w:p>
      <w:pPr>
        <w:ind w:left="1040" w:right="659" w:hanging="382"/>
        <w:spacing w:after="0" w:line="25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for our swimming pools and related products is adversely affected by unfavorable economic conditions and trends in consumer spending;</w:t>
      </w:r>
    </w:p>
    <w:p>
      <w:pPr>
        <w:spacing w:after="0" w:line="1" w:lineRule="exact"/>
        <w:rPr>
          <w:rFonts w:ascii="Arial" w:cs="Arial" w:eastAsia="Arial" w:hAnsi="Arial"/>
          <w:sz w:val="18"/>
          <w:szCs w:val="18"/>
          <w:color w:val="auto"/>
        </w:rPr>
      </w:pP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sustain further growth in our business;</w:t>
      </w:r>
    </w:p>
    <w:p>
      <w:pPr>
        <w:spacing w:after="0" w:line="9" w:lineRule="exact"/>
        <w:rPr>
          <w:rFonts w:ascii="Arial" w:cs="Arial" w:eastAsia="Arial" w:hAnsi="Arial"/>
          <w:sz w:val="18"/>
          <w:szCs w:val="18"/>
          <w:color w:val="auto"/>
        </w:rPr>
      </w:pPr>
    </w:p>
    <w:p>
      <w:pPr>
        <w:ind w:left="1040" w:right="9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weather conditions impacting our sales, as well as result in significant variability of sales in reporting periods;</w:t>
      </w:r>
    </w:p>
    <w:p>
      <w:pPr>
        <w:ind w:left="1040" w:right="15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war, terrorism, public health issues such as the novel coronavirus (“COVID-19”) pandemic or other catastrophic events;</w:t>
      </w: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develop and retain highly qualified personnel;</w:t>
      </w:r>
    </w:p>
    <w:p>
      <w:pPr>
        <w:spacing w:after="0" w:line="9" w:lineRule="exact"/>
        <w:rPr>
          <w:rFonts w:ascii="Arial" w:cs="Arial" w:eastAsia="Arial" w:hAnsi="Arial"/>
          <w:sz w:val="18"/>
          <w:szCs w:val="18"/>
          <w:color w:val="auto"/>
        </w:rPr>
      </w:pPr>
    </w:p>
    <w:p>
      <w:pPr>
        <w:ind w:left="1040" w:right="51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attract dealers and distributors to purchase our products, or the loss of our largest customers, since our products are not sold directly to consumers;</w:t>
      </w:r>
    </w:p>
    <w:p>
      <w:pPr>
        <w:jc w:val="both"/>
        <w:ind w:left="1040" w:right="21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costs of our raw materials and components and inability to source the quantity or quality of raw materials and components that we need to manufacture our products, including due to the loss of our largest suppliers;</w:t>
      </w:r>
    </w:p>
    <w:p>
      <w:pPr>
        <w:spacing w:after="0" w:line="1" w:lineRule="exact"/>
        <w:rPr>
          <w:rFonts w:ascii="Arial" w:cs="Arial" w:eastAsia="Arial" w:hAnsi="Arial"/>
          <w:sz w:val="18"/>
          <w:szCs w:val="18"/>
          <w:color w:val="auto"/>
        </w:rPr>
      </w:pP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inflationary impacts;</w:t>
      </w:r>
    </w:p>
    <w:p>
      <w:pPr>
        <w:spacing w:after="0" w:line="9" w:lineRule="exact"/>
        <w:rPr>
          <w:rFonts w:ascii="Arial" w:cs="Arial" w:eastAsia="Arial" w:hAnsi="Arial"/>
          <w:sz w:val="18"/>
          <w:szCs w:val="18"/>
          <w:color w:val="auto"/>
        </w:rPr>
      </w:pPr>
    </w:p>
    <w:p>
      <w:pPr>
        <w:ind w:left="1040" w:right="75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quality issues, warranty claims or safety concerns and other claims in the ordinary course of business;</w:t>
      </w: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that we face;</w:t>
      </w:r>
    </w:p>
    <w:p>
      <w:pPr>
        <w:spacing w:after="0" w:line="9" w:lineRule="exact"/>
        <w:rPr>
          <w:rFonts w:ascii="Arial" w:cs="Arial" w:eastAsia="Arial" w:hAnsi="Arial"/>
          <w:sz w:val="18"/>
          <w:szCs w:val="18"/>
          <w:color w:val="auto"/>
        </w:rPr>
      </w:pP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meet customer specifications or consumer expectations;</w:t>
      </w:r>
    </w:p>
    <w:p>
      <w:pPr>
        <w:spacing w:after="0" w:line="9" w:lineRule="exact"/>
        <w:rPr>
          <w:rFonts w:ascii="Arial" w:cs="Arial" w:eastAsia="Arial" w:hAnsi="Arial"/>
          <w:sz w:val="18"/>
          <w:szCs w:val="18"/>
          <w:color w:val="auto"/>
        </w:rPr>
      </w:pP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collect accounts receivables from our customers;</w:t>
      </w:r>
    </w:p>
    <w:p>
      <w:pPr>
        <w:spacing w:after="0" w:line="9" w:lineRule="exact"/>
        <w:rPr>
          <w:rFonts w:ascii="Arial" w:cs="Arial" w:eastAsia="Arial" w:hAnsi="Arial"/>
          <w:sz w:val="18"/>
          <w:szCs w:val="18"/>
          <w:color w:val="auto"/>
        </w:rPr>
      </w:pPr>
    </w:p>
    <w:p>
      <w:pPr>
        <w:ind w:left="1040" w:right="37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or systems disruptions issues caused by, the implementation of our enterprise resource planning system could adversely affect our operations;</w:t>
      </w: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environmental, health, safety, transportation, and other government regulations;</w:t>
      </w:r>
    </w:p>
    <w:p>
      <w:pPr>
        <w:spacing w:after="0" w:line="9" w:lineRule="exact"/>
        <w:rPr>
          <w:rFonts w:ascii="Arial" w:cs="Arial" w:eastAsia="Arial" w:hAnsi="Arial"/>
          <w:sz w:val="18"/>
          <w:szCs w:val="18"/>
          <w:color w:val="auto"/>
        </w:rPr>
      </w:pPr>
    </w:p>
    <w:p>
      <w:pPr>
        <w:ind w:left="1040" w:right="21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climate change and the expanding legal and regulatory restrictions intended to address climate change could adversely impact our business;</w:t>
      </w:r>
    </w:p>
    <w:p>
      <w:pPr>
        <w:ind w:left="1040" w:right="71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obtain transportation services to deliver our product and to obtain raw materials timely or increases in the cost of transportation;</w:t>
      </w:r>
    </w:p>
    <w:p>
      <w:pPr>
        <w:ind w:left="1040" w:right="99" w:hanging="382"/>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maintain and enforce intellectual property protection for our current and future products, and third-party claims against us for violation of their intellectual property;</w:t>
      </w: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9" w:lineRule="exact"/>
        <w:rPr>
          <w:rFonts w:ascii="Arial" w:cs="Arial" w:eastAsia="Arial" w:hAnsi="Arial"/>
          <w:sz w:val="18"/>
          <w:szCs w:val="18"/>
          <w:color w:val="auto"/>
        </w:rPr>
      </w:pPr>
    </w:p>
    <w:p>
      <w:pPr>
        <w:ind w:left="1040" w:hanging="382"/>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cyber security breaches and data leaks, and our dependence on information technology systems; and</w:t>
      </w:r>
    </w:p>
    <w:p>
      <w:pPr>
        <w:spacing w:after="0" w:line="20" w:lineRule="exact"/>
        <w:rPr>
          <w:rFonts w:ascii="Arial" w:cs="Arial" w:eastAsia="Arial" w:hAnsi="Arial"/>
          <w:sz w:val="17"/>
          <w:szCs w:val="17"/>
          <w:color w:val="auto"/>
        </w:rPr>
      </w:pPr>
    </w:p>
    <w:p>
      <w:pPr>
        <w:ind w:left="1040" w:hanging="38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11"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229"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b w:val="1"/>
          <w:bCs w:val="1"/>
          <w:i w:val="1"/>
          <w:iCs w:val="1"/>
          <w:color w:val="auto"/>
        </w:rPr>
        <w:t>Net sales of our swimming pools and related products is adversely affected by unfavorable economic conditions and trends in consumer spending, which are impacted by factors outside of our control.</w:t>
      </w:r>
    </w:p>
    <w:p>
      <w:pPr>
        <w:spacing w:after="0" w:line="14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Consumer discretionary spending affects our sales of swimming pools and related products and is impacted by factors outside of our control, including general economic conditions, the residential housing market, unemployment rates and wage levels, interest rate fluctuations, inflation, disposable income levels, consumer confidence and access to credit. In particular, we believe that access to consumer credit is an important factor enabling the purchase of new pools because a significant percentage of consumers finance their pool installations. Tightening consumer credit or increases in interest rates could reduce the number of consumers that obtain financing for pools, which would negatively impact our sales. In economic downturns such as many economists and industry leaders are forecasting for 2023, the demand for swimming pools and related products has declined and we expect that such demand would decline in the future, with the magnitude of such declines often corresponding to the declines in discretionary consumer spending and the growth rate of pool eligible households. In addition, consumer demand for swimming pools is impacted by consumer demand for, and spending on, outdoor living spaces. While we believe consumers have increased relative spending on outdoor living in recent years, such purchases may decrease in the aggregate if there was a decline in consumer discretionary spending.</w:t>
      </w:r>
    </w:p>
    <w:p>
      <w:pPr>
        <w:spacing w:after="0" w:line="16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Any substantial deterioration in general economic conditions that diminishes consumer confidence or discretionary income may reduce our sales and materially adversely affect our business, financial condition, and results of operations. In addition, the cyclicality in consumer demand for our products that we do not control increases the risk of making critical business decisions based on our forecasts, and means that the results for any prior period may not be indicative of results for any future period. Further, a recessionary economic environment could weaken the financial condition of our suppliers potentially leading to shortages of critical raw materials, manufacturing equipment, components, and services, and increase the risk of dealer and distributor closures or bankruptcies that could shrink our potential customer base and inhibit our ability to collect on their receivables. Even in generally favorable economic conditions, severe and/or prolonged downturns in the housing market could have a material adverse impact on our financial performance due to our industry’s alignment with the housing market.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may be unable to sustain further growth in our business.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core strategy for our business is growth, including by contributing to the transformation of the North American residential pool industry by driving and benefiting from material conversion to fiberglass pools, our key product. See “Business — Growth and Strategy.” Although we have generated 13 consecutive years of net sales growth, we may not be able to continue generating net sales growth in the future. While we believe interest in pool ownership remains strong, recently, homeowners have been taking more time on their purchase decisions and establishing installation dates in light of the current macroeconomic environment. Further, to achieve our growth plans, we have made and expect to continue to make significant investments in our employees, technology, marketing, research and development, manufacturing capacity and strategic investments and acquisitions. While we believe that our fiberglass pools are the future of the industry and meet the majority of the market of pools sold, fiberglass pools do have some limitations. Due to shipping considerations, they are subject to certain size limits. Although we offer a broad portfolio of design choices, fiberglass pools can be less customizable than concrete and vinyl. Our failure to implement our growth strategy in a cost-effective and timely manner could result in underutilized assets and higher operating costs, and otherwise could have an adverse effect on our business, financial condition, and results of operations.</w:t>
      </w:r>
    </w:p>
    <w:p>
      <w:pPr>
        <w:spacing w:after="0" w:line="17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b w:val="1"/>
          <w:bCs w:val="1"/>
          <w:i w:val="1"/>
          <w:iCs w:val="1"/>
          <w:color w:val="auto"/>
        </w:rPr>
        <w:t>Adverse weather conditions could negatively impact our sales, as well as result in significant variability of sales in reporting periods.</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Given the nature of our business, weather is one of the principal external factors affecting our business, and the impact of bad weather is further exacerbated by the seasonality of our business. Adverse weather can interfere with ordinary transportation of our products and installation and cause a resulting delay, or if such delay is prolonged may lead to a cancelled order. The second and third quarters of the year, which correspond to the spring and summer months in the United States, represent the peak months of swimming pool use and pool installation and maintenance. Unseasonably late warming trends in the spring or early cooling trends in the fall can shorten the length of the pool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season. In addition, unseasonably cool weather or extraordinary rainfall during the peak season can have an adverse impact on demand due to decreased swimming pool use and installation.</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Due to such seasonality, our net sales are significantly stronger in the second and third quarters each year, and are moderated in the first and fourth quarters. Further, adverse weather conditions can cause the timing of sales and cash flows can shift significantly between quarterly and annual reporting periods and therefore significantly impact the meaningfulness of period-to-period comparisons of financial and operating results.</w:t>
      </w:r>
    </w:p>
    <w:p>
      <w:pPr>
        <w:spacing w:after="0" w:line="171"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b w:val="1"/>
          <w:bCs w:val="1"/>
          <w:i w:val="1"/>
          <w:iCs w:val="1"/>
          <w:color w:val="auto"/>
        </w:rPr>
        <w:t>Natural disasters, war, terrorism, public health issues such as the COVID-19 pandemic, or other catastrophic events could adversely affect our business. financial condition and results of operations.</w:t>
      </w:r>
    </w:p>
    <w:p>
      <w:pPr>
        <w:spacing w:after="0" w:line="14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operations and financial results have been, and may be in the future, adversely impacted by local, regional, national or global catastrophic events or extraordinary circumstances, such as natural or environmental disasters, public health issues such as the COVID-19 pandemic, and other serious disruption to our facilities due to fire, flood, earthquake, acts of terrorism, civil insurrection or social unrest. Any such event could disrupt our supply chain, our ability to manufacture and deliver our products, and our dealers’ and distributors’ ability to install our products, as well as adversely impact customer demand of our products. Further, such event could have macro implications, such as adversely impacting consumer discretionary spending, causing geopolitical uncertainty, and resulting in a macroeconomic downturn and disruption in the financial markets. Given the seasonality inherent in our business, the impact of such events or circumstances on our business would be particularly severe if the timing coincides with the peak months of swimming pool use and pool installation and maintenance. Our response and response of other impacted persons to any such event may result in an increase in our operating costs and require significant management resources, and we could incur impairment expense for any impacted assets. The direct and indirect impacts of such catastrophic event or extraordinary circumstances also could heighten many of the other risks described in this Annual Report, and any of these impacts could adversely affect our business, financial condition, and results of operations.</w:t>
      </w:r>
    </w:p>
    <w:p>
      <w:pPr>
        <w:spacing w:after="0" w:line="171"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ongoing war between Russia and Ukraine could adversely affect our operations, and related sanctions and other actions that have been or may be enacted by the United States, the European Union, or other governing entities could adversely affect our business, our business partners, our suppliers, and our customers. While our operations are primarily within North America and we have no operations in Russia or Ukraine, and we do not have direct exposure to customers and vendors in Russia and Ukraine, we continue to monitor any adverse impact that such events may have on the global economy in general, on our business and operations and on the businesses and operations of our business partners, suppliers and customers.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depend on our ability to attract, develop, and retain highly qualified personnel.</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ability to meet our strategic objectives and otherwise grow our business will depend to a significant extent on the continued contributions of our leadership team, as well as our ability to identify, attract, and retain other highly qualified managerial, technical, sales and marketing, operations, and customer service personnel. In particular, we rely on a technically skilled workforce to operate the specialized equipment required to manufacture fiberglass pools. Competition for these individuals in our manufacturing markets is intense and supply is limited, in particular due to significant voluntary resignations across industries since the onset of the COVID-19 pandemic. Since we operate in a competitive labor market, there is a risk that market increases in compensation could have an adverse effect on our business and operating costs.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results of operations.</w:t>
      </w:r>
    </w:p>
    <w:p>
      <w:pPr>
        <w:spacing w:after="0" w:line="17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In November 2022, we approved a cost reduction plan to optimize our production and shift schedules, implement a workforce reduction, and streamline our cover and liner manufacturing footprint with the closure of our Bossier City, Louisiana facility in the first quarter of 2023. Such actions may adversely impact our ability to attract and retain qualified personnel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b w:val="1"/>
          <w:bCs w:val="1"/>
          <w:i w:val="1"/>
          <w:iCs w:val="1"/>
          <w:color w:val="auto"/>
        </w:rPr>
        <w:t>Our products are sold to other businesses for resale to consumers, and inability to attract dealers and distributors to purchase our products or the loss of our largest customers could adversely affect our business, financial condition, and results of operations.</w:t>
      </w:r>
    </w:p>
    <w:p>
      <w:pPr>
        <w:spacing w:after="0" w:line="184"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We sell all of our products to key channel partners, dealers and distributors, who resell the products to consumers and other dealers, respectively. Some of our customers also sell our competitors’ products. The customers’ success in reselling our products to consumers is a key driver of our net sales. Our agreements for exclusivity with customers generally are terminable at will by either party. During periods of strong growth, we have had to terminate relationships with certain customers to ensure we could satisfy the demand of our leading customers. During periods of slower growth, such as we expect in 2023, we are looking to develop relationships with new customers to expand our growth opportunities. If we are unable to attract or retain successful customers on a cost-effective basis, our business, financial condition, and results of operations may be materially adversely affected.</w:t>
      </w:r>
    </w:p>
    <w:p>
      <w:pPr>
        <w:spacing w:after="0" w:line="17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Our customers generally are not contractually obligated to purchase from us. They make purchase decisions based on a combination of brand, product quality, consumer demand, customer service performance, price, and other factors. In 2022, we experienced volume declines in our packaged pool products as our wholesale distribution partners destocked packaged pool inventory levels as they serviced dealer demand through existing supply, and we expect this to continue into 2023. Changes in our customers’ strategies may adversely affect our sales. Additionally, our customers may face financial or other difficulties that may impact their operations and their purchases from us. Finally, our customers may default on their obligations to us.</w:t>
      </w:r>
    </w:p>
    <w:p>
      <w:pPr>
        <w:spacing w:after="0" w:line="19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These risks are heightened with respect to our largest customer, which accounted for 20.3% of our net sales in 2022, and our top ten dealers and distributors, which accounted for 39.4% of our net sales in 2022. A reduction in sales to our customers, particularly the loss of, or a reduction in sales to, our largest customers, could have a material adverse effect on our business, financial condition, and results of operations.</w:t>
      </w:r>
    </w:p>
    <w:p>
      <w:pPr>
        <w:spacing w:after="0" w:line="18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b w:val="1"/>
          <w:bCs w:val="1"/>
          <w:i w:val="1"/>
          <w:iCs w:val="1"/>
          <w:color w:val="auto"/>
        </w:rPr>
        <w:t>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w:t>
      </w:r>
    </w:p>
    <w:p>
      <w:pPr>
        <w:spacing w:after="0" w:line="165"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We rely on manufacturers and other suppliers to provide us with the components and raw materials to manufacture our products. The primary raw materials used in our products are polyvinyl chloride (“PVC”) plastic, galvanized steel, fiberglass, aluminum, carbon fiber, Kevlar fiber, various resins, gelcoat, polypropylene fabric, and roving.</w:t>
      </w:r>
    </w:p>
    <w:p>
      <w:pPr>
        <w:spacing w:after="0" w:line="149"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Increases in the cost of the raw materials used to manufacture our products could adversely affect our operating results. 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are experiencing inflationary pressures in certain areas of our business, including with respect to prices of our raw materials and employee wages, although, to date, we have been able to offset such pressures, to some extent, through price increases and other measures.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w:t>
      </w:r>
    </w:p>
    <w:p>
      <w:pPr>
        <w:spacing w:after="0" w:line="16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 results of operations. While we believe that our relationships with our current suppliers are sufficient to provide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For example, in 2021 and the first half of 2022, we experienced raw material shortages, particularly of resin, which limited our fiberglass pool production and decreased our profitability and raw material shortages may impact us similarly in the future. Although we have taken actions to increase and diversify our resin and other raw materials supply base, we may not succeed in procuring sufficient supply of resin and other raw materials that we need on a timely basis or at all, which could result in lost sales and a decline in our profitability.</w:t>
      </w:r>
    </w:p>
    <w:p>
      <w:pPr>
        <w:spacing w:after="0" w:line="166"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The foregoing risks are heightened with respect to our largest supplier, which accounted for 17% of our purchased supplies in 2022, and our top ten suppliers, which accounted for 63% of our purchased supplies in 2022.</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Inflation could adversely impact our financial condition and results of operations.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Inflation in the United States began to rise significantly in the second half of the calendar year of 2021 and continued to increase in 2022. For instance, global supply chain disruptions have resulted in shortages in materials and services, which has led to inflationary cost increases for labor, materials, and services, and could continue to cause costs to increase as well as scarcity of certain products. Global supply chain disruptions continue to persist, and may become worse due to the war in Ukraine, the COVID-19 pandemic-related lock-downs in China or for other reasons. 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In addition, the demand for our products may soften as we continue to increase the prices of our products to offset the inflationary pressure. To the extent we are unable to recover higher operating costs resulting from inflation or otherwise mitigate the impact of such costs on our business, or to continue to grow our sales volumes, our net sales and gross margins could decrease, and our financial condition and results of operations could be adversely affected.</w:t>
      </w:r>
    </w:p>
    <w:p>
      <w:pPr>
        <w:spacing w:after="0" w:line="186"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b w:val="1"/>
          <w:bCs w:val="1"/>
          <w:i w:val="1"/>
          <w:iCs w:val="1"/>
          <w:color w:val="auto"/>
        </w:rPr>
        <w:t>Product quality, warranty claims or safety concerns and other claims in the ordinary course of business could negatively impact our sales, lead to increased costs, and expose us to litigation. Other litigation and regulatory matters incidental to our business also may adversely impact our business and financial results.</w:t>
      </w:r>
    </w:p>
    <w:p>
      <w:pPr>
        <w:spacing w:after="0" w:line="14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Product quality issues could negatively impact consumer confidence in our brands and our business. If our product offerings do not meet applicable legal standards or consumers’ expectations regarding safety or quality, we could experience lost sales and increased costs and be exposed to legal, financial, and reputational risks, as well as governmental enforcement actions. Since we provide various warranties on our products, generally ranging from five years to lifetime warranties, we become liable for warranty obligations should problems arise. Warranty obligations in excess of our reserves could have a material adverse effect on our financial condition and results of operations. Actual, potential, or perceived product safety concerns, including health-related concerns, could expose us to litigation, as well as government enforcement actions, and result in costly product recalls and other liabilities.</w:t>
      </w:r>
    </w:p>
    <w:p>
      <w:pPr>
        <w:spacing w:after="0" w:line="178"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are also involved or may be involved in various disputes, litigation, and regulatory matters incidental to and in the ordinary course of our business, including employment matters, personal injury claims, intellectual property disputes, commercial disputes, government compliance matters, environmental matters, and other matters arising out of the normal conduct of our business. We intend to vigorously defend ourselves in such matters as they arise. While the impact of this litigation has been or may be immaterial, there can be no assurance that the impact of the pending and any future claims will not be material to our business, financial condition, or results of operations in the future.</w:t>
      </w:r>
    </w:p>
    <w:p>
      <w:pPr>
        <w:spacing w:after="0" w:line="178"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b w:val="1"/>
          <w:bCs w:val="1"/>
          <w:i w:val="1"/>
          <w:iCs w:val="1"/>
          <w:color w:val="auto"/>
        </w:rPr>
        <w:t>We face competition both from within our industry and from other outdoor living products and if we are not able to compete effectively, our prospects for future success will be jeopardized.</w:t>
      </w:r>
    </w:p>
    <w:p>
      <w:pPr>
        <w:spacing w:after="0" w:line="170"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Within our industry, we directly compete against various regional and local pool manufacturing companies. Outside of our industry, we compete indirectly with alternative suppliers of big ticket consumer discretionary outdoor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living products, such as decks and patios, and with other companies who rely on discretionary homeowner expenditures, such as home remodelers. Given the density and demand for pools, some geographic markets that we serve tend to have a higher concentration of competitors than others, particularly California, Texas, Florida, Arizona, and Australia. In addition, new competitors may emerge.</w:t>
      </w:r>
    </w:p>
    <w:p>
      <w:pPr>
        <w:spacing w:after="0" w:line="187"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If one or more of our competitors were to merge, the change in the competitive landscape could adversely affect our competitive position. Consolidation by industry participants could increase their resources and result in competitors with expanded market share, larger customer bases, greater diversified product offerings and greater technological and marketing expertise, which may allow them to compete more effectively against us. In addition, our competitors may develop products that are superior to our products (on a price-to-value basis or otherwise) or may adapt more quickly to new technologies or evolving customer requirements. If we do not compete effectively, our net sales, margins, and profitability and our future prospects for success may be harmed.</w:t>
      </w:r>
    </w:p>
    <w:p>
      <w:pPr>
        <w:spacing w:after="0" w:line="177" w:lineRule="exact"/>
        <w:rPr>
          <w:sz w:val="20"/>
          <w:szCs w:val="20"/>
          <w:color w:val="auto"/>
        </w:rPr>
      </w:pPr>
    </w:p>
    <w:p>
      <w:pPr>
        <w:ind w:left="60" w:right="539" w:firstLine="648"/>
        <w:spacing w:after="0" w:line="308" w:lineRule="auto"/>
        <w:rPr>
          <w:sz w:val="20"/>
          <w:szCs w:val="20"/>
          <w:color w:val="auto"/>
        </w:rPr>
      </w:pPr>
      <w:r>
        <w:rPr>
          <w:rFonts w:ascii="Arial" w:cs="Arial" w:eastAsia="Arial" w:hAnsi="Arial"/>
          <w:sz w:val="17"/>
          <w:szCs w:val="17"/>
          <w:b w:val="1"/>
          <w:bCs w:val="1"/>
          <w:i w:val="1"/>
          <w:iCs w:val="1"/>
          <w:color w:val="auto"/>
        </w:rPr>
        <w:t>Our failure to meet customer specifications or consumer expectations could result in lost sales, increased expenses, negative publicity, claims for damages and harm to our brand and reputation.</w:t>
      </w:r>
    </w:p>
    <w:p>
      <w:pPr>
        <w:spacing w:after="0" w:line="14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 failure or inability by us to meet customer specifications or consumer expectations could damage our reputation and adversely affect our ability to attract new business and result in delayed or lost sales. One of our growth strategies is the use of consumer-focused branding for our products to grow our sales. We have significantly increased our spending on digital strategies and marketing since 2019, and we are increasingly responsible for our own lead generation. Our ability to create, maintain, enhance, and protect our brand image and reputation and consumers’ connection to our brand depends in part on our design and marketing efforts, including our increasing reliance on social media and online dissemination of consumer advertising campaigns. Negative publicity or product quality issues, whether real or perceived, could tarnish our reputation and our brand image. Failure to maintain, enhance and protect our brand image could have a material adverse effect on our results of operations. In addition, any failure to meet customer specifications could result in reduced net sales and income.</w:t>
      </w:r>
    </w:p>
    <w:p>
      <w:pPr>
        <w:spacing w:after="0" w:line="18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b w:val="1"/>
          <w:bCs w:val="1"/>
          <w:i w:val="1"/>
          <w:iCs w:val="1"/>
          <w:color w:val="auto"/>
        </w:rPr>
        <w:t>Our inability to collect accounts receivables from our customers may adversely impact our cash flows and our ability to reduce our debt.</w:t>
      </w:r>
    </w:p>
    <w:p>
      <w:pPr>
        <w:spacing w:after="0" w:line="170"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We extend credit to our customers, and we generally do not require collateral to secure these extensions of credit. A significant portion of our accounts receivables are typically concentrated within a relatively small number of customers. The financial health of many of our customers is affected by changes in the economy. The effects of any protracted or severe economic declines may cause our customers to be unable to satisfy their payment obligations, including with us. While we have procedures to monitor and limit exposure to credit risk on our accounts receivables, there can be no assurance such procedures will effectively limit our credit risk and avoid losses, and our financial condition and results of operations could be materially and adversely affected if our credit losses significantly exceed our estimates.</w:t>
      </w:r>
    </w:p>
    <w:p>
      <w:pPr>
        <w:spacing w:after="0" w:line="166"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b w:val="1"/>
          <w:bCs w:val="1"/>
          <w:i w:val="1"/>
          <w:iCs w:val="1"/>
          <w:color w:val="auto"/>
        </w:rPr>
        <w:t>Delays in, or systems disruptions issues caused by, the implementation of our new enterprise resource planning system could adversely affect our operations and results of operations.</w:t>
      </w:r>
    </w:p>
    <w:p>
      <w:pPr>
        <w:spacing w:after="0" w:line="170"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We have begun the multi-year implementation of a new enterprise resource planning system. This project has required and will continue to require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than we originally plan, resulting in increased capital investment, higher fees, and expenses of third parties, delayed deployment scheduling, and more on-going maintenance expense once implemented, and, as such, it will be difficult for us to estimate the ultimate costs and schedules. The implementation may also cause complications to ongoing operations, result in material weaknesses to our internal control framework, increase regulatory compliance risks, and impact our ability to process transactions efficiently, all of which may have a material adverse effect on our business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The nature of our business subjects us to compliance with employment, environmental, health, transportation, safety, anti-corruption, trade, and other governmental regulations.</w:t>
      </w:r>
    </w:p>
    <w:p>
      <w:pPr>
        <w:spacing w:after="0" w:line="170"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are subject to regulation under federal, state, local and international employment, environmental, health, transportation, and safety requirements, which govern such things as the manufacture of fiberglass pools, which is our key product. These laws regulate, among other things, air emissions, the discharge or release of materials into the environment, the handling and disposal of wastes, remediation of contaminated sites, worker health and safety and the impact of products on human health and safety and the environment. These laws also require us to obtain and maintain certificates, registrations, licenses, permits, and other regulatory approvals in order to conduct regulated activities, including the construction and operation of our facilities. Our products must also comply with local, state, and international building codes and safety rules and regulations. Further, we are subject to anti-corruption, anti-bribery, antitrust and other similar laws. For example, we have employees and engage with suppliers and customers in many countries with different legal systems, customs and contract laws and regulations, which expose us to risks associated with the United States Foreign Corrupt Practices Act and local anti-corruption and anti-bribery laws and regulations.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Failure to comply with these laws and regulations by us, our employees, our dealers and distributors and other business partners, including failure to obtain and maintain all required certificates, registrations, licenses, permits, and other regulatory approvals, may result in investigations, the assessment of administrative, civil and criminal fines, damages, delays, seizures, disgorgements, penalties or the imposition of injunctive relief. In particular, spills or other releases of regulated substances could expose us to material losses, expenditures and liabilities under applicable environmental laws and regulations. Under certain of such laws and regulations, we could be subject to strict, joint and several liability for the removal or remediation of previously released materials or property contamination, regardless of whether we were responsible for the release or contamination and even if our operations met previous standards in the industry at the time they were conducted. Moreover, compliance with such laws and regulations in the future could prove to be costly. Although we presently do not expect to incur any capital or other expenditures relating to regulatory matters in amounts that may be material to us, we may be required to make such expenditures in the future. These laws and regulations have changed substantially and rapidly and we anticipate that there will be continuing changes, which may require us to incur costs to maintain our business.</w:t>
      </w:r>
    </w:p>
    <w:p>
      <w:pPr>
        <w:spacing w:after="0" w:line="18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The clear trend in environmental, health, transportation and safety regulations is to place more restrictions and limitations on activities that impact the environment, such as emission of air pollutants as well as soil and ground water contaminants. Increasingly, strict restrictions and limitations have resulted in higher operating costs for us and it is possible that the costs of compliance with such laws and regulations will continue to increase. Our attempts to anticipate future regulatory requirements that might be imposed and our plans to remain in compliance with changing regulations and to minimize the costs of such compliance may not be as effective as we anticipate.</w:t>
      </w:r>
    </w:p>
    <w:p>
      <w:pPr>
        <w:spacing w:after="0" w:line="17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b w:val="1"/>
          <w:bCs w:val="1"/>
          <w:i w:val="1"/>
          <w:iCs w:val="1"/>
          <w:color w:val="auto"/>
        </w:rPr>
        <w:t>The effects of climate change and the expanding legal and regulatory restrictions intended to address climate change could adversely impact our business and results of operations.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There is increasing concern that a gradual increase in global average temperatures due to increased concentration of carbon dioxide and other greenhouse gases in the atmosphere could cause significant changes in weather patterns and an increase in the frequency, duration, and severity of natural disasters. Such climate change may impair our production capabilities, disrupt our supply chain, or impact demand for our products. Growing concern over climate change also may result in additional legal or regulatory requirements designed to reduce or mitigate the effects of carbon dioxide and other greenhouse gas emissions on the environment. Broad rules and regulations have been proposed by the SEC for adoption in 2023 requiring increased climate change-related disclosure in future filings, which may require us to incur significant compliance costs and could increase liability and reputational risks. Additionally, drought conditions or water management initiatives may lead to municipal ordinances related to water use restrictions, and such restrictions could result in decreased pool installations and negatively impact our sales. Further, increased energy or compliance costs and expenses as a result thereof may cause disruptions in, or an increase in the costs associated with, the manufacturing and distribution of our products.</w:t>
      </w:r>
    </w:p>
    <w:p>
      <w:pPr>
        <w:spacing w:after="0" w:line="179"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impacts of climate change and legal or regulatory initiatives to address climate change could have a long-term adverse impact on our business and results of operations. If we fail to achieve or improperly report on our progress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342" w:lineRule="auto"/>
        <w:rPr>
          <w:sz w:val="20"/>
          <w:szCs w:val="20"/>
          <w:color w:val="auto"/>
        </w:rPr>
      </w:pPr>
      <w:r>
        <w:rPr>
          <w:rFonts w:ascii="Arial" w:cs="Arial" w:eastAsia="Arial" w:hAnsi="Arial"/>
          <w:sz w:val="16"/>
          <w:szCs w:val="16"/>
          <w:color w:val="auto"/>
        </w:rPr>
        <w:t>toward achieving our goals and commitments to reduce our carbon footprint or in environmental and sustainability programs and initiatives, the results could have an adverse impact on our business and results of operations.</w:t>
      </w:r>
    </w:p>
    <w:p>
      <w:pPr>
        <w:spacing w:after="0" w:line="124" w:lineRule="exact"/>
        <w:rPr>
          <w:sz w:val="20"/>
          <w:szCs w:val="20"/>
          <w:color w:val="auto"/>
        </w:rPr>
      </w:pPr>
    </w:p>
    <w:p>
      <w:pPr>
        <w:ind w:left="60" w:right="339" w:firstLine="648"/>
        <w:spacing w:after="0" w:line="381" w:lineRule="auto"/>
        <w:rPr>
          <w:sz w:val="20"/>
          <w:szCs w:val="20"/>
          <w:color w:val="auto"/>
        </w:rPr>
      </w:pPr>
      <w:r>
        <w:rPr>
          <w:rFonts w:ascii="Arial" w:cs="Arial" w:eastAsia="Arial" w:hAnsi="Arial"/>
          <w:sz w:val="15"/>
          <w:szCs w:val="15"/>
          <w:b w:val="1"/>
          <w:bCs w:val="1"/>
          <w:i w:val="1"/>
          <w:iCs w:val="1"/>
          <w:color w:val="auto"/>
        </w:rPr>
        <w:t>We depend on third parties for transportation services to some extent, and the lack of availability of and/or increases in the cost of transportation could have a material adverse effect on our business and results of operations.</w:t>
      </w:r>
    </w:p>
    <w:p>
      <w:pPr>
        <w:spacing w:after="0" w:line="100"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Our business depends on the transportation of both finished goods to our customers and the transportation of raw materials to us primarily through the use of flatbed trucks and rail transportation. We rely partially on third parties for transportation of these items. The availability of these transportation services is subject to various risks, some of which we have recently incurred due to macroeconomic and inflationary conditions, including those associated with supply shortages, change in fuel prices, work stoppages, operating hazards, and interstate transportation regulations. In particular, a significant portion of our finished goods is transported by flatbed trucks, which are occasionally in high demand (especially at the end of calendar quarters) and/or subject to price fluctuations based on market conditions and the price of fuel.</w:t>
      </w:r>
    </w:p>
    <w:p>
      <w:pPr>
        <w:spacing w:after="0" w:line="192" w:lineRule="exact"/>
        <w:rPr>
          <w:sz w:val="20"/>
          <w:szCs w:val="20"/>
          <w:color w:val="auto"/>
        </w:rPr>
      </w:pPr>
    </w:p>
    <w:p>
      <w:pPr>
        <w:ind w:left="60" w:right="319" w:firstLine="648"/>
        <w:spacing w:after="0" w:line="272" w:lineRule="auto"/>
        <w:rPr>
          <w:sz w:val="20"/>
          <w:szCs w:val="20"/>
          <w:color w:val="auto"/>
        </w:rPr>
      </w:pPr>
      <w:r>
        <w:rPr>
          <w:rFonts w:ascii="Arial" w:cs="Arial" w:eastAsia="Arial" w:hAnsi="Arial"/>
          <w:sz w:val="17"/>
          <w:szCs w:val="17"/>
          <w:color w:val="auto"/>
        </w:rPr>
        <w:t>If the required supply of transportation services is unavailable when needed, we may be unable to sell our products when they are requested by our customers. In that event, we may be required to reduce the price of the affected products, seek alternative and, potentially more costly, transportation services or be unable to sell the affected products. Similarly, if any of these transportation providers were unavailable to deliver raw materials to us in a timely manner, we may be unable to manufacture our products in response to customer demand. In addition, a significant increase in transportation rates or fuel surcharges could adversely affect our profitability. Any of these events could have a material adverse effect on our business and results of operations.</w:t>
      </w:r>
    </w:p>
    <w:p>
      <w:pPr>
        <w:spacing w:after="0" w:line="177"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b w:val="1"/>
          <w:bCs w:val="1"/>
          <w:i w:val="1"/>
          <w:iCs w:val="1"/>
          <w:color w:val="auto"/>
        </w:rPr>
        <w:t>Our business operations could suffer if we fail to protect adequately our intellectual property rights, and we may experience claims by third parties that we are violating their intellectual property rights.</w:t>
      </w:r>
    </w:p>
    <w:p>
      <w:pPr>
        <w:spacing w:after="0" w:line="124"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We rely on trademark and service market protection to protect our brands and we have registered or applied to register many of these trademarks and services marks. In the event that our trademarks or service marks are successfully challenged and we lose the rights to use those trademarks or service marks, or if we fail to prevent others from using them (or similar marks), we could be forced to rebrand our products, requiring us to devote resources to advertising and marketing new brands. In addition, we cannot be sure that any pending trademark or service mark applications will be granted or will not be challenged or opposed by third parties.</w:t>
      </w:r>
    </w:p>
    <w:p>
      <w:pPr>
        <w:spacing w:after="0" w:line="178"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generally rely on a combination of unpatented proprietary know-how and trade secrets and, to a lesser extent, patents to preserve our position in the market. Because of the importance of our proprietary know-how and trade secrets, we employ various methods to protect our intellectual property, such as entering into confidentiality agreements with third parties, and controlling access to, and distribution of, our proprietary information. We may not be able to deter current and former employees, contractors and other parties from breaching confidentiality obligations and misappropriating proprietary information. It is difficult for us to monitor unauthorized uses of our products and technology. Accordingly, these protections may not be adequate to prevent competitors from copying, imitating or reverse engineering our products or from developing and marketing products that are substantially equivalent to or superior to our own.</w:t>
      </w:r>
    </w:p>
    <w:p>
      <w:pPr>
        <w:spacing w:after="0" w:line="16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have applied for patent protection relating to certain products, processes and services or aspects thereof. We cannot be sure that any of our pending patent applications will be granted or that any patents issued as a result of our patent applications will be of sufficient scope or strength to provide us with any meaningful protection or commercial advantage.</w:t>
      </w:r>
    </w:p>
    <w:p>
      <w:pPr>
        <w:spacing w:after="0" w:line="187"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Moreover, since our patents, trademarks and service marks are primarily registered in the United States and Canada, we may not be successful in asserting patent or trademark protection in other countries.</w:t>
      </w:r>
    </w:p>
    <w:p>
      <w:pPr>
        <w:spacing w:after="0" w:line="146"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If third parties take actions that affect our rights or the value of our intellectual property or proprietary rights, or if we are unable to protect our intellectual property from infringement or misappropriation, other companies may be able to offer competitive products at lower prices, and we may not be able to effectively compete against these companies.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addition, if any third party copies or imitates our products in a manner that affects customer or consumer perception of the quality of our products, or of engineered products generally, our reputation and sales could suffer whether or not these violate our intellectual property rights.</w:t>
      </w:r>
    </w:p>
    <w:p>
      <w:pPr>
        <w:spacing w:after="0" w:line="184"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addition, we face the risk of claims that we are infringing third parties’ intellectual property rights. Any such claim, even if it is without merit, could be expensive and time-consuming to defend and could divert the time and attention of our management. An intellectual property claim against us that is successful could cause us to cease making or selling products that incorporate the disputed intellectual property, require us to redesign our products, which may not be feasible or cost effective, and require us to enter into costly royalty or licensing arrangements, any of which could have a material adverse effect on our business, financial condition and results of operations.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conduct business internationally, which exposes us to additional risks.</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ability to successfully conduct operations in, and source products and materials from, international markets is affected by many of the same risks we face in our U.S. operations, as well as unique costs and difficulties of managing international operations. Our international operations, which accounted for 19.7% of our net sales in 2022 and a significant portion of our purchased supplies, expose us to certain additional risks, including:</w:t>
      </w:r>
    </w:p>
    <w:p>
      <w:pPr>
        <w:spacing w:after="0" w:line="171" w:lineRule="exact"/>
        <w:rPr>
          <w:sz w:val="20"/>
          <w:szCs w:val="20"/>
          <w:color w:val="auto"/>
        </w:rPr>
      </w:pPr>
    </w:p>
    <w:p>
      <w:pPr>
        <w:ind w:left="1040" w:right="679" w:hanging="38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in staffing international subsidiary operations and increased costs of managing international operations;</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different political, economic, and regulatory conditions;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laws and customs;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violations of anti-bribery and anti-corruption laws, such as the United States Foreign Corrupt Practices Act;</w:t>
      </w:r>
    </w:p>
    <w:p>
      <w:pPr>
        <w:spacing w:after="0" w:line="248" w:lineRule="exact"/>
        <w:rPr>
          <w:rFonts w:ascii="Arial" w:cs="Arial" w:eastAsia="Arial" w:hAnsi="Arial"/>
          <w:sz w:val="16"/>
          <w:szCs w:val="16"/>
          <w:color w:val="auto"/>
        </w:rPr>
      </w:pPr>
    </w:p>
    <w:p>
      <w:pPr>
        <w:ind w:left="1040" w:right="579" w:hanging="38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violations of economic sanctions laws, such as the regulations enforced by the U.S. Department of The Treasury’s Office of Foreign Assets Control;</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tariffs and other import/export trade restrictions;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1040" w:right="119" w:hanging="382"/>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 with third parties or partners outside the United States;</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investment and cash repatriation regulations;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tax consequences; and</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dependence on other economies.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For foreign-sourced products, we may be subject to certain trade restrictions that would prevent us from obtaining products. There is also a greater risk that we may not be able to access products in a timely and efficient manner. Fluctuations in other factors relating to international trade, such as tariffs, transportation costs and inflation are additional risks for our international operations. Our failure to manage any of these risks could adversely affect our international operations and our financial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b w:val="1"/>
          <w:bCs w:val="1"/>
          <w:i w:val="1"/>
          <w:iCs w:val="1"/>
          <w:color w:val="auto"/>
        </w:rPr>
        <w:t>We rely on information technology systems to support our business operations. A significant disturbance or breach of our technological infrastructure could adversely affect our financial condition and results of operations. Additionally, failure to maintain the security of confidential information could damage our reputation and expose us to litigation.</w:t>
      </w:r>
    </w:p>
    <w:p>
      <w:pPr>
        <w:spacing w:after="0" w:line="187"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Information technology supports several aspects of our business, including among others, product sourcing, pricing, customer service, transaction processing, financial reporting, collections, and cost management. Our ability to operate effectively on a day-to-day basis and accurately report our financial and operating results depends on a solid technological infrastructure, which is inherently susceptible to internal and external threats. We are vulnerable to interruption by fire, natural disasters, power loss, telecommunication failures, internet failures, security breaches and other catastrophic events.</w:t>
      </w:r>
    </w:p>
    <w:p>
      <w:pPr>
        <w:spacing w:after="0" w:line="192"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Exposure to various types of cyber-attacks such as malware, computer viruses, worms or other malicious acts, as well as human error, also could potentially disrupt our operations or result in a significant interruption in the delivery of our goods and services. As with most companies, we have experienced cyber-attacks, attempts to breach our systems and other similar incidents, none of which were material to our operations or financial results in 2022. It is possible that cyber attackers might compromise our security measures and obtain the personal and/or confidential information of the customers, employees, and suppliers that we hold or our business information. Cyber-attacks are rapidly evolving and those threats and the means for obtaining access to information in digital and other storage media are becoming increasingly sophisticated and may not immediately produce signs of intrusion. Moreover, such cyber-attacks may disrupt access to our and/or our suppliers’ networks and systems. Such disruptions could result in delays or cancellations of customer orders or delays or interruptions in the shipment of orders. In addition, cyber-attacks may cause us to incur significant remediation costs, result in delays, disruptions to key business operations, or divert attention of management and key information technology resources. With more employees working remotely, there may be increased opportunities for unauthorized access and cyber-attacks. Further, the United States government has warned of the potential risk of Russian cyber-attacks stemming from the ongoing Russian-Ukraine conflict. These cyber-incidents could also subject us to liability, expose us to significant expense, and cause significant harm to our reputation and our business.</w:t>
      </w:r>
    </w:p>
    <w:p>
      <w:pPr>
        <w:spacing w:after="0" w:line="16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Third-party service providers, such as distributors, subcontractors, vendors, and data processors have access to certain portions of our data. In the event that these service providers do not appropriately protect our data, the result could be a security breach or loss of our data. Any such loss of data by our third-party service providers could have a material adverse impact on our business and results of operations. 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w:t>
      </w:r>
    </w:p>
    <w:p>
      <w:pPr>
        <w:spacing w:after="0" w:line="174"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Advances in computer and software capabilities, encryption technology and other discoveries increase the complexity of our technological environment, including how each interact with our various software platforms. Such advances could delay or hinder our ability to process transactions or could compromise the integrity of our data, resulting in a material adverse impact on our financial condition and results of operations. We also may experience occasional system interruptions and delays that make our information systems unavailable or slow to respond, including the interaction of our information systems with those of third parties. A lack of sophistication or reliability of our information systems could adversely impact our operations and customer service and could require major repairs or replacements, resulting in significant costs and foregone sales.</w:t>
      </w:r>
    </w:p>
    <w:p>
      <w:pPr>
        <w:spacing w:after="0" w:line="178"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In addition, we may not have the necessary resources to enhance existing information systems or implement new systems where necessary to handle our growth and changing needs, and may experience unanticipated delays,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complications and expenses in implementing and integrating our systems. Any interruptions in operations would adversely affect our ability to properly allocate resources and deliver our products, which could result in customer dissatisfaction. The failure to successfully implement and maintain information systems could have an adverse effect on our ability to obtain new business, retain existing business and maintain or increase our sales and profit margins.</w:t>
      </w:r>
    </w:p>
    <w:p>
      <w:pPr>
        <w:spacing w:after="0" w:line="171"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65"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We receive, store and process personal information and other customer information, or personal information and other data from and about our customers, prospective customers, our employees, applicants for employment and other individuals with whom we do business. There are numerous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For example, the California Consumer Privacy Act ("CCPA"), which became effective on January 1, 2020, established a new privacy framework for covered businesses. In November 2021, California voters passed Proposition 24, also known as the California Privacy Rights Act ("CPRA"), which amends and expands the CCPA effective January 1, 2023.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bolstered the requirements for agreements that cover the exchange of data and established the California Privacy Protection Agency, which is responsible for enforcement activities, rulemaking, and public awareness related to privacy and data protection. Additionally, laws, regulations, and standards covering marketing and advertising activities conducted by telephone, email, mobile devices, and the internet, may be applicable to our business, such as the Telephone Consumer Protection Act and the Controlling the Assault of Non-Solicited Pornography And Marketing Act, and similar state consumer protection laws.</w:t>
      </w:r>
    </w:p>
    <w:p>
      <w:pPr>
        <w:spacing w:after="0" w:line="171"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68"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The United States, Canada, Australia, New Zealand, the European Union, the United Kingdom and other countries in which we operate are increasingly adopting or revising privacy, information security and data protection laws and regulations that could have a significant impact on our current and planned privacy, data protection and information security-related practices, our collection, use, sharing, retention and safeguarding of customer, consumer and/or employee information, as well as any other third-party information we receive, and some of our current or planned business activities. Any significant change to applicable laws, regulations or industry practices regarding the use or disclosure of personal information could result in increased compliance costs.</w:t>
      </w:r>
    </w:p>
    <w:p>
      <w:pPr>
        <w:spacing w:after="0" w:line="19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Any of the foregoing could materially adversely affect our brand, reputation, business, results of operations, and financial condition.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63" w:lineRule="auto"/>
        <w:rPr>
          <w:sz w:val="20"/>
          <w:szCs w:val="20"/>
          <w:color w:val="auto"/>
        </w:rPr>
      </w:pPr>
      <w:r>
        <w:rPr>
          <w:rFonts w:ascii="Arial" w:cs="Arial" w:eastAsia="Arial" w:hAnsi="Arial"/>
          <w:sz w:val="18"/>
          <w:szCs w:val="18"/>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p>
    <w:p>
      <w:pPr>
        <w:spacing w:after="0" w:line="184" w:lineRule="exact"/>
        <w:rPr>
          <w:sz w:val="20"/>
          <w:szCs w:val="20"/>
          <w:color w:val="auto"/>
        </w:rPr>
      </w:pPr>
    </w:p>
    <w:p>
      <w:pPr>
        <w:ind w:left="60" w:right="219" w:firstLine="648"/>
        <w:spacing w:after="0" w:line="253" w:lineRule="auto"/>
        <w:rPr>
          <w:sz w:val="20"/>
          <w:szCs w:val="20"/>
          <w:color w:val="auto"/>
        </w:rPr>
      </w:pPr>
      <w:r>
        <w:rPr>
          <w:rFonts w:ascii="Arial" w:cs="Arial" w:eastAsia="Arial" w:hAnsi="Arial"/>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(such as the fire at our Texas facility in April 2022 that resulted in a total loss of the manufacturing facility),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spacing w:after="0" w:line="19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b w:val="1"/>
          <w:bCs w:val="1"/>
          <w:i w:val="1"/>
          <w:iCs w:val="1"/>
          <w:color w:val="auto"/>
        </w:rPr>
        <w:t>If we are unable to continue to enhance existing products and/or technology and develop and market, including via our digital marketing strategy, new or enhanced products that respond to customer needs and preferences, we may experience a decrease in demand for our products and our business could suffer.</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We seek to generate net sales growth through enhancement of existing products and development of new products and through digital strategies and marketing. We may not be able to compete as effectively with our competitors, and ultimately satisfy the needs and preferences of our customers, unless we can continue to enhance existing products and technologies and develop new innovative products and marketing strategies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86" w:lineRule="exact"/>
        <w:rPr>
          <w:sz w:val="20"/>
          <w:szCs w:val="20"/>
          <w:color w:val="auto"/>
        </w:rPr>
      </w:pPr>
    </w:p>
    <w:p>
      <w:pPr>
        <w:ind w:left="60" w:right="199" w:firstLine="648"/>
        <w:spacing w:after="0" w:line="320" w:lineRule="auto"/>
        <w:rPr>
          <w:sz w:val="20"/>
          <w:szCs w:val="20"/>
          <w:color w:val="auto"/>
        </w:rPr>
      </w:pPr>
      <w:r>
        <w:rPr>
          <w:rFonts w:ascii="Arial" w:cs="Arial" w:eastAsia="Arial" w:hAnsi="Arial"/>
          <w:sz w:val="15"/>
          <w:szCs w:val="15"/>
          <w:b w:val="1"/>
          <w:bCs w:val="1"/>
          <w:i w:val="1"/>
          <w:iCs w:val="1"/>
          <w:color w:val="auto"/>
        </w:rPr>
        <w:t>Our growth in part has been due to strategic acquisitions and partnerships, and we continuously evaluate and may in the future enter into additional strategic transactions. Any such transaction could happen at any time, be material to our business and take any number of forms, including, for example, an acquisition, merger, sale of certain of our assets, refinancing, or other recapitalization or material strategic transaction. Evaluating potential transactions and integrating completed ones may divert the attention of our management from ordinary operating matters.</w:t>
      </w:r>
    </w:p>
    <w:p>
      <w:pPr>
        <w:spacing w:after="0" w:line="14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growth in part has been due to strategic acquisitions and partnerships, and such strategic transactions continue to be part of our growth plan in the future. The success of potential acquisitions or mergers will depend, in part, on our ability to realize the anticipated growth opportunities and cost synergies through the successful integration of the businesses we acquire with our existing business, including the acquisitions of Radiant in November 2021 and GLI in October 2020 and the purchase of equity interests in Premier Pools &amp; Spas in October 2020 (our ownership interest is</w:t>
      </w:r>
    </w:p>
    <w:p>
      <w:pPr>
        <w:spacing w:after="0" w:line="2"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auto"/>
        </w:rPr>
        <w:t>18.2% and our voting interest is 20.1%). Even if we are successful in integrating acquired businesses, these integrations may not result in the realization of the full benefit of any anticipated growth opportunities or cost synergies or that these benefits will be realized within the expected time frames. We may have difficulty implementing systems of internal controls in acquired businesses or equity investees that may not have such systems in place, or merging different accounting and financial reporting systems with ours. In addition, acquired businesses may have unanticipated liabilities or contingencies.</w:t>
      </w:r>
    </w:p>
    <w:p>
      <w:pPr>
        <w:spacing w:after="0" w:line="194"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may, from time to time, consider disposing of assets. We may not be able to dispose of any such assets on terms that are attractive to us, or at all, which could materially adversely impact our financial condition or results of operation. In addition, to the extent we consummate an agreement for the sale and disposition of an asset or asset group,</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may experience operational difficulties segregating them from our retained assets and operations, which could impact the execution or timing for such dispositions and could result in disruptions to our operations and/or claims for damages, among other things.</w:t>
      </w:r>
    </w:p>
    <w:p>
      <w:pPr>
        <w:spacing w:after="0" w:line="184"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If we complete an acquisition, merger, sale of certain assets, refinancing, recapitalization, or material strategic transaction, we may require additional financing that could result in an increase in the aggregate amount and/or cost of our debt. The aggregate principal amount of our debt that we may issue may be significant. Moreover, the terms of any debt financing may be expensive.</w:t>
      </w:r>
    </w:p>
    <w:p>
      <w:pPr>
        <w:spacing w:after="0" w:line="187"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b w:val="1"/>
          <w:bCs w:val="1"/>
          <w:i w:val="1"/>
          <w:iCs w:val="1"/>
          <w:color w:val="auto"/>
        </w:rPr>
        <w:t>Changes in trade policies, including the imposition of tariffs, could negatively impact our business, financial condition, and results of operations.</w:t>
      </w:r>
    </w:p>
    <w:p>
      <w:pPr>
        <w:spacing w:after="0" w:line="170"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current U.S. administration has signaled support for, and in some instances has taken action with respect to, major changes to certain trade policies, such as the imposition of tariffs on imported products and the withdrawal from or renegotiation of certain trade agreements, including the North American Free Trade Agreement. For example, the United States has increased tariffs on certain imports from China, as well as on steel and aluminum products imported from various countries. More specifically, in March 2018, the United States imposed a 25% tariff on steel imports pursuant to Section 301 of the Trade Act of 1974 and has imposed additional tariffs on steel imports pursuant to Section 232 of the Trade Expansion Act of 1962. These tariffs could result in interruptions in the supply chain and impact costs and our gross margins. We procure certain raw materials we use in the manufacturing of our products directly or indirectly from outside of the United States. The imposition of tariffs and other potential changes in U.S. trade policy could increase the cost or limit the availability of raw materials, which could hurt our competitive position and adversely impact our business, financial condition, and results of operations. If we are unable to pass price increases on to our customer base or otherwise mitigate the costs, our operating results could be materially adversely affected.</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insurance coverage may be inadequate to protect against the potential hazards inherent to our business.</w:t>
      </w:r>
    </w:p>
    <w:p>
      <w:pPr>
        <w:spacing w:after="0" w:line="26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maintain property, business interruption, product liability and casualty insurance coverage, but such insurance may not provide adequate coverage against potential claims, including losses resulting from interruptions in our production capability or product liability claims relating to the products we manufacture. Premiums and deductibles for some of our insurance policies have been increasing and may, in the future, increase substantially. In some instances, some types of insurance may become available only for reduced amounts of coverage, if at all. Our insurers could also deny coverage for claims. In addition, we self-insure health benefits, and although we have a stop-loss policy in place to limit exposure, we may be adversely impacted by unfavorable claims experience. If the number or severity of health claims increases, or we are required to accrue or pay additional amounts because the claims prove to be more severe than our original assessment, our operating results would be adversely affected. Our future health claims expense might exceed historical levels, which could reduce our earnings. If we were to incur a significant liability for which we were not fully insured or that our insurers disputed or for which we self-insure, our business, financial condition and results of operations could be materially adversely affected.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have a significant amount of indebtedness. As of December 31, 2022, we have $322.6 million face value of indebtedness in the form of the New Term Loan outstanding under the New Credit Agreement and $75.0 million of availability under the New Revolving Credit Facility under the New Credit Agreement (each as defined below). Our obligations under the New Credit Agreement are secured by substantially all of our and our subsidiaries’ assets. Subject to the limits contained in the New Credit Agreement, we may be able to incur substantial additional debt from time to time to finance capital expenditures, investments, acquisitions, or for other purposes. If we do incur substantial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additional debt, the risks related to our high level of debt could intensify. Specifically, our high level of indebtedness could have important consequences, including:</w:t>
      </w:r>
    </w:p>
    <w:p>
      <w:pPr>
        <w:spacing w:after="0" w:line="170" w:lineRule="exact"/>
        <w:rPr>
          <w:sz w:val="20"/>
          <w:szCs w:val="20"/>
          <w:color w:val="auto"/>
        </w:rPr>
      </w:pPr>
    </w:p>
    <w:p>
      <w:pPr>
        <w:ind w:left="1040" w:right="319" w:hanging="38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capital expenditures, investments, acquisitions or other general corporate requirements;</w:t>
      </w:r>
    </w:p>
    <w:p>
      <w:pPr>
        <w:spacing w:after="0" w:line="170" w:lineRule="exact"/>
        <w:rPr>
          <w:rFonts w:ascii="Arial" w:cs="Arial" w:eastAsia="Arial" w:hAnsi="Arial"/>
          <w:sz w:val="18"/>
          <w:szCs w:val="18"/>
          <w:color w:val="auto"/>
        </w:rPr>
      </w:pPr>
    </w:p>
    <w:p>
      <w:pPr>
        <w:jc w:val="both"/>
        <w:ind w:left="1040" w:right="539" w:hanging="382"/>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a substantial portion of our cash flow to be dedicated to payments to service our indebtedness instead of other purposes, thereby reducing the amount of cash flow available for capital expenditures, investments, acquisitions and other general corporate purposes;</w:t>
      </w:r>
    </w:p>
    <w:p>
      <w:pPr>
        <w:spacing w:after="0" w:line="183" w:lineRule="exact"/>
        <w:rPr>
          <w:rFonts w:ascii="Arial" w:cs="Arial" w:eastAsia="Arial" w:hAnsi="Arial"/>
          <w:sz w:val="18"/>
          <w:szCs w:val="18"/>
          <w:color w:val="auto"/>
        </w:rPr>
      </w:pPr>
    </w:p>
    <w:p>
      <w:pPr>
        <w:ind w:left="1040" w:right="119" w:hanging="38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and the potential impact of adverse changes in general economic, industry and competitive conditions;</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225" w:lineRule="exact"/>
        <w:rPr>
          <w:rFonts w:ascii="Arial" w:cs="Arial" w:eastAsia="Arial" w:hAnsi="Arial"/>
          <w:sz w:val="18"/>
          <w:szCs w:val="18"/>
          <w:color w:val="auto"/>
        </w:rPr>
      </w:pPr>
    </w:p>
    <w:p>
      <w:pPr>
        <w:ind w:left="1040" w:right="279" w:hanging="382"/>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or competitors with comparable debt at more favorable interest rates; and</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costs of borrowing.</w:t>
      </w:r>
    </w:p>
    <w:p>
      <w:pPr>
        <w:spacing w:after="0" w:line="225"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In addition, the financial and other covenants we agreed to in the New Credit Agreement may limit our ability to incur additional indebtedness, make investments, and engage in other transactions, and the leverage may cause potential lenders to be less willing to loan funds to us in the future. 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w:t>
      </w:r>
    </w:p>
    <w:p>
      <w:pPr>
        <w:spacing w:after="0" w:line="178"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8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b w:val="1"/>
          <w:bCs w:val="1"/>
          <w:i w:val="1"/>
          <w:iCs w:val="1"/>
          <w:color w:val="auto"/>
        </w:rPr>
        <w:t>Our New Credit Agreement has restrictive terms and our failure to comply with any of these terms could put us in default, which would have an adverse effect on our business and prospects.</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Unless and until we repay all outstanding borrowings under our New Credit Agreement we will remain subject to the restrictive terms of these borrowings. The New Credit Agreement contains a number of covenants, including a financial covenant that requires us to maintain a certain first lien net leverage ratio if the outstanding usage under the New Revolving Credit Facility (as defined below) exceeds 40% of the commitments under the New Revolving Credit Facility, tested quarterly. These covenants limit the ability of certain of our subsidiaries to, among other things:</w:t>
      </w:r>
    </w:p>
    <w:p>
      <w:pPr>
        <w:spacing w:after="0" w:line="176" w:lineRule="exact"/>
        <w:rPr>
          <w:sz w:val="20"/>
          <w:szCs w:val="20"/>
          <w:color w:val="auto"/>
        </w:rPr>
      </w:pPr>
    </w:p>
    <w:p>
      <w:pPr>
        <w:ind w:left="1040" w:hanging="38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acquisitions, and other business combinations;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8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ability to satisfy the financial ratio can be affected by events beyond our control, and we may not satisfy such a test. A breach of covenants could result in a default under the New Credit Agreement.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New Credit Agreement are accelerated because of a default and we are unable to pay such amounts, the investors may have the right to assume control of substantially all of the assets securing the New Credit Agreement.</w:t>
      </w:r>
    </w:p>
    <w:p>
      <w:pPr>
        <w:spacing w:after="0" w:line="19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New Credit Agreement contains restrictive covenants that limit our subsidiaries from making dividend payments, loans, or advances to the Company, unless certain conditions are met. Our failure to comply with such covenants may result in default, which could result in the acceleration of all our debt.</w:t>
      </w:r>
    </w:p>
    <w:p>
      <w:pPr>
        <w:spacing w:after="0" w:line="19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Our indebtedness is variable rate, subjecting us to interest rate risk, which could cause our indebtedness service obligations to increase significantly.</w:t>
      </w:r>
    </w:p>
    <w:p>
      <w:pPr>
        <w:spacing w:after="0" w:line="170"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Borrowings under the New Credit Agreement accrue interest at variable rates and expose us to interest rate risk. Interest rates may fluctuate in the future. As a result, although we hedged most of our interest rate exposure under the New Credit Agreement, interest rates on the New Credit Agreement or other variable rate debt obligations could be higher or lower than current levels. If interest rates increase, our debt service obligations on our variable rate indebtedness would increase even though the amount borrowed remained the same, and our net income and cash flows, including cash available for servicing our indebtedness, would correspondingly decrease.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5"/>
          <w:szCs w:val="15"/>
          <w:b w:val="1"/>
          <w:bCs w:val="1"/>
          <w:i w:val="1"/>
          <w:iCs w:val="1"/>
          <w:color w:val="auto"/>
        </w:rPr>
        <w:t>Our stock price has been volatile, and you may not be able to resell our common stock at or above the price you</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paid.</w:t>
      </w:r>
    </w:p>
    <w:p>
      <w:pPr>
        <w:spacing w:after="0" w:line="211"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Since our IPO in April 2021, our stock price has been highly volatile. Such volatility may continue in response to various factors, some of which are beyond our control, including:</w:t>
      </w:r>
    </w:p>
    <w:p>
      <w:pPr>
        <w:spacing w:after="0" w:line="170" w:lineRule="exact"/>
        <w:rPr>
          <w:sz w:val="20"/>
          <w:szCs w:val="20"/>
          <w:color w:val="auto"/>
        </w:rPr>
      </w:pPr>
    </w:p>
    <w:p>
      <w:pPr>
        <w:ind w:left="1040" w:hanging="38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slowdown in the housing market or the general economy;</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international regulatory, political, and economic factors unrelated to our performance;</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actual or anticipated quarterly or annual variations in our results of operations from those of our competitors;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1040" w:right="73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net sales or earnings estimates, or changes in recommendations or withdrawal of research coverage, by equity research analysts;</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values of companies perceived by investors to be comparable to us;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competition from existing technologies and products or new technologies and products that may emerge;</w:t>
      </w:r>
    </w:p>
    <w:p>
      <w:pPr>
        <w:spacing w:after="0" w:line="236" w:lineRule="exact"/>
        <w:rPr>
          <w:rFonts w:ascii="Arial" w:cs="Arial" w:eastAsia="Arial" w:hAnsi="Arial"/>
          <w:sz w:val="17"/>
          <w:szCs w:val="17"/>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225" w:lineRule="exact"/>
        <w:rPr>
          <w:rFonts w:ascii="Arial" w:cs="Arial" w:eastAsia="Arial" w:hAnsi="Arial"/>
          <w:sz w:val="18"/>
          <w:szCs w:val="18"/>
          <w:color w:val="auto"/>
        </w:rPr>
      </w:pPr>
    </w:p>
    <w:p>
      <w:pPr>
        <w:ind w:left="1040" w:right="75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the anticipation of sales, of our common stock by us, our insiders or our other stockholders, including the impacts if we are no longer a controlled company;</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commencement of, or involvement in, litigation or governmental investigations;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or technical personnel;</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applicable to the market we serve;</w:t>
      </w:r>
    </w:p>
    <w:p>
      <w:pPr>
        <w:spacing w:after="0" w:line="225" w:lineRule="exact"/>
        <w:rPr>
          <w:rFonts w:ascii="Arial" w:cs="Arial" w:eastAsia="Arial" w:hAnsi="Arial"/>
          <w:sz w:val="18"/>
          <w:szCs w:val="18"/>
          <w:color w:val="auto"/>
        </w:rPr>
      </w:pPr>
    </w:p>
    <w:p>
      <w:pPr>
        <w:ind w:left="1040" w:right="29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if any, that we may provide to the public, any changes in this guidance or our failure to meet this guidance;</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developments;</w:t>
      </w:r>
    </w:p>
    <w:p>
      <w:pPr>
        <w:spacing w:after="0" w:line="225" w:lineRule="exact"/>
        <w:rPr>
          <w:rFonts w:ascii="Arial" w:cs="Arial" w:eastAsia="Arial" w:hAnsi="Arial"/>
          <w:sz w:val="18"/>
          <w:szCs w:val="18"/>
          <w:color w:val="auto"/>
        </w:rPr>
      </w:pPr>
    </w:p>
    <w:p>
      <w:pPr>
        <w:ind w:left="1040" w:right="55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 significant contracts, commercial relationships, capital commitments or acquisitions;</w:t>
      </w:r>
    </w:p>
    <w:p>
      <w:pPr>
        <w:spacing w:after="0" w:line="170" w:lineRule="exact"/>
        <w:rPr>
          <w:rFonts w:ascii="Arial" w:cs="Arial" w:eastAsia="Arial" w:hAnsi="Arial"/>
          <w:sz w:val="18"/>
          <w:szCs w:val="18"/>
          <w:color w:val="auto"/>
        </w:rPr>
      </w:pPr>
    </w:p>
    <w:p>
      <w:pPr>
        <w:ind w:left="1040" w:right="27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70"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rate fluctuations;</w:t>
      </w:r>
    </w:p>
    <w:p>
      <w:pPr>
        <w:spacing w:after="0" w:line="225" w:lineRule="exact"/>
        <w:rPr>
          <w:rFonts w:ascii="Arial" w:cs="Arial" w:eastAsia="Arial" w:hAnsi="Arial"/>
          <w:sz w:val="18"/>
          <w:szCs w:val="18"/>
          <w:color w:val="auto"/>
        </w:rPr>
      </w:pPr>
    </w:p>
    <w:p>
      <w:pPr>
        <w:ind w:left="1040" w:right="41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events or factors, including those from natural disasters, war, acts of terrorism or responses to these events; and</w:t>
      </w:r>
    </w:p>
    <w:p>
      <w:pPr>
        <w:spacing w:after="0" w:line="170" w:lineRule="exact"/>
        <w:rPr>
          <w:rFonts w:ascii="Arial" w:cs="Arial" w:eastAsia="Arial" w:hAnsi="Arial"/>
          <w:sz w:val="18"/>
          <w:szCs w:val="18"/>
          <w:color w:val="auto"/>
        </w:rPr>
      </w:pPr>
    </w:p>
    <w:p>
      <w:pPr>
        <w:ind w:left="1040" w:right="179" w:hanging="382"/>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7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These and other factors, many of which are beyond our control, may cause our operating results and the market price and demand for our common stock to fluctuate substantially. While we believe that operating results for any particular quarter are not necessarily a meaningful indication of future results, fluctuations in our quarterly operating results may negatively affect the market price and liquidity of our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8"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In addition, the stock markets, and the market for growth stocks in particular, have from time to time experienced price and volume fluctuations that have often been unrelated or disproportionate to the operating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performance of those companies. Broad market and industry factors may significantly affect the market price of our common stock, regardless of our actual operating performance. You may not realize any return on your investment in us and may lose some or all of your investment.</w:t>
      </w:r>
    </w:p>
    <w:p>
      <w:pPr>
        <w:spacing w:after="0" w:line="184"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such companies could make our common stock less attractive to investors.</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We are an “emerging growth company,” as defined in the JOBS Act enacted in April 2012, and may remain an “emerging growth company” until December 31, 2026. For as long as we remain an “emerging growth company,” we are permitted and intend to rely on exemptions from certain disclosure requirements that are applicable to other public companies that are not “emerging growth companies.”</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taken advantage of reduced reporting burdens in this Annual Report. We cannot predict whether investors will find our common stock less attractive if we rely on these exemptions.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take advantage of this extended transition period and therefore will not be subject to the same new or revised accounting standards as other public companies that are not emerging growth companies. We cannot predict if investors will find our common stock less attractive because we may rely on these exemptions. If some investors find our common stock less attractive as a result of any choices to reduce future disclosure, there may be a less active trading market for our common stock and our stock price may be more volatile and it may be difficult for us to raise additional capital if and when we need it.</w:t>
      </w:r>
    </w:p>
    <w:p>
      <w:pPr>
        <w:spacing w:after="0" w:line="18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Our Principal Stockholders continue to have significant influence over us, including control over decisions that require the approval of stockholders, which could limit your ability to influence the outcome of matters submitted to stockholders for a vote.</w:t>
      </w:r>
    </w:p>
    <w:p>
      <w:pPr>
        <w:spacing w:after="0" w:line="184"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Pamplona Capital Partners V, L.P., an investment fund (the “Pamplona Fund”) managed by affiliates of Pamplona Capital Management, LLC (together with its respective subsidiaries and affiliates, “Pamplona”) and Wynnchurch Capital Partners IV, L.P. (“Wynnchurch IV”) and WC Partners Executive IV, L. P. (“WC Executive”) (collectively, the “Wynnchurch Funds”) managed by affiliates of Wynnchurch Capital, L.P. (together with its respective subsidiaries and affiliates, “Wynnchurch”) are currently our majority stockholders (the “Principal Stockholders”). Affiliates of our Principal Stockholders together own approximately 47.0% of the outstanding shares of our common stock as of March 2, 2023. As long as affiliates of our Principal Stockholders own or control a majority of our outstanding voting power, our Principal Stockholders and their affiliates will have the ability to exercise substantial control over all corporate actions requiring stockholder approval, irrespective of how our other stockholders may vote, including:</w:t>
      </w:r>
    </w:p>
    <w:p>
      <w:pPr>
        <w:spacing w:after="0" w:line="166" w:lineRule="exact"/>
        <w:rPr>
          <w:sz w:val="20"/>
          <w:szCs w:val="20"/>
          <w:color w:val="auto"/>
        </w:rPr>
      </w:pPr>
    </w:p>
    <w:p>
      <w:pPr>
        <w:ind w:left="1040" w:hanging="38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and removal of directors and the size of our board of directors;</w:t>
      </w:r>
    </w:p>
    <w:p>
      <w:pPr>
        <w:spacing w:after="0" w:line="225" w:lineRule="exact"/>
        <w:rPr>
          <w:rFonts w:ascii="Arial" w:cs="Arial" w:eastAsia="Arial" w:hAnsi="Arial"/>
          <w:sz w:val="18"/>
          <w:szCs w:val="18"/>
          <w:color w:val="auto"/>
        </w:rPr>
      </w:pPr>
    </w:p>
    <w:p>
      <w:pPr>
        <w:ind w:left="1040" w:hanging="38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amendment of our articles of incorporation or bylaws; or</w:t>
      </w:r>
    </w:p>
    <w:p>
      <w:pPr>
        <w:spacing w:after="0" w:line="225" w:lineRule="exact"/>
        <w:rPr>
          <w:rFonts w:ascii="Arial" w:cs="Arial" w:eastAsia="Arial" w:hAnsi="Arial"/>
          <w:sz w:val="18"/>
          <w:szCs w:val="18"/>
          <w:color w:val="auto"/>
        </w:rPr>
      </w:pPr>
    </w:p>
    <w:p>
      <w:pPr>
        <w:ind w:left="1040" w:right="339" w:hanging="382"/>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approval of mergers and other significant corporate transactions, including a sale of substantially all of our assets.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In addition, Pamplona has certain board nomination rights that will enable it to exercise substantial control over all corporate actions. Pamplona has the right to nominate to our board of directors a number of designees on a sliding scale depending on Pamplona’s affiliates’ ownership of our common stock, ranging from Pamplona being able to nominate at least a majority of the total number of directors so long as its affiliates beneficially own at least 50% of the shares of our common stock to Pamplona being able to nominate at least 10% of the total number of directors as long as its affiliates beneficially own at least 5%.</w:t>
      </w:r>
    </w:p>
    <w:p>
      <w:pPr>
        <w:spacing w:after="0" w:line="192"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Moreover, ownership of our shares by affiliates of our Principal Stockholders may also adversely affect the trading price for our common stock to the extent investors perceive disadvantages in owning shares of a company with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controlling shareholder. For example, the concentration of ownership held by our Principal Stockholders could delay, defer, or prevent a change in control of our company or impede a merger, takeover, or other business combination which may otherwise be favorable for us.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Many of the companies in which our Principal Stockholders invest are franchisors and may compete with us for access to suitable locations, experienced management, and qualified and well-capitalized franchisees. Our Principal Stockholders may acquire or seek to acquire assets complementary to our business that we seek to acquire and, as a result, those acquisition opportunities may not be available to us or may be more expensive for us to pursue, and as a result, the interests of our Principal Stockholders may not coincide with the interests of our other stockholders. So long as our Principal Stockholders continue to directly or indirectly own a significant amount of our equity, even if such amount is less than 50%, our Principal Stockholders will continue to be able to substantially influence or effectively control our ability to enter into corporate transactions.</w:t>
      </w:r>
    </w:p>
    <w:p>
      <w:pPr>
        <w:spacing w:after="0" w:line="168"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b w:val="1"/>
          <w:bCs w:val="1"/>
          <w:i w:val="1"/>
          <w:iCs w:val="1"/>
          <w:color w:val="auto"/>
        </w:rPr>
        <w:t>Our organizational documents and Delaware law may impede or discourage a takeover, which could deprive our investors of the opportunity to receive a premium on their shares.</w:t>
      </w:r>
    </w:p>
    <w:p>
      <w:pPr>
        <w:spacing w:after="0" w:line="170"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Provisions of our certificate of incorporation and bylaws may make it more difficult for, or prevent a third party from, acquiring control of us without the approval of our board of directors. These provisions include:</w:t>
      </w:r>
    </w:p>
    <w:p>
      <w:pPr>
        <w:spacing w:after="0" w:line="146" w:lineRule="exact"/>
        <w:rPr>
          <w:sz w:val="20"/>
          <w:szCs w:val="20"/>
          <w:color w:val="auto"/>
        </w:rPr>
      </w:pPr>
    </w:p>
    <w:p>
      <w:pPr>
        <w:ind w:left="1040" w:right="339" w:hanging="382"/>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our board of directors will be divided into three classes, with each class of directors serving staggered three-year terms;</w:t>
      </w:r>
    </w:p>
    <w:p>
      <w:pPr>
        <w:spacing w:after="0" w:line="170" w:lineRule="exact"/>
        <w:rPr>
          <w:rFonts w:ascii="Arial" w:cs="Arial" w:eastAsia="Arial" w:hAnsi="Arial"/>
          <w:sz w:val="18"/>
          <w:szCs w:val="18"/>
          <w:color w:val="auto"/>
        </w:rPr>
      </w:pPr>
    </w:p>
    <w:p>
      <w:pPr>
        <w:ind w:left="1040" w:right="259" w:hanging="382"/>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a majority of the voting power of our outstanding common stock is beneficially owned by our Principal Stockholders;</w:t>
      </w:r>
    </w:p>
    <w:p>
      <w:pPr>
        <w:spacing w:after="0" w:line="171" w:lineRule="exact"/>
        <w:rPr>
          <w:rFonts w:ascii="Arial" w:cs="Arial" w:eastAsia="Arial" w:hAnsi="Arial"/>
          <w:sz w:val="17"/>
          <w:szCs w:val="17"/>
          <w:color w:val="auto"/>
        </w:rPr>
      </w:pPr>
    </w:p>
    <w:p>
      <w:pPr>
        <w:ind w:left="1040" w:right="159" w:hanging="382"/>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empowering only the board to fill any vacancy on our board of directors (other than in respect of our Principal Stockholders’ directors (as defined below)), whether such vacancy occurs as a result of an increase in the number of directors or otherwise, if less than a majority of the voting power of our outstanding common stock is beneficially owned by our Principal Stockholders;</w:t>
      </w:r>
    </w:p>
    <w:p>
      <w:pPr>
        <w:spacing w:after="0" w:line="186" w:lineRule="exact"/>
        <w:rPr>
          <w:rFonts w:ascii="Arial" w:cs="Arial" w:eastAsia="Arial" w:hAnsi="Arial"/>
          <w:sz w:val="18"/>
          <w:szCs w:val="18"/>
          <w:color w:val="auto"/>
        </w:rPr>
      </w:pPr>
    </w:p>
    <w:p>
      <w:pPr>
        <w:ind w:left="1040" w:hanging="382"/>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without any need for action by stockholders;</w:t>
      </w:r>
    </w:p>
    <w:p>
      <w:pPr>
        <w:spacing w:after="0" w:line="236" w:lineRule="exact"/>
        <w:rPr>
          <w:rFonts w:ascii="Arial" w:cs="Arial" w:eastAsia="Arial" w:hAnsi="Arial"/>
          <w:sz w:val="17"/>
          <w:szCs w:val="17"/>
          <w:color w:val="auto"/>
        </w:rPr>
      </w:pPr>
    </w:p>
    <w:p>
      <w:pPr>
        <w:ind w:left="1040" w:right="439" w:hanging="382"/>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a majority of the voting power of our outstanding common stock is beneficially owned by our Principal Stockholders;</w:t>
      </w:r>
    </w:p>
    <w:p>
      <w:pPr>
        <w:spacing w:after="0" w:line="170" w:lineRule="exact"/>
        <w:rPr>
          <w:rFonts w:ascii="Arial" w:cs="Arial" w:eastAsia="Arial" w:hAnsi="Arial"/>
          <w:sz w:val="18"/>
          <w:szCs w:val="18"/>
          <w:color w:val="auto"/>
        </w:rPr>
      </w:pPr>
    </w:p>
    <w:p>
      <w:pPr>
        <w:jc w:val="both"/>
        <w:ind w:left="1040" w:right="159" w:hanging="382"/>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permitted by law, prohibiting stockholders from calling a special meeting of stockholders if less than a majority of the voting power of our outstanding common stock is beneficially owned by our Principal Stockholders; and</w:t>
      </w:r>
    </w:p>
    <w:p>
      <w:pPr>
        <w:spacing w:after="0" w:line="183" w:lineRule="exact"/>
        <w:rPr>
          <w:rFonts w:ascii="Arial" w:cs="Arial" w:eastAsia="Arial" w:hAnsi="Arial"/>
          <w:sz w:val="18"/>
          <w:szCs w:val="18"/>
          <w:color w:val="auto"/>
        </w:rPr>
      </w:pPr>
    </w:p>
    <w:p>
      <w:pPr>
        <w:ind w:left="1040" w:right="719" w:hanging="382"/>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our board of directors or for proposing matters that can be acted on by stockholders at stockholder meetings.</w:t>
      </w:r>
    </w:p>
    <w:p>
      <w:pPr>
        <w:spacing w:after="0" w:line="146"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our Principal Stockholders and any affiliate thereof or their direct and indirect transferees, on the one hand, and us, on the other.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has the authority to cause us to issue, without any further vote or action by the stockholders, shares of preferred stock, par value $0.0001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77" w:lineRule="exact"/>
        <w:rPr>
          <w:sz w:val="20"/>
          <w:szCs w:val="20"/>
          <w:color w:val="auto"/>
        </w:rPr>
      </w:pPr>
    </w:p>
    <w:p>
      <w:pPr>
        <w:jc w:val="both"/>
        <w:ind w:left="60" w:right="259" w:firstLine="648"/>
        <w:spacing w:after="0" w:line="287" w:lineRule="auto"/>
        <w:rPr>
          <w:sz w:val="20"/>
          <w:szCs w:val="20"/>
          <w:color w:val="auto"/>
        </w:rPr>
      </w:pPr>
      <w:r>
        <w:rPr>
          <w:rFonts w:ascii="Arial" w:cs="Arial" w:eastAsia="Arial" w:hAnsi="Arial"/>
          <w:sz w:val="16"/>
          <w:szCs w:val="16"/>
          <w:color w:val="auto"/>
        </w:rPr>
        <w:t>In addition, as long as our Principal Stockholders beneficially own at least a majority of the voting power of our outstanding common stock, our Principal Stockholders will be able to control all matters requiring stockholder approval, including the election of directors, amendment of our certificate of incorporation and certain corporate transactions.</w:t>
      </w:r>
    </w:p>
    <w:p>
      <w:pPr>
        <w:spacing w:after="0" w:line="2"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Together, these certificate of incorporation, bylaw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our Principal Stockholders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w:t>
      </w:r>
    </w:p>
    <w:p>
      <w:pPr>
        <w:spacing w:after="0" w:line="180"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a provision renouncing our interest and expectancy in certain corporate opportunities.</w:t>
      </w:r>
    </w:p>
    <w:p>
      <w:pPr>
        <w:spacing w:after="0" w:line="170"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Under our certificate of incorporation, none of our Principal Stockholders, any affiliates of our Principal Stockholders, or any of their respective officers, directors,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our Principal Stockholders will be liable to us or our stockholders for breach of any fiduciary duty by reason of the fact that any such individual directs a corporate opportunity to any Principal Stockholder, instead of us, or does not communicate information regarding a corporate opportunity to us that the officer, director, employee, managing director, or other affiliate has directed to a Principal Stockholder. For instance, a director of our company who also serves as a director, officer, or employee of one of our Principal Stockholders or any of their portfolio companies, funds, or other affiliates may pursue certain acquisitions or other opportunities that may be complementary to our business and, as a result, such acquisition or other opportunities may not be available to us. Our board of directors consists of nine members, six of whom are our Principal Stockholders’ directors. These potential conflicts of interest could have a material adverse effect on our business, financial condition, results of operations, or prospects if attractive corporate opportunities are allocated by one of our Principal Stockholders to itself or its affiliated funds, the portfolio companies owned by such funds or any affiliates of a Principal Stockholder instead of to us. A description of our obligations related to corporate opportunities under our certificate of incorporation are more fully described in “Description of Capital Stock — Anti-Takeover Effects of Our Certificate of Incorporation and Bylaws and Certain Provisions of Delaware Law — Conflicts of Interest.”</w:t>
      </w:r>
    </w:p>
    <w:p>
      <w:pPr>
        <w:spacing w:after="0" w:line="171"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and accordingly, stockholders must rely on stock appreciation for any return on their investment.</w:t>
      </w:r>
    </w:p>
    <w:p>
      <w:pPr>
        <w:spacing w:after="0" w:line="170" w:lineRule="exact"/>
        <w:rPr>
          <w:sz w:val="20"/>
          <w:szCs w:val="20"/>
          <w:color w:val="auto"/>
        </w:rPr>
      </w:pPr>
    </w:p>
    <w:p>
      <w:pPr>
        <w:ind w:left="60" w:right="439" w:firstLine="648"/>
        <w:spacing w:after="0" w:line="311" w:lineRule="auto"/>
        <w:rPr>
          <w:sz w:val="20"/>
          <w:szCs w:val="20"/>
          <w:color w:val="auto"/>
        </w:rPr>
      </w:pPr>
      <w:r>
        <w:rPr>
          <w:rFonts w:ascii="Arial" w:cs="Arial" w:eastAsia="Arial" w:hAnsi="Arial"/>
          <w:sz w:val="16"/>
          <w:szCs w:val="16"/>
          <w:color w:val="auto"/>
        </w:rPr>
        <w:t>We do not currently anticipate declaring any cash dividends to holders of our common stock. Consequently, investors must rely on sales of their common stock after price appreciation, which may never occur, as the only way to realize any future gains on their investment. Investors seeking cash dividends should not invest in our common stock.</w:t>
      </w:r>
    </w:p>
    <w:p>
      <w:pPr>
        <w:spacing w:after="0" w:line="14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93" w:lineRule="auto"/>
        <w:rPr>
          <w:sz w:val="20"/>
          <w:szCs w:val="20"/>
          <w:color w:val="auto"/>
        </w:rPr>
      </w:pPr>
      <w:r>
        <w:rPr>
          <w:rFonts w:ascii="Arial" w:cs="Arial" w:eastAsia="Arial" w:hAnsi="Arial"/>
          <w:sz w:val="16"/>
          <w:szCs w:val="16"/>
          <w:color w:val="auto"/>
        </w:rPr>
        <w:t>subsidiaries impose restrictions on our subsidiaries’ ability to pay dividends or other distributions to us. See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64" w:lineRule="exact"/>
        <w:rPr>
          <w:sz w:val="20"/>
          <w:szCs w:val="20"/>
          <w:color w:val="auto"/>
        </w:rPr>
      </w:pPr>
    </w:p>
    <w:p>
      <w:pPr>
        <w:ind w:left="60" w:right="339" w:firstLine="648"/>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However, the exclusive forum provision will not apply to suits brought to enforce any liability or duty created by the Securities Act of 1933, as amended (the “Securities Act”), the Securities Exchange Act of 1934, as amended (the “Exchange Act”), or any other claim for which the federal courts have exclusive jurisdiction. The forum selection provisions in our certificate of incorporation also provide that, unless we consent in writing to the selection of an alternative forum, the federal district courts of the United States will be the exclusive forum for the resolution of any complaint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6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359" w:firstLine="648"/>
        <w:spacing w:after="0" w:line="311" w:lineRule="auto"/>
        <w:rPr>
          <w:sz w:val="20"/>
          <w:szCs w:val="20"/>
          <w:color w:val="auto"/>
        </w:rPr>
      </w:pPr>
      <w:r>
        <w:rPr>
          <w:rFonts w:ascii="Arial" w:cs="Arial" w:eastAsia="Arial" w:hAnsi="Arial"/>
          <w:sz w:val="16"/>
          <w:szCs w:val="16"/>
          <w:color w:val="auto"/>
        </w:rPr>
        <w:t>Our headquarters are in Latham, New York. We have manufacturing and storage facilities in the United States, Canada, New Zealand, and Australia. We believe our facilities are adequate and suitable for our current needs.</w:t>
      </w:r>
    </w:p>
    <w:tbl>
      <w:tblPr>
        <w:tblLayout w:type="fixed"/>
        <w:tblInd w:w="40" w:type="dxa"/>
        <w:tblCellMar>
          <w:top w:w="0" w:type="dxa"/>
          <w:left w:w="0" w:type="dxa"/>
          <w:bottom w:w="0" w:type="dxa"/>
          <w:right w:w="0" w:type="dxa"/>
        </w:tblCellMar>
      </w:tblPr>
      <w:tr>
        <w:trPr>
          <w:trHeight w:val="149"/>
        </w:trPr>
        <w:tc>
          <w:tcPr>
            <w:tcW w:w="2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474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Purpose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Size (Sq. ft.)</w:t>
            </w:r>
          </w:p>
        </w:tc>
        <w:tc>
          <w:tcPr>
            <w:tcW w:w="11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(owned or leased)</w:t>
            </w: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Melbourne, Australia</w:t>
            </w:r>
          </w:p>
        </w:tc>
        <w:tc>
          <w:tcPr>
            <w:tcW w:w="14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Storage facility and office</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Picton, Australia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49,514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Picton, Australia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Storage</w:t>
            </w:r>
          </w:p>
        </w:tc>
        <w:tc>
          <w:tcPr>
            <w:tcW w:w="90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7"/>
                <w:szCs w:val="17"/>
                <w:color w:val="auto"/>
                <w:w w:val="90"/>
              </w:rPr>
              <w:t>115,174</w:t>
            </w:r>
            <w:r>
              <w:rPr>
                <w:rFonts w:ascii="Arial" w:cs="Arial" w:eastAsia="Arial" w:hAnsi="Arial"/>
                <w:sz w:val="25"/>
                <w:szCs w:val="25"/>
                <w:color w:val="auto"/>
                <w:w w:val="90"/>
                <w:vertAlign w:val="superscript"/>
              </w:rPr>
              <w:t>(1)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Sydney, Australia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740" w:type="dxa"/>
            <w:vAlign w:val="bottom"/>
          </w:tcPr>
          <w:p>
            <w:pPr>
              <w:jc w:val="right"/>
              <w:spacing w:after="0"/>
              <w:rPr>
                <w:sz w:val="20"/>
                <w:szCs w:val="20"/>
                <w:color w:val="auto"/>
              </w:rPr>
            </w:pPr>
            <w:r>
              <w:rPr>
                <w:rFonts w:ascii="Arial" w:cs="Arial" w:eastAsia="Arial" w:hAnsi="Arial"/>
                <w:sz w:val="18"/>
                <w:szCs w:val="18"/>
                <w:color w:val="auto"/>
              </w:rPr>
              <w:t>6,889</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Yalta, Australia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Ajax, Canada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steps</w:t>
            </w:r>
          </w:p>
        </w:tc>
        <w:tc>
          <w:tcPr>
            <w:tcW w:w="740" w:type="dxa"/>
            <w:vAlign w:val="bottom"/>
          </w:tcPr>
          <w:p>
            <w:pPr>
              <w:jc w:val="right"/>
              <w:spacing w:after="0"/>
              <w:rPr>
                <w:sz w:val="20"/>
                <w:szCs w:val="20"/>
                <w:color w:val="auto"/>
              </w:rPr>
            </w:pPr>
            <w:r>
              <w:rPr>
                <w:rFonts w:ascii="Arial" w:cs="Arial" w:eastAsia="Arial" w:hAnsi="Arial"/>
                <w:sz w:val="18"/>
                <w:szCs w:val="18"/>
                <w:color w:val="auto"/>
              </w:rPr>
              <w:t>25,641</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Brantford, Canada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steel panels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Kingston, Canada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Terrebonne, Canada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Warehouse/distribution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Hamilton, New Zealand</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21,528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Hamilton, New Zealand</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Mold building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Williams, California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67,734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Zephyrhills, Florida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Suwanee, Georgia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84,466</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 Wayne, Indiana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kits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Plainfield, Indiana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Automatic safety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99,288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 Witt, Iowa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Bossier City, Louisiana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900" w:type="dxa"/>
            <w:vAlign w:val="bottom"/>
            <w:gridSpan w:val="2"/>
          </w:tcPr>
          <w:p>
            <w:pPr>
              <w:jc w:val="right"/>
              <w:ind w:right="140"/>
              <w:spacing w:after="0" w:line="216" w:lineRule="exact"/>
              <w:rPr>
                <w:sz w:val="20"/>
                <w:szCs w:val="20"/>
                <w:color w:val="auto"/>
              </w:rPr>
            </w:pPr>
            <w:r>
              <w:rPr>
                <w:rFonts w:ascii="Arial" w:cs="Arial" w:eastAsia="Arial" w:hAnsi="Arial"/>
                <w:sz w:val="17"/>
                <w:szCs w:val="17"/>
                <w:color w:val="auto"/>
              </w:rPr>
              <w:t>47,334</w:t>
            </w:r>
            <w:r>
              <w:rPr>
                <w:rFonts w:ascii="Arial" w:cs="Arial" w:eastAsia="Arial" w:hAnsi="Arial"/>
                <w:sz w:val="25"/>
                <w:szCs w:val="25"/>
                <w:color w:val="auto"/>
                <w:vertAlign w:val="superscript"/>
              </w:rPr>
              <w:t>(2)</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Breaux Bridge, Louisiana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Albany,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Aluminum kit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86,000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Albany, New York</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Latham,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w w:val="94"/>
              </w:rPr>
              <w:t>Headquarters, polymer panels and thermoformed steps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97,000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Queensbury, New York</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depot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Scotia, New York</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122,543</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Powells Point, North</w:t>
            </w:r>
          </w:p>
        </w:tc>
        <w:tc>
          <w:tcPr>
            <w:tcW w:w="47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Fiberglass depot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122"/>
        </w:trPr>
        <w:tc>
          <w:tcPr>
            <w:tcW w:w="2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Carolina</w:t>
            </w:r>
          </w:p>
        </w:tc>
        <w:tc>
          <w:tcPr>
            <w:tcW w:w="4740" w:type="dxa"/>
            <w:vAlign w:val="bottom"/>
            <w:gridSpan w:val="2"/>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CCEEFF"/>
          </w:tcPr>
          <w:p>
            <w:pPr>
              <w:spacing w:after="0"/>
              <w:rPr>
                <w:sz w:val="9"/>
                <w:szCs w:val="9"/>
                <w:color w:val="auto"/>
              </w:rPr>
            </w:pPr>
          </w:p>
        </w:tc>
        <w:tc>
          <w:tcPr>
            <w:tcW w:w="4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Rockingham, North</w:t>
            </w:r>
          </w:p>
        </w:tc>
        <w:tc>
          <w:tcPr>
            <w:tcW w:w="4740" w:type="dxa"/>
            <w:vAlign w:val="bottom"/>
            <w:gridSpan w:val="2"/>
            <w:vMerge w:val="restart"/>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45,330</w:t>
            </w:r>
          </w:p>
        </w:tc>
        <w:tc>
          <w:tcPr>
            <w:tcW w:w="1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22"/>
        </w:trPr>
        <w:tc>
          <w:tcPr>
            <w:tcW w:w="2160" w:type="dxa"/>
            <w:vAlign w:val="bottom"/>
            <w:gridSpan w:val="2"/>
            <w:vMerge w:val="restart"/>
          </w:tcPr>
          <w:p>
            <w:pPr>
              <w:ind w:left="20"/>
              <w:spacing w:after="0"/>
              <w:rPr>
                <w:sz w:val="20"/>
                <w:szCs w:val="20"/>
                <w:color w:val="auto"/>
              </w:rPr>
            </w:pPr>
            <w:r>
              <w:rPr>
                <w:rFonts w:ascii="Arial" w:cs="Arial" w:eastAsia="Arial" w:hAnsi="Arial"/>
                <w:sz w:val="18"/>
                <w:szCs w:val="18"/>
                <w:color w:val="auto"/>
              </w:rPr>
              <w:t>Carolina</w:t>
            </w:r>
          </w:p>
        </w:tc>
        <w:tc>
          <w:tcPr>
            <w:tcW w:w="47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tcPr>
          <w:p>
            <w:pPr>
              <w:spacing w:after="0"/>
              <w:rPr>
                <w:sz w:val="9"/>
                <w:szCs w:val="9"/>
                <w:color w:val="auto"/>
              </w:rPr>
            </w:pPr>
          </w:p>
        </w:tc>
        <w:tc>
          <w:tcPr>
            <w:tcW w:w="4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Warehouse — finished products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Warehouse — raw materials</w:t>
            </w:r>
          </w:p>
        </w:tc>
        <w:tc>
          <w:tcPr>
            <w:tcW w:w="740" w:type="dxa"/>
            <w:vAlign w:val="bottom"/>
          </w:tcPr>
          <w:p>
            <w:pPr>
              <w:jc w:val="right"/>
              <w:spacing w:after="0"/>
              <w:rPr>
                <w:sz w:val="20"/>
                <w:szCs w:val="20"/>
                <w:color w:val="auto"/>
              </w:rPr>
            </w:pPr>
            <w:r>
              <w:rPr>
                <w:rFonts w:ascii="Arial" w:cs="Arial" w:eastAsia="Arial" w:hAnsi="Arial"/>
                <w:sz w:val="18"/>
                <w:szCs w:val="18"/>
                <w:color w:val="auto"/>
              </w:rPr>
              <w:t>86,812</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Liners and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Seminole, Oklahoma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tcPr>
          <w:p>
            <w:pPr>
              <w:jc w:val="right"/>
              <w:spacing w:after="0"/>
              <w:rPr>
                <w:sz w:val="20"/>
                <w:szCs w:val="20"/>
                <w:color w:val="auto"/>
              </w:rPr>
            </w:pPr>
            <w:r>
              <w:rPr>
                <w:rFonts w:ascii="Arial" w:cs="Arial" w:eastAsia="Arial" w:hAnsi="Arial"/>
                <w:sz w:val="18"/>
                <w:szCs w:val="18"/>
                <w:color w:val="auto"/>
              </w:rPr>
              <w:t>17,956</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Fayetteville, Tennessee</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Odessa, Texas</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Fiberglass facility</w:t>
            </w:r>
          </w:p>
        </w:tc>
        <w:tc>
          <w:tcPr>
            <w:tcW w:w="900" w:type="dxa"/>
            <w:vAlign w:val="bottom"/>
            <w:gridSpan w:val="2"/>
          </w:tcPr>
          <w:p>
            <w:pPr>
              <w:jc w:val="right"/>
              <w:ind w:right="140"/>
              <w:spacing w:after="0" w:line="216" w:lineRule="exact"/>
              <w:rPr>
                <w:sz w:val="20"/>
                <w:szCs w:val="20"/>
                <w:color w:val="auto"/>
              </w:rPr>
            </w:pPr>
            <w:r>
              <w:rPr>
                <w:rFonts w:ascii="Arial" w:cs="Arial" w:eastAsia="Arial" w:hAnsi="Arial"/>
                <w:sz w:val="17"/>
                <w:szCs w:val="17"/>
                <w:color w:val="auto"/>
              </w:rPr>
              <w:t>33,500</w:t>
            </w:r>
            <w:r>
              <w:rPr>
                <w:rFonts w:ascii="Arial" w:cs="Arial" w:eastAsia="Arial" w:hAnsi="Arial"/>
                <w:sz w:val="25"/>
                <w:szCs w:val="25"/>
                <w:color w:val="auto"/>
                <w:vertAlign w:val="superscript"/>
              </w:rPr>
              <w:t>(3)</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Lindon, Utah</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Automatic safety covers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Lindon, Utah</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Warehouse and office</w:t>
            </w:r>
          </w:p>
        </w:tc>
        <w:tc>
          <w:tcPr>
            <w:tcW w:w="740" w:type="dxa"/>
            <w:vAlign w:val="bottom"/>
          </w:tcPr>
          <w:p>
            <w:pPr>
              <w:jc w:val="right"/>
              <w:spacing w:after="0"/>
              <w:rPr>
                <w:sz w:val="20"/>
                <w:szCs w:val="20"/>
                <w:color w:val="auto"/>
              </w:rPr>
            </w:pPr>
            <w:r>
              <w:rPr>
                <w:rFonts w:ascii="Arial" w:cs="Arial" w:eastAsia="Arial" w:hAnsi="Arial"/>
                <w:sz w:val="18"/>
                <w:szCs w:val="18"/>
                <w:color w:val="auto"/>
              </w:rPr>
              <w:t>6,750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 Lew, West Virginia</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Jane Lew, West Virginia</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Storage facility and office</w:t>
            </w:r>
          </w:p>
        </w:tc>
        <w:tc>
          <w:tcPr>
            <w:tcW w:w="740" w:type="dxa"/>
            <w:vAlign w:val="bottom"/>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93980</wp:posOffset>
            </wp:positionV>
            <wp:extent cx="141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8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Land Only</w:t>
      </w:r>
    </w:p>
    <w:p>
      <w:pPr>
        <w:spacing w:after="0" w:line="15" w:lineRule="exact"/>
        <w:rPr>
          <w:rFonts w:ascii="Arial" w:cs="Arial" w:eastAsia="Arial" w:hAnsi="Arial"/>
          <w:sz w:val="27"/>
          <w:szCs w:val="27"/>
          <w:color w:val="auto"/>
          <w:vertAlign w:val="superscript"/>
        </w:rPr>
      </w:pPr>
    </w:p>
    <w:p>
      <w:pPr>
        <w:ind w:left="720" w:right="359" w:hanging="319"/>
        <w:spacing w:after="0" w:line="199" w:lineRule="auto"/>
        <w:tabs>
          <w:tab w:leader="none" w:pos="7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On November 8, 2022, we approved a cost reduction plan which involved the closure of the facility in Bossier City, Louisiana in the first quarter of 2023.</w:t>
      </w:r>
    </w:p>
    <w:p>
      <w:pPr>
        <w:spacing w:after="0" w:line="1" w:lineRule="exact"/>
        <w:rPr>
          <w:rFonts w:ascii="Arial" w:cs="Arial" w:eastAsia="Arial" w:hAnsi="Arial"/>
          <w:sz w:val="27"/>
          <w:szCs w:val="27"/>
          <w:color w:val="auto"/>
          <w:vertAlign w:val="superscript"/>
        </w:rPr>
      </w:pPr>
    </w:p>
    <w:p>
      <w:pPr>
        <w:ind w:left="720" w:right="119" w:hanging="319"/>
        <w:spacing w:after="0" w:line="206" w:lineRule="auto"/>
        <w:tabs>
          <w:tab w:leader="none" w:pos="7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This property was impacted by a fire in April of 2022 which primarily impacted the facility’s production area, we are currently evaluating the future plans for this property.</w:t>
      </w:r>
    </w:p>
    <w:p>
      <w:pPr>
        <w:spacing w:after="0" w:line="163"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In addition to our existing facilities, we have commenced building a 170,000 square foot fiberglass manufacturing facility on a 148 acres site in Kingston, Loyalist Township in Ontario, Canada, with production expected to begin in 2023.</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fourth quarter of the fiscal year ended December 31, 2022. However, the results of any current or future litigation cannot be predicted with certainty and, regardless of the outcome, we may incur significant costs and experience a diversion of management resources as a result of litigation.</w:t>
      </w:r>
    </w:p>
    <w:p>
      <w:pPr>
        <w:spacing w:after="0" w:line="188"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and Stockholders</w:t>
      </w:r>
    </w:p>
    <w:p>
      <w:pPr>
        <w:spacing w:after="0" w:line="229"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Our common stock has been traded on the NASDAQ Global Select Market under the symbol “SWIM” since April 23, 2021. Prior to that date, there was no public trading market for our common stock. On December 31, 2022, there were 30 registered holders of record of our common stock. A greater number of holders are “street name” or beneficial holders, whose shares are held of record by banks, brokers, and other financial institutions.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The following table shows the total number of shares repurchased on a trade date basis during the fiscal quarter ended December 31, 2022.</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number of</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shares</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w:t>
            </w: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purchased</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as part of</w:t>
            </w: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may yet be</w:t>
            </w: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number of</w:t>
            </w:r>
          </w:p>
        </w:tc>
        <w:tc>
          <w:tcPr>
            <w:tcW w:w="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publicly</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08"/>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shares</w:t>
            </w:r>
          </w:p>
        </w:tc>
        <w:tc>
          <w:tcPr>
            <w:tcW w:w="8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price paid</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under the</w:t>
            </w:r>
          </w:p>
        </w:tc>
      </w:tr>
      <w:tr>
        <w:trPr>
          <w:trHeight w:val="242"/>
        </w:trPr>
        <w:tc>
          <w:tcPr>
            <w:tcW w:w="47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purchased</w:t>
            </w:r>
          </w:p>
        </w:tc>
        <w:tc>
          <w:tcPr>
            <w:tcW w:w="8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 share</w:t>
            </w:r>
          </w:p>
        </w:tc>
        <w:tc>
          <w:tcPr>
            <w:tcW w:w="1020" w:type="dxa"/>
            <w:vAlign w:val="bottom"/>
            <w:gridSpan w:val="2"/>
          </w:tcPr>
          <w:p>
            <w:pPr>
              <w:jc w:val="center"/>
              <w:ind w:right="60"/>
              <w:spacing w:after="0" w:line="242" w:lineRule="exact"/>
              <w:rPr>
                <w:sz w:val="20"/>
                <w:szCs w:val="20"/>
                <w:color w:val="auto"/>
              </w:rPr>
            </w:pPr>
            <w:r>
              <w:rPr>
                <w:rFonts w:ascii="Arial" w:cs="Arial" w:eastAsia="Arial" w:hAnsi="Arial"/>
                <w:sz w:val="18"/>
                <w:szCs w:val="18"/>
                <w:b w:val="1"/>
                <w:bCs w:val="1"/>
                <w:color w:val="auto"/>
                <w:w w:val="85"/>
              </w:rPr>
              <w:t>plan</w:t>
            </w:r>
            <w:r>
              <w:rPr>
                <w:rFonts w:ascii="Arial" w:cs="Arial" w:eastAsia="Arial" w:hAnsi="Arial"/>
                <w:sz w:val="26"/>
                <w:szCs w:val="26"/>
                <w:b w:val="1"/>
                <w:bCs w:val="1"/>
                <w:color w:val="auto"/>
                <w:w w:val="85"/>
                <w:vertAlign w:val="superscript"/>
              </w:rPr>
              <w:t>1</w:t>
            </w:r>
          </w:p>
        </w:tc>
        <w:tc>
          <w:tcPr>
            <w:tcW w:w="100" w:type="dxa"/>
            <w:vAlign w:val="bottom"/>
          </w:tcPr>
          <w:p>
            <w:pPr>
              <w:spacing w:after="0"/>
              <w:rPr>
                <w:sz w:val="21"/>
                <w:szCs w:val="21"/>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plan</w:t>
            </w:r>
          </w:p>
        </w:tc>
      </w:tr>
      <w:tr>
        <w:trPr>
          <w:trHeight w:val="210"/>
        </w:trPr>
        <w:tc>
          <w:tcPr>
            <w:tcW w:w="4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 thousands)</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October 2, 2022 - October 29, 2022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30, 2022 - November 26,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81,891</w:t>
            </w:r>
          </w:p>
        </w:tc>
      </w:tr>
      <w:tr>
        <w:trPr>
          <w:trHeight w:val="216"/>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November 27, 2022 - December 31, 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1,465,355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1,465,355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76,962</w:t>
            </w:r>
          </w:p>
        </w:tc>
      </w:tr>
      <w:tr>
        <w:trPr>
          <w:trHeight w:val="210"/>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2,457,389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2,457,389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76,962</w:t>
            </w:r>
          </w:p>
        </w:tc>
      </w:tr>
      <w:tr>
        <w:trPr>
          <w:trHeight w:val="20"/>
        </w:trPr>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All shares were repurchased under a Rule 10b5-1 trading plan.</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currently do not intend to pay cash dividends on our common stock. However, we may in the future decide to pay dividends on our common stock. Any declaration and payment of cash dividends in the future,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76"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New Credit Agreement and under other current and future indebtedness that we or they may incur. See “Risk Factors—Risks Relating Ownership of our Common Stock—We do not anticipate paying any cash dividends, and accordingly, stockholders must rely on stock appreciation for any return on their investment”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Operations—Liquidity and Capital Resources.”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following graph compares the cumulative total return on our common stock since it began trading on the NASDAQ Global Select Market on April 23, 2021 with the cumulative total return of the Russell 2000 Index and the S&amp;P SmallCap 600 Consumer Discretionary Index. The graph assumes, in each case, an initial investment of $100 on April 23, 2021, based on the market price at the end of each month through and including December 31, 2022, and that all dividends paid by companies included in these indices have been reinvested. We did not pay any dividends during the period reflected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131445</wp:posOffset>
            </wp:positionV>
            <wp:extent cx="4114800" cy="2640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4/23/2021</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12/31/2021</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12/31/2022</w:t>
            </w: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Latham Group, Inc.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99.56</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79.21</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SmallCap 600 Consumer Discretionary Index</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other sections of this Annual Report, including “Item 1. Business,” and our audited consolidated financial statements and related notes for the three years ended December 31, 2022, 2021 and 2020, included elsewhere in this Annual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19" w:firstLine="648"/>
        <w:spacing w:after="0" w:line="280" w:lineRule="auto"/>
        <w:rPr>
          <w:sz w:val="20"/>
          <w:szCs w:val="20"/>
          <w:color w:val="auto"/>
        </w:rPr>
      </w:pPr>
      <w:r>
        <w:rPr>
          <w:rFonts w:ascii="Arial" w:cs="Arial" w:eastAsia="Arial" w:hAnsi="Arial"/>
          <w:sz w:val="17"/>
          <w:szCs w:val="17"/>
          <w:color w:val="auto"/>
        </w:rPr>
        <w:t>We are the largest designer, manufacturer, and marketer of in-ground residential swimming pools in North America, Australia, and New Zealand. We hold the #1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19"/>
          <w:szCs w:val="19"/>
          <w:color w:val="auto"/>
          <w:vertAlign w:val="superscript"/>
        </w:rPr>
        <w:t>TM</w:t>
      </w:r>
      <w:r>
        <w:rPr>
          <w:rFonts w:ascii="Arial" w:cs="Arial" w:eastAsia="Arial" w:hAnsi="Arial"/>
          <w:sz w:val="17"/>
          <w:szCs w:val="17"/>
          <w:color w:val="auto"/>
        </w:rPr>
        <w:t>.</w:t>
      </w:r>
    </w:p>
    <w:p>
      <w:pPr>
        <w:spacing w:after="0" w:line="14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71"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over 2,000 employees across over 30 locations.</w:t>
      </w:r>
    </w:p>
    <w:p>
      <w:pPr>
        <w:spacing w:after="0" w:line="149" w:lineRule="exact"/>
        <w:rPr>
          <w:sz w:val="20"/>
          <w:szCs w:val="20"/>
          <w:color w:val="auto"/>
        </w:rPr>
      </w:pPr>
    </w:p>
    <w:p>
      <w:pPr>
        <w:ind w:left="60" w:right="139" w:firstLine="648"/>
        <w:spacing w:after="0" w:line="250"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 As a result of this approach, 2022 marked our 13</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consecutive year of net sales growth and Adjusted EBITDA growth. Net income does not adhere to this trend.</w:t>
      </w:r>
    </w:p>
    <w:p>
      <w:pPr>
        <w:spacing w:after="0" w:line="194"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Highlights for the year ended December 31, 2022</w:t>
      </w:r>
    </w:p>
    <w:p>
      <w:pPr>
        <w:spacing w:after="0" w:line="225" w:lineRule="exact"/>
        <w:rPr>
          <w:sz w:val="20"/>
          <w:szCs w:val="20"/>
          <w:color w:val="auto"/>
        </w:rPr>
      </w:pPr>
    </w:p>
    <w:p>
      <w:pPr>
        <w:ind w:left="760" w:right="679" w:hanging="33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net sales of 10.4%, or $65.2 million, to $695.7 million for the year ended December 31, 2022, compared to $630.5 million for the year ended December 31, 2021.</w:t>
      </w:r>
    </w:p>
    <w:p>
      <w:pPr>
        <w:spacing w:after="0" w:line="170" w:lineRule="exact"/>
        <w:rPr>
          <w:rFonts w:ascii="Arial" w:cs="Arial" w:eastAsia="Arial" w:hAnsi="Arial"/>
          <w:sz w:val="18"/>
          <w:szCs w:val="18"/>
          <w:color w:val="auto"/>
        </w:rPr>
      </w:pPr>
    </w:p>
    <w:p>
      <w:pPr>
        <w:ind w:left="760" w:right="279" w:hanging="332"/>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net loss of $56.6 million, to $5.7 million for the year ended December 31, 2022, compared to a net loss of $62.3 million for the year ended December 31, 2021, representing a 0.8% net loss margin for the year ended December 31, 2022.</w:t>
      </w:r>
    </w:p>
    <w:p>
      <w:pPr>
        <w:spacing w:after="0" w:line="183" w:lineRule="exact"/>
        <w:rPr>
          <w:rFonts w:ascii="Arial" w:cs="Arial" w:eastAsia="Arial" w:hAnsi="Arial"/>
          <w:sz w:val="18"/>
          <w:szCs w:val="18"/>
          <w:color w:val="auto"/>
        </w:rPr>
      </w:pPr>
    </w:p>
    <w:p>
      <w:pPr>
        <w:ind w:left="760" w:right="119" w:hanging="33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Adjusted EBITDA (as defined below) of $3.5 million, to $143.3 million for the year ended December 31, 2022, compared to $139.8 million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Update</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Market conditions continue to evolve. Macroeconomic uncertainty is affecting consumer spending and softening demand for consumer durables, resulting in declines in U.S. new in-ground pool installations in 2022. We anticipate further net sales declines in our in-ground swimming pool product line in 2023. We continue to see destocking of packaged pool inventory at the wholesale distribution-level, and we expect normalization of inventory levels to remain a headwind. We believe continued progress on fiberglass conversion efforts, especially from concrete, will be a modest tailwind as we continue to work to drive homeowner and dealer awareness and adoption. We continue to take a disciplined approach to capital investments, with the focus on the completion of previously announced projects. This includes the completion of our Kingston, Ontario facility as well as our acquired fiberglass manufacturing assets in Seminole, Oklahoma. The Kingston and Seminole facilities for production will give us the opportunity to reduce freight costs, tighten our lead times, and tap into large markets with strong fiberglass conversion opportunities.</w:t>
      </w:r>
    </w:p>
    <w:p>
      <w:pPr>
        <w:spacing w:after="0" w:line="168" w:lineRule="exact"/>
        <w:rPr>
          <w:sz w:val="20"/>
          <w:szCs w:val="20"/>
          <w:color w:val="auto"/>
        </w:rPr>
      </w:pPr>
    </w:p>
    <w:p>
      <w:pPr>
        <w:jc w:val="both"/>
        <w:ind w:left="60" w:right="259" w:firstLine="648"/>
        <w:spacing w:after="0" w:line="259" w:lineRule="auto"/>
        <w:rPr>
          <w:sz w:val="20"/>
          <w:szCs w:val="20"/>
          <w:color w:val="auto"/>
        </w:rPr>
      </w:pPr>
      <w:r>
        <w:rPr>
          <w:rFonts w:ascii="Arial" w:cs="Arial" w:eastAsia="Arial" w:hAnsi="Arial"/>
          <w:sz w:val="18"/>
          <w:szCs w:val="18"/>
          <w:color w:val="auto"/>
        </w:rPr>
        <w:t>We have responded to economic uncertainty with immediate actions to reduce our costs. On November 8, 2022, we approved a cost reduction plan to optimize our production and shift schedules, implement a workforce reduction, and streamline our cover and liner manufacturing footprint with the closure of our Bossier City, Louisiana facility in the first quarter of 2023.</w:t>
      </w:r>
    </w:p>
    <w:p>
      <w:pPr>
        <w:spacing w:after="0" w:line="18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During the year ended December 31, 2022, we recognized costs related to the plan totaling $1.1 million, comprised primarily of $1.0 million for severance and related costs and $0.1 million of fixed asset and facility related expenses. The remaining costs under the plan of approximately $0.5 million are expected to be incurred and recognized in 2023. We expect to generate annual operating expense savings of approximately $12.0 million in fiscal 2023 as a result of our cost reduction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Transition</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On January 19, 2023, we announced that Robert L. Masson II will step down as our Chief Financial Officer for family reasons, effective March 17, 2023. J. Mark Borseth, who previously served as Latham’s Chief Financial Officer from February 2020 to July 2022, rejoined Latham as a strategic advisor effective February 13, 2023. On March 18, 2023, Mr. Borseth will become the Interim Chief Financial Officer. A search for a permanent Chief Financial Officer is underway.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During the year ended December 31, 2022, we repurchased and concurrently retired 4,483,620 shares of our common stock for an aggregate amount of $23.0 million, pursuant to the Repurchase Program. As of December 31, 2022, approximately $77.0 million remained available for share repurchases pursuant to our Repurchase Program.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Our results of operations and financial condition are affected by the following factors, which reflect our operating philosophy and focus on designing, manufacturing, and marketing high quality and innovative pools and pool covers for the in-ground swimming pool market.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Volume of Products Sold</w:t>
      </w:r>
    </w:p>
    <w:p>
      <w:pPr>
        <w:spacing w:after="0" w:line="225"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Our net sales depend primarily on the volume of products we sell during any given period, and volume is affected by the following items, among others:</w:t>
      </w:r>
    </w:p>
    <w:p>
      <w:pPr>
        <w:spacing w:after="0" w:line="170" w:lineRule="exact"/>
        <w:rPr>
          <w:sz w:val="20"/>
          <w:szCs w:val="20"/>
          <w:color w:val="auto"/>
        </w:rPr>
      </w:pPr>
    </w:p>
    <w:p>
      <w:pPr>
        <w:ind w:left="760" w:right="279" w:hanging="332"/>
        <w:spacing w:after="0" w:line="25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Sales, distribution, and marketing: </w:t>
      </w:r>
      <w:r>
        <w:rPr>
          <w:rFonts w:ascii="Arial" w:cs="Arial" w:eastAsia="Arial" w:hAnsi="Arial"/>
          <w:sz w:val="18"/>
          <w:szCs w:val="18"/>
          <w:color w:val="auto"/>
        </w:rPr>
        <w:t>While we have traditionally relied on our dealers and distributors to raise</w:t>
      </w:r>
      <w:r>
        <w:rPr>
          <w:rFonts w:ascii="Arial" w:cs="Arial" w:eastAsia="Arial" w:hAnsi="Arial"/>
          <w:sz w:val="18"/>
          <w:szCs w:val="18"/>
          <w:i w:val="1"/>
          <w:iCs w:val="1"/>
          <w:color w:val="auto"/>
        </w:rPr>
        <w:t xml:space="preserve"> </w:t>
      </w:r>
      <w:r>
        <w:rPr>
          <w:rFonts w:ascii="Arial" w:cs="Arial" w:eastAsia="Arial" w:hAnsi="Arial"/>
          <w:sz w:val="18"/>
          <w:szCs w:val="18"/>
          <w:color w:val="auto"/>
        </w:rPr>
        <w:t>awareness of our products,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8" w:lineRule="exact"/>
        <w:rPr>
          <w:sz w:val="20"/>
          <w:szCs w:val="20"/>
          <w:color w:val="auto"/>
        </w:rPr>
      </w:pPr>
    </w:p>
    <w:p>
      <w:pPr>
        <w:ind w:left="700" w:right="159"/>
        <w:spacing w:after="0" w:line="286" w:lineRule="auto"/>
        <w:rPr>
          <w:sz w:val="20"/>
          <w:szCs w:val="20"/>
          <w:color w:val="auto"/>
        </w:rPr>
      </w:pPr>
      <w:r>
        <w:rPr>
          <w:rFonts w:ascii="Arial" w:cs="Arial" w:eastAsia="Arial" w:hAnsi="Arial"/>
          <w:sz w:val="16"/>
          <w:szCs w:val="16"/>
          <w:color w:val="auto"/>
        </w:rPr>
        <w:t>In order to strengthen our relationship with our loyal dealer partners, we have implemented “Latham Grand,” a key dealer strategy whereby we have secured exclusivity from over 250 of our largest dealers in North America, which also includes the United States’ largest franchised dealer network, Premier Pools &amp; Spas. We also have a strong distribution network as a result of over 450 distributor branch locations that represent our products. Through our significant investments in partnerships with dealers and distributors and our consumer-oriented marketing efforts, we have created both a “push and pull” demand dynamic for our products in the marketplace.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to install more pools, markets where we are underpenetrated, or simply into the largest in-ground swimming pool markets. Our volume of product sales in a given period will be impacted by changes in our distribution platform and by our ability to generate leads for our dealers.</w:t>
      </w:r>
    </w:p>
    <w:p>
      <w:pPr>
        <w:spacing w:after="0" w:line="171" w:lineRule="exact"/>
        <w:rPr>
          <w:sz w:val="20"/>
          <w:szCs w:val="20"/>
          <w:color w:val="auto"/>
        </w:rPr>
      </w:pPr>
    </w:p>
    <w:p>
      <w:pPr>
        <w:ind w:left="720" w:right="79" w:hanging="319"/>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Material conversion: </w:t>
      </w:r>
      <w:r>
        <w:rPr>
          <w:rFonts w:ascii="Arial" w:cs="Arial" w:eastAsia="Arial" w:hAnsi="Arial"/>
          <w:sz w:val="17"/>
          <w:szCs w:val="17"/>
          <w:color w:val="auto"/>
        </w:rPr>
        <w:t>We have continued to increase sales of our products through our focused efforts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conversion and market penetration of our products, specifically our fiberglass pools, which continue to take market share from traditional concrete pools and enable dramatically improved economics for consumers, dealers, and pool installers. We believe that this will be a long-term trend toward material conversion from traditional concrete pools. We believe that our fiberglass pools offer a compelling value proposition because of their lower up-front and lifecycle cost of ownership, less maintenance, higher quality, lower usage of harsh chemicals, quicker installation, and more convenient experience, compared to products manufactured from traditional materials. We anticipate that sales of our fiberglass pool products will continue to benefit from material conversion. The success of our efforts to drive conversion during any given period will impact the volume of our products sold during that period.</w:t>
      </w:r>
    </w:p>
    <w:p>
      <w:pPr>
        <w:spacing w:after="0" w:line="185" w:lineRule="exact"/>
        <w:rPr>
          <w:rFonts w:ascii="Arial" w:cs="Arial" w:eastAsia="Arial" w:hAnsi="Arial"/>
          <w:sz w:val="17"/>
          <w:szCs w:val="17"/>
          <w:color w:val="auto"/>
        </w:rPr>
      </w:pPr>
    </w:p>
    <w:p>
      <w:pPr>
        <w:ind w:left="720" w:right="99" w:hanging="319"/>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Product Innovation</w:t>
      </w:r>
      <w:r>
        <w:rPr>
          <w:rFonts w:ascii="Arial" w:cs="Arial" w:eastAsia="Arial" w:hAnsi="Arial"/>
          <w:sz w:val="17"/>
          <w:szCs w:val="17"/>
          <w:color w:val="auto"/>
        </w:rPr>
        <w:t>: We continue to develop and introduce innovative products to accelerate material 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to expand our markets. The continuous evolution and expansion of our product portfolio is critical to our sales growth, expanding market share, and overall success. Our broad product offering allows dealers and distributors to offer consumers a wide variety of innovative pool shapes, depths, and lengths. Specifically, our innovative fiberglass pool offering employs the most durable components, consisting of a carbon fiber, Kevlar, and ceramic fiberglass build. Our use of innovative technology and premium materials result in long-lasting products that not only require lower up-front costs, but also save homeowners time and money from continuous maintenance throughout the product lifecycle. We believe that new products will enhance our ability to compete with traditional materials at a variety of price points, and we expect to continue to devote significant resources to developing innovative new products. The volume of our products sold during a given period will depend in part on our successfully introducing new products that generate additional demand, as well as the extent to which new products may impact our sales of existing products.</w:t>
      </w:r>
    </w:p>
    <w:p>
      <w:pPr>
        <w:spacing w:after="0" w:line="178" w:lineRule="exact"/>
        <w:rPr>
          <w:rFonts w:ascii="Arial" w:cs="Arial" w:eastAsia="Arial" w:hAnsi="Arial"/>
          <w:sz w:val="17"/>
          <w:szCs w:val="17"/>
          <w:color w:val="auto"/>
        </w:rPr>
      </w:pPr>
    </w:p>
    <w:p>
      <w:pPr>
        <w:ind w:left="720" w:right="119" w:hanging="319"/>
        <w:spacing w:after="0" w:line="301"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Economic conditions</w:t>
      </w:r>
      <w:r>
        <w:rPr>
          <w:rFonts w:ascii="Arial" w:cs="Arial" w:eastAsia="Arial" w:hAnsi="Arial"/>
          <w:sz w:val="16"/>
          <w:szCs w:val="16"/>
          <w:color w:val="auto"/>
        </w:rPr>
        <w:t>: Demand for our products is affected by a number of economic factors impacting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consumers. Customers typically pay for their new pools from assets on hand or from borrowing. A frequent source of borrowing is home equity financing, and accordingly, the level of equity in homes will affect consumers’ ability to obtain a home equity line of credit and to engage in backyard renovations that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57" w:lineRule="auto"/>
        <w:rPr>
          <w:sz w:val="20"/>
          <w:szCs w:val="20"/>
          <w:color w:val="auto"/>
        </w:rPr>
      </w:pPr>
      <w:r>
        <w:rPr>
          <w:rFonts w:ascii="Arial" w:cs="Arial" w:eastAsia="Arial" w:hAnsi="Arial"/>
          <w:sz w:val="18"/>
          <w:szCs w:val="18"/>
          <w:color w:val="auto"/>
        </w:rPr>
        <w:t>would result in purchases of our products. Demand for our products is also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88" w:lineRule="exact"/>
        <w:rPr>
          <w:sz w:val="20"/>
          <w:szCs w:val="20"/>
          <w:color w:val="auto"/>
        </w:rPr>
      </w:pPr>
    </w:p>
    <w:p>
      <w:pPr>
        <w:ind w:left="720" w:right="139" w:hanging="319"/>
        <w:spacing w:after="0" w:line="271"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Seasonality and weather: </w:t>
      </w:r>
      <w:r>
        <w:rPr>
          <w:rFonts w:ascii="Arial" w:cs="Arial" w:eastAsia="Arial" w:hAnsi="Arial"/>
          <w:sz w:val="17"/>
          <w:szCs w:val="17"/>
          <w:color w:val="auto"/>
        </w:rPr>
        <w:t>Although we generally have demand for our products throughout the year,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is seasonal, and weather is one of the principal external factors affecting the business. In general, net sales and net income are highest during spring and summer, representing the peak months of swimming pool use, pool installation and remodeling and repair activities. Severe weather also may play a role in affecting sales growth, as particularly rainy or cold years tend to slow the volume of sales, including as a result of complicating conditions for pool installations. Catastrophic events, such as hurricanes, tornadoes, and earthquakes can cause interruptions to our operations. These scenarios are partially mitigated by our geographic diversity, both across the United States and through international markets.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In general, our products are priced to be competitive in the in-ground swimming pool market, including the prices for concrete pools, and to keep in line with changes in our input costs.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and Availability of Materials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Raw material costs, including costs of PVC, galvanized steel, fiberglass, aluminum, carbon fiber, Kevlar fiber, various resins, gelcoat, polypropylene fabric, ceramics, and roving, represent a majority of our cost of sales. Our supply agreements with key suppliers are typically negotiated on an annual basis. The cost of the raw materials used in our manufacturing processes is subject to volatility and has been affected by changes in supply and demand. We have minimal fixed-price contracts with our major vendors. We have not entered into hedges of our raw material costs at this time, but we may choose to enter into such hedges in the future.</w:t>
      </w:r>
    </w:p>
    <w:p>
      <w:pPr>
        <w:spacing w:after="0" w:line="192"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color w:val="auto"/>
        </w:rPr>
        <w:t>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and Partnerships</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On October 22, 2020, we acquired GLI, which specializes in manufacturing custom vinyl pool liners and safety covers. The acquisition expanded our liner and safety cover product offerings.</w:t>
      </w:r>
    </w:p>
    <w:p>
      <w:pPr>
        <w:spacing w:after="0" w:line="170"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On November 24, 2021, we acquired Radiant Pools, a manufacturer of vinyl-lined and aluminum-walled swimming pools. The acquisition expands our product portfolio into vinyl-lined and aluminum-walled swimming pools.</w:t>
      </w:r>
    </w:p>
    <w:p>
      <w:pPr>
        <w:spacing w:after="0" w:line="124" w:lineRule="exact"/>
        <w:rPr>
          <w:sz w:val="20"/>
          <w:szCs w:val="20"/>
          <w:color w:val="auto"/>
        </w:rPr>
      </w:pPr>
    </w:p>
    <w:p>
      <w:pPr>
        <w:jc w:val="both"/>
        <w:ind w:left="60" w:right="419" w:firstLine="648"/>
        <w:spacing w:after="0" w:line="311" w:lineRule="auto"/>
        <w:rPr>
          <w:sz w:val="20"/>
          <w:szCs w:val="20"/>
          <w:color w:val="auto"/>
        </w:rPr>
      </w:pPr>
      <w:r>
        <w:rPr>
          <w:rFonts w:ascii="Arial" w:cs="Arial" w:eastAsia="Arial" w:hAnsi="Arial"/>
          <w:sz w:val="16"/>
          <w:szCs w:val="16"/>
          <w:color w:val="auto"/>
        </w:rPr>
        <w:t>On November 8, 2022, we acquired certain fiberglass pool manufacturing assets in Seminole, Oklahoma, that qualified as a business combination. This acquisition will replace lost fiberglass manufacturing capacity in Odessa, TX because of a plant fire and place our production closer to strong consumer markets in the region.</w:t>
      </w:r>
    </w:p>
    <w:p>
      <w:pPr>
        <w:spacing w:after="0" w:line="14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consolidated financial statements include the results of operations of these acquisitions since their respective acquisition dates. The total purchase consideration was allocated to the assets acquired and liabilities assumed at their estimated fair values as of the date of acquisition, as determined by management. The excess of the purchase price over the amounts allocated to assets acquired and liabilities assumed has been recorded as goodwill.</w:t>
      </w:r>
    </w:p>
    <w:p>
      <w:pPr>
        <w:spacing w:after="0" w:line="17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On October 30, 2020, we entered into a long-term strategic partnership with and acquired a 28% equity interest in Premier Pools &amp; Spas, a pool builder focusing on in-ground swimming pools. In August 2021, we sold a portion of our interest in Premier Pools &amp; Spas, retaining a post-sale ownership interest of 20.1%. On December 17, 2021, Premier Pools &amp; Spas issued additional non-voting common units. Our ownership interest in Premier Pools &amp; Spas after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issuance of additional non-voting common units is 18.2% while our voting interest remains 20.1%. The purpose of this investment in Premier Pools &amp; Spas is to help expand our sales and distribution channels. Products are sold directly to the franchisees, third parties independent of Premier Pools and Spas, and are therefore not considered related party transactions. Our investment in Premier Pools &amp; Spas is reflected as an equity method investment on our consolidated balance sheet as of December 31, 2022, and our proportionate share of earnings or losses of Premier Pools &amp; Spas is recognized in earnings (losses) from equity method investment in our consolidated statement of operations on a three-month lag.</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Mix</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seek to continue to enhance our gross margins by improving the mix of products we sell, reducing fixed costs per unit, improving efficiency across our operations, including by investing in, and expanding, our digitally-enabled lead sourcing capabilities, expanding our specialized training opportunities such as “Latham University,” and sales support initiatives such as localized digital marketing spend, co-branding, enhanced product literature, in-store display samples, and social media initiatives.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9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87"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See “— Critical Accounting Policies and Estimates — Revenue Recognition.”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87"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 (x) loss on extinguishment of debt, (xi) underwriting fees related to offering of common stock, (xii) the Odessa fire and other such unusual events, (xiii) IPO costs and (xiv) other. We believe excluding these items allows for better comparison of our financial results across reporting periods.</w:t>
      </w:r>
    </w:p>
    <w:p>
      <w:pPr>
        <w:spacing w:after="0" w:line="185" w:lineRule="exact"/>
        <w:rPr>
          <w:sz w:val="20"/>
          <w:szCs w:val="20"/>
          <w:color w:val="auto"/>
        </w:rPr>
      </w:pPr>
    </w:p>
    <w:p>
      <w:pPr>
        <w:ind w:left="60" w:right="499" w:firstLine="648"/>
        <w:spacing w:after="0" w:line="342" w:lineRule="auto"/>
        <w:rPr>
          <w:sz w:val="20"/>
          <w:szCs w:val="20"/>
          <w:color w:val="auto"/>
        </w:rPr>
      </w:pPr>
      <w:r>
        <w:rPr>
          <w:rFonts w:ascii="Arial" w:cs="Arial" w:eastAsia="Arial" w:hAnsi="Arial"/>
          <w:sz w:val="16"/>
          <w:szCs w:val="16"/>
          <w:color w:val="auto"/>
        </w:rPr>
        <w:t>We define Adjusted EBITDA margin as Adjusted EBITDA divided by net sales. Our definitions of Adjusted EBITDA and Adjusted EBITDA margin may not be comparable to similarly titled measures of other companies.</w:t>
      </w:r>
    </w:p>
    <w:p>
      <w:pPr>
        <w:spacing w:after="0" w:line="12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results of operations for the years ended December 31, 2022 and 2021:</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695,736</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630,456</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100.0 %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479,267</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216,469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204,162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620" w:type="dxa"/>
            <w:vAlign w:val="bottom"/>
          </w:tcPr>
          <w:p>
            <w:pPr>
              <w:ind w:left="20"/>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administrative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146,842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217,775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(70,933)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Underwriting fees related to</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of common stock</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22,566</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w w:val="99"/>
              </w:rPr>
              <w:t>Loss on extinguishment of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3,465</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0.5 %</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87"/>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3,465</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(4,860)</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2620" w:type="dxa"/>
            <w:vAlign w:val="bottom"/>
          </w:tcPr>
          <w:p>
            <w:pPr>
              <w:ind w:left="120"/>
              <w:spacing w:after="0" w:line="182" w:lineRule="exact"/>
              <w:rPr>
                <w:sz w:val="20"/>
                <w:szCs w:val="20"/>
                <w:color w:val="auto"/>
              </w:rPr>
            </w:pPr>
            <w:r>
              <w:rPr>
                <w:rFonts w:ascii="Arial" w:cs="Arial" w:eastAsia="Arial" w:hAnsi="Arial"/>
                <w:sz w:val="18"/>
                <w:szCs w:val="18"/>
                <w:color w:val="auto"/>
              </w:rPr>
              <w:t>Total other expense (income),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20,519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19,573</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Earnings from equity method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2620" w:type="dxa"/>
            <w:vAlign w:val="bottom"/>
          </w:tcPr>
          <w:p>
            <w:pPr>
              <w:ind w:left="220"/>
              <w:spacing w:after="0" w:line="182" w:lineRule="exact"/>
              <w:rPr>
                <w:sz w:val="20"/>
                <w:szCs w:val="20"/>
                <w:color w:val="auto"/>
              </w:rPr>
            </w:pPr>
            <w:r>
              <w:rPr>
                <w:rFonts w:ascii="Arial" w:cs="Arial" w:eastAsia="Arial" w:hAnsi="Arial"/>
                <w:sz w:val="18"/>
                <w:szCs w:val="18"/>
                <w:color w:val="auto"/>
              </w:rPr>
              <w:t>Income (loss) before income</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2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13,721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(53,530)</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67,251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56,654</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143,252</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139,819</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3,433</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Net sales was $695.7 million for the year ended December 31, 2022, compared to $630.5 million for the year ended December 31, 2021. The $65.2 million, or 10.4%, increase in net sales was driven by a $109.6 million increase from pricing, partially offset by a $44.4 million decrease from volume. The $109.6 million price increase reflects the impact of pricing actions to address inflation. The $44.4 million volume decrease was largely in packaged pools, driven by continued destocking of inventory in the wholesale distribution channel. The increase in total net sales across our product lines was $17.0 million for in-ground swimming pools, $26.3 million for covers and $21.9 million for liners.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Cost of sales was $479.3 million for the year ended December 31, 2022, compared to $426.3 million for the year ended December 31, 2021, and increased as a percentage of net sales by 1.3%. Gross margin decreased by 1.3% to 31.1% for the year ended December 31, 2022, compared to 32.4% for the year ended December 31, 2021. The $53.0 million, or 12.4%, increase in cost of sales was primarily the result of cost inflation, partially offset by a $4.9 million decrease in non-cash stock-based compensation expense. The 1.3% decrease in gross margin was primarily driven by the impact of inflation and negative fixed cost leverage. Negative fixed cost leverage was driven by volume declines, primarily in packaged pools, driven by continued destocking of inventory in the wholesale distribution channel.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Selling, general, and administrative expense was $146.8 million for the year ended December 31, 2022, compared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$217.8 million for the year ended December 31, 2021, and decreased as a percentage of net sales by 13.4%.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$71.0 million, or 32.6% decrease in selling, general, and administrative expense was primarily driven by a $73.2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decrease in non-cash stock-based compensation expense.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Amortization was $28.2 million for the year ended December 31, 2022, compared to $22.6 million for the year ended December 31, 2021. The $5.6 million, or 24.9% increase in amortization was driven by the increase in definite-lived intangible assets resulting from our acquisition of Radiant in November 2021.</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Interest expense was $15.8 million for the year ended December 31, 2022, compared to $24.4 million for the year ended December 31, 2021. The $8.6 million, or 35.5% decrease in interest expense was primarily the result of lower amortization of deferred financing costs and debt discount and a lower average interest rate from the February 2022 debt refinancing, compared to the year ended December 31, 2021. In addition, interest expense for the year ended December 31, 2022 was partially offset by an unrealized gain of $3.0 million related to the change in fair value of our interest rate swap.</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Other expense (income), net was $1.3 million for the year ended December 31, 2022, compared to ($4.9) million for the year ended December 31, 2021. The $6.2 million increase in other expense (income), net was primarily driven by a non-recurring $4.8 million gain related to the partial sale of our equity method investment during the year ended December 31, 2021 and a $1.3 million unfavorable change in net foreign currency transaction gains and losses associated with our international subsidiaries.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Earnings from Equity Method Investments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Earnings from equity method investment of Premier Pools &amp; Spa was $4.2 million for the year ended December 31, 2022, compared to $2.2 million for the year ended December 31, 2021, primarily because of the financial performance of Premier Pools &amp; Spa, partially offset by our reduced ownership interest during the year ended December 31, 2022 as compared to the year ended December 31, 2021.</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Income tax expense was $19.4 million for the year ended December 31, 2022, compared to $8.8 million for</w:t>
      </w:r>
    </w:p>
    <w:p>
      <w:pPr>
        <w:spacing w:after="0" w:line="35" w:lineRule="exact"/>
        <w:rPr>
          <w:sz w:val="20"/>
          <w:szCs w:val="20"/>
          <w:color w:val="auto"/>
        </w:rPr>
      </w:pPr>
    </w:p>
    <w:p>
      <w:pPr>
        <w:ind w:left="60" w:right="119"/>
        <w:spacing w:after="0" w:line="252" w:lineRule="auto"/>
        <w:rPr>
          <w:sz w:val="20"/>
          <w:szCs w:val="20"/>
          <w:color w:val="auto"/>
        </w:rPr>
      </w:pPr>
      <w:r>
        <w:rPr>
          <w:rFonts w:ascii="Arial" w:cs="Arial" w:eastAsia="Arial" w:hAnsi="Arial"/>
          <w:sz w:val="18"/>
          <w:szCs w:val="18"/>
          <w:color w:val="auto"/>
        </w:rPr>
        <w:t>the year ended December 31, 2021. Our effective tax rate was 141.5% for the year ended December 31, 2022, compared to (16.5)% for the year ended December 31, 2021. The income tax expense of $19.4 million for the year ended December 31, 2022 was primarily because of a $9.2 million expense related to non-deductible stock compensation. For the year ended December 31, 2021, the effective tax rate differed from the statutory tax rate primarily because of nondeductible stock compensation of $25.7 million, partially offset by $12.7 million benefit related to the release of the valuation allowance on Canadian deferred tax assets.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Net loss was $5.7 million for the year ended December 31, 2022, compared to $62.3 million of net loss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year ended December 31, 2021. The $56.6 million, or 90.9% decrease in net loss was primarily driven by the factors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described above.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Loss Margin</w:t>
      </w:r>
    </w:p>
    <w:p>
      <w:pPr>
        <w:spacing w:after="0" w:line="225"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Net loss margin was 0.8% for the year ended December 31, 2022, compared to net loss margin of 9.9% for the year ended December 31, 2021. The 9.1% decrease in net loss margin was driven by a $56.6 million decrease in net loss and a $65.2 million increase in net sales, compared to the year ended December 31, 2021 because of the factors described above.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Adjusted EBITDA was $143.3 million for the year ended December 31, 2022, compared to $139.8 million for the year ended December 31, 2021. The $3.5 million, or 2.5% increase in Adjusted EBITDA was primarily because of the increase in net sales.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Adjusted EBITDA margin was 20.6% for the year ended December 31, 2022, compared to 22.2% for the year ended December 31, 2021. The 1.6% decrease in Adjusted EBITDA margin was primarily because of a $3.5 million increase in Adjusted EBITDA and an $65.2 million increase in net sales, compared to the year ended December 31, 2021, driven by the factors detailed above.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630,456</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403,389</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426,294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260,616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165,678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204,162</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142,773</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administrative expense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217,775</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85,527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132,248</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8"/>
                <w:szCs w:val="18"/>
                <w:color w:val="auto"/>
              </w:rPr>
              <w:t>(Loss) income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(36,179)</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39,899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(76,078)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24,433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2"/>
        </w:trPr>
        <w:tc>
          <w:tcPr>
            <w:tcW w:w="2480" w:type="dxa"/>
            <w:vAlign w:val="bottom"/>
          </w:tcPr>
          <w:p>
            <w:pPr>
              <w:ind w:left="100"/>
              <w:spacing w:after="0" w:line="182" w:lineRule="exact"/>
              <w:rPr>
                <w:sz w:val="20"/>
                <w:szCs w:val="20"/>
                <w:color w:val="auto"/>
              </w:rPr>
            </w:pPr>
            <w:r>
              <w:rPr>
                <w:rFonts w:ascii="Arial" w:cs="Arial" w:eastAsia="Arial" w:hAnsi="Arial"/>
                <w:sz w:val="18"/>
                <w:szCs w:val="18"/>
                <w:color w:val="auto"/>
                <w:w w:val="98"/>
              </w:rPr>
              <w:t>Total other expense (income),</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10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19,573</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from equity method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82"/>
        </w:trPr>
        <w:tc>
          <w:tcPr>
            <w:tcW w:w="2480" w:type="dxa"/>
            <w:vAlign w:val="bottom"/>
          </w:tcPr>
          <w:p>
            <w:pPr>
              <w:ind w:left="220"/>
              <w:spacing w:after="0" w:line="182" w:lineRule="exact"/>
              <w:rPr>
                <w:sz w:val="20"/>
                <w:szCs w:val="20"/>
                <w:color w:val="auto"/>
              </w:rPr>
            </w:pPr>
            <w:r>
              <w:rPr>
                <w:rFonts w:ascii="Arial" w:cs="Arial" w:eastAsia="Arial" w:hAnsi="Arial"/>
                <w:sz w:val="18"/>
                <w:szCs w:val="18"/>
                <w:color w:val="auto"/>
                <w:w w:val="96"/>
              </w:rPr>
              <w:t>(Loss) income before income</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20"/>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(53,530)</w:t>
            </w:r>
          </w:p>
        </w:tc>
        <w:tc>
          <w:tcPr>
            <w:tcW w:w="14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22,759</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(76,289)</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9"/>
        </w:trPr>
        <w:tc>
          <w:tcPr>
            <w:tcW w:w="2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(78,331)</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7"/>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139,819</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83,836</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55,983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discussion on comparison of the fiscal years ended December 31, 2021 and 2020, see the Results of Operations section disclosed in Part II, Item 7 “Management’s Discussion and Analysis of Financial Condition and Results of Operations” of our Annual Report on Form 10-K for the fiscal year ended December 31, 2021, which was filed with the SEC on March 10,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We track our non-GAAP financial measures to monitor and manage our underlying financial performance. The following discussion includes the presentation of Adjusted EBITDA and Adjusted EBITDA margin, which are non-GAAP financial measures that exclude the impact of certain costs, losses and gains that are required to be included in our profit and loss measures under GAAP. Although we believe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To address these limitations, we have reconciled Adjusted EBITDA to the applicable most comparable GAAP measure, net income (loss), throughout this Annual Report.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w:t>
      </w:r>
    </w:p>
    <w:p>
      <w:pPr>
        <w:spacing w:after="0" w:line="5" w:lineRule="exact"/>
        <w:rPr>
          <w:sz w:val="20"/>
          <w:szCs w:val="20"/>
          <w:color w:val="auto"/>
        </w:rPr>
      </w:pPr>
    </w:p>
    <w:p>
      <w:pPr>
        <w:ind w:left="320" w:hanging="270"/>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interest expense, (iii) income tax (benefit) expense, (iv) loss (gain) on sale and disposal of property and equipment,</w:t>
      </w:r>
    </w:p>
    <w:p>
      <w:pPr>
        <w:spacing w:after="0" w:line="20" w:lineRule="exact"/>
        <w:rPr>
          <w:rFonts w:ascii="Arial" w:cs="Arial" w:eastAsia="Arial" w:hAnsi="Arial"/>
          <w:sz w:val="17"/>
          <w:szCs w:val="17"/>
          <w:color w:val="auto"/>
        </w:rPr>
      </w:pPr>
    </w:p>
    <w:p>
      <w:pPr>
        <w:ind w:left="60" w:right="59" w:hanging="10"/>
        <w:spacing w:after="0" w:line="281"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restructuring charges, (vi) stock-based compensation expense, (vii) unrealized (gains) losses on foreign currency transactions, (viii) strategic initiative costs, (ix) acquisition and integration related costs, (x) loss on extinguishment of debt,</w:t>
      </w:r>
    </w:p>
    <w:p>
      <w:pPr>
        <w:spacing w:after="0" w:line="1" w:lineRule="exact"/>
        <w:rPr>
          <w:rFonts w:ascii="Arial" w:cs="Arial" w:eastAsia="Arial" w:hAnsi="Arial"/>
          <w:sz w:val="16"/>
          <w:szCs w:val="16"/>
          <w:color w:val="auto"/>
        </w:rPr>
      </w:pPr>
    </w:p>
    <w:p>
      <w:pPr>
        <w:ind w:left="60" w:right="259" w:hanging="10"/>
        <w:spacing w:after="0" w:line="260"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underwriting fees related to offering of common stock, (xii) the Odessa fire and other such unusual events, (xiii) IPO costs and (xiv) other.</w:t>
      </w:r>
    </w:p>
    <w:p>
      <w:pPr>
        <w:spacing w:after="0" w:line="18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6"/>
          <w:szCs w:val="16"/>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4"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 not reflect every expenditure, future requirements for capital expenditures or contractual commitments;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40" w:right="9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reflect non-cash stock-based compensation, which will remain a key element of our overall compensation package; and</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Management compensates for these limitations by primarily relying on our GAAP results, while using Adjusted EBITDA and Adjusted EBITDA margin as supplements to the corresponding GAAP financial measures.</w:t>
      </w:r>
    </w:p>
    <w:p>
      <w:pPr>
        <w:spacing w:after="0" w:line="146"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The following table provides a reconciliation of our net income (loss) to Adjusted EBITDA for the periods presented and the calculation of Adjusted EBITDA margin: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Arial" w:cs="Arial" w:eastAsia="Arial" w:hAnsi="Arial"/>
                <w:sz w:val="17"/>
                <w:szCs w:val="17"/>
                <w:color w:val="auto"/>
              </w:rPr>
              <w:t>Restructuring charges</w:t>
            </w:r>
            <w:r>
              <w:rPr>
                <w:rFonts w:ascii="Arial" w:cs="Arial" w:eastAsia="Arial" w:hAnsi="Arial"/>
                <w:sz w:val="25"/>
                <w:szCs w:val="25"/>
                <w:color w:val="auto"/>
                <w:vertAlign w:val="superscript"/>
              </w:rPr>
              <w:t>(a)</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380" w:type="dxa"/>
            <w:vAlign w:val="bottom"/>
          </w:tcPr>
          <w:p>
            <w:pPr>
              <w:ind w:left="1960"/>
              <w:spacing w:after="0" w:line="108" w:lineRule="exact"/>
              <w:rPr>
                <w:sz w:val="20"/>
                <w:szCs w:val="20"/>
                <w:color w:val="auto"/>
              </w:rPr>
            </w:pPr>
            <w:r>
              <w:rPr>
                <w:rFonts w:ascii="Arial" w:cs="Arial" w:eastAsia="Arial" w:hAnsi="Arial"/>
                <w:sz w:val="12"/>
                <w:szCs w:val="12"/>
                <w:color w:val="auto"/>
              </w:rPr>
              <w:t>(b)</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2,534</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Unrealized losses (gains) on foreign currency transactions</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Strategic initiative costs</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Arial" w:cs="Arial" w:eastAsia="Arial" w:hAnsi="Arial"/>
                <w:sz w:val="17"/>
                <w:szCs w:val="17"/>
                <w:color w:val="auto"/>
              </w:rPr>
              <w:t>Acquisition and integration related costs</w:t>
            </w:r>
            <w:r>
              <w:rPr>
                <w:rFonts w:ascii="Arial" w:cs="Arial" w:eastAsia="Arial" w:hAnsi="Arial"/>
                <w:sz w:val="25"/>
                <w:szCs w:val="25"/>
                <w:color w:val="auto"/>
                <w:vertAlign w:val="superscript"/>
              </w:rPr>
              <w:t>(d)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Arial" w:cs="Arial" w:eastAsia="Arial" w:hAnsi="Arial"/>
                <w:sz w:val="17"/>
                <w:szCs w:val="17"/>
                <w:color w:val="auto"/>
              </w:rPr>
              <w:t>Underwriting fees related to offering of common stock</w:t>
            </w:r>
            <w:r>
              <w:rPr>
                <w:rFonts w:ascii="Arial" w:cs="Arial" w:eastAsia="Arial" w:hAnsi="Arial"/>
                <w:sz w:val="25"/>
                <w:szCs w:val="25"/>
                <w:color w:val="auto"/>
                <w:vertAlign w:val="superscript"/>
              </w:rPr>
              <w:t>(f)</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Odessa fire</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Arial" w:cs="Arial" w:eastAsia="Arial" w:hAnsi="Arial"/>
                <w:sz w:val="17"/>
                <w:szCs w:val="17"/>
                <w:color w:val="auto"/>
              </w:rPr>
              <w:t>IPO costs</w:t>
            </w:r>
            <w:r>
              <w:rPr>
                <w:rFonts w:ascii="Arial" w:cs="Arial" w:eastAsia="Arial" w:hAnsi="Arial"/>
                <w:sz w:val="25"/>
                <w:szCs w:val="25"/>
                <w:color w:val="auto"/>
                <w:vertAlign w:val="superscript"/>
              </w:rPr>
              <w:t>(h)</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(i)</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gridSpan w:val="3"/>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143,252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139,819</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695,736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630,456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403,389</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(loss) income margin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right="21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costs related to a cost reduction plan announced in 2022 to optimize production and shift schedules, implement a workforce reduction, and to shut down our Bossier City, Louisiana facility. Also includes severance and other costs for our executive management changes.</w:t>
      </w:r>
    </w:p>
    <w:p>
      <w:pPr>
        <w:spacing w:after="0" w:line="183" w:lineRule="exact"/>
        <w:rPr>
          <w:rFonts w:ascii="Arial" w:cs="Arial" w:eastAsia="Arial" w:hAnsi="Arial"/>
          <w:sz w:val="18"/>
          <w:szCs w:val="18"/>
          <w:color w:val="auto"/>
        </w:rPr>
      </w:pPr>
    </w:p>
    <w:p>
      <w:pPr>
        <w:ind w:left="380" w:right="23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foreign currency transaction (gains) and losses associated with our international subsidiaries and changes in the fair value of the contingent consideration recorded in connection with the acquisition of Narellan, which was settled in September 2020.</w:t>
      </w:r>
    </w:p>
    <w:p>
      <w:pPr>
        <w:spacing w:after="0" w:line="183" w:lineRule="exact"/>
        <w:rPr>
          <w:rFonts w:ascii="Arial" w:cs="Arial" w:eastAsia="Arial" w:hAnsi="Arial"/>
          <w:sz w:val="18"/>
          <w:szCs w:val="18"/>
          <w:color w:val="auto"/>
        </w:rPr>
      </w:pPr>
    </w:p>
    <w:p>
      <w:pPr>
        <w:ind w:left="380" w:right="839" w:hanging="330"/>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expenses for our strategic initiatives, including our rebranding initiative and fees paid to external consultants.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39" w:hanging="330"/>
        <w:spacing w:after="0" w:line="308"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acquisition and integration costs primarily related to the acquisitions of GLI and Radiant, the equity investment in Premier Pools &amp; Spas, as well as other costs related to potential transactions.</w:t>
      </w:r>
    </w:p>
    <w:p>
      <w:pPr>
        <w:spacing w:after="0" w:line="146" w:lineRule="exact"/>
        <w:rPr>
          <w:rFonts w:ascii="Arial" w:cs="Arial" w:eastAsia="Arial" w:hAnsi="Arial"/>
          <w:sz w:val="17"/>
          <w:szCs w:val="17"/>
          <w:color w:val="auto"/>
        </w:rPr>
      </w:pPr>
    </w:p>
    <w:p>
      <w:pPr>
        <w:ind w:left="380" w:hanging="330"/>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loss on extinguishment of debt in connection with our debt refinancing on February 23, 2022.</w:t>
      </w:r>
    </w:p>
    <w:p>
      <w:pPr>
        <w:spacing w:after="0" w:line="236" w:lineRule="exact"/>
        <w:rPr>
          <w:rFonts w:ascii="Arial" w:cs="Arial" w:eastAsia="Arial" w:hAnsi="Arial"/>
          <w:sz w:val="17"/>
          <w:szCs w:val="17"/>
          <w:color w:val="auto"/>
        </w:rPr>
      </w:pPr>
    </w:p>
    <w:p>
      <w:pPr>
        <w:ind w:left="380" w:hanging="330"/>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underwriting fees related to our offering of common stock that was completed in January 2022.</w:t>
      </w:r>
    </w:p>
    <w:p>
      <w:pPr>
        <w:spacing w:after="0" w:line="236" w:lineRule="exact"/>
        <w:rPr>
          <w:rFonts w:ascii="Arial" w:cs="Arial" w:eastAsia="Arial" w:hAnsi="Arial"/>
          <w:sz w:val="17"/>
          <w:szCs w:val="17"/>
          <w:color w:val="auto"/>
        </w:rPr>
      </w:pP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costs incurred and insurance recoveries related to a production facility fire in Odessa, Texas.</w:t>
      </w:r>
    </w:p>
    <w:p>
      <w:pPr>
        <w:spacing w:after="0" w:line="225" w:lineRule="exact"/>
        <w:rPr>
          <w:rFonts w:ascii="Arial" w:cs="Arial" w:eastAsia="Arial" w:hAnsi="Arial"/>
          <w:sz w:val="18"/>
          <w:szCs w:val="18"/>
          <w:color w:val="auto"/>
        </w:rPr>
      </w:pPr>
    </w:p>
    <w:p>
      <w:pPr>
        <w:ind w:left="380" w:right="379" w:hanging="330"/>
        <w:spacing w:after="0" w:line="263"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expenses are primarily composed of legal, accounting, and professional fees incurred in connection with our initial public offering that are not capitalizable, and that are included within selling, general, and administrative expense.</w:t>
      </w:r>
    </w:p>
    <w:p>
      <w:pPr>
        <w:spacing w:after="0" w:line="183" w:lineRule="exact"/>
        <w:rPr>
          <w:rFonts w:ascii="Arial" w:cs="Arial" w:eastAsia="Arial" w:hAnsi="Arial"/>
          <w:sz w:val="18"/>
          <w:szCs w:val="18"/>
          <w:color w:val="auto"/>
        </w:rPr>
      </w:pPr>
    </w:p>
    <w:p>
      <w:pPr>
        <w:ind w:left="380" w:right="159" w:hanging="330"/>
        <w:spacing w:after="0" w:line="296"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costs consist of other discrete items as determined by management, primarily including: (i) fees paid to external advisors for various matters, (ii) the cost incurred and insurance proceeds related to our production facility fire in Picton, Australia in 2020, (iii) non-cash adjustments to record the step-up in the fair value of inventory related to the acquisitions of GLI and Radiant, which were amortized through cost of sales in the consolidated statements of operations, (iv) gain on sale of portion of equity method investment, and (v)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Our primary sources of liquidity are net cash provided by operating activities and availability under our New Revolving Credit Facility.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 As of December 31, 2022, we had $32.6 million of cash, $312.9 million of outstanding borrowings, and an additional $75.0 million of availability under our New Revolving Credit Facility.</w:t>
      </w:r>
    </w:p>
    <w:p>
      <w:pPr>
        <w:spacing w:after="0" w:line="177"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78"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We believe our existing cash, cash generated from operations and availability under our New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On February 23, 2022, Latham Pool Products, Inc. (“Latham Pool Products”), our wholly owned subsidiary, entered into the New Credit Agreement with Barclays Bank PLC, which provides a senior secured multicurrency revolving line of credit (the “New Revolving Credit Facility”) in an initial principal amount of $75.0 million and a U.S. Dollar senior secured term loan (the “New Term Loan”) in an initial principal amount of $325.0 million. On the closing date, proceeds under the agreement were used to repay and replace $294.0 million under, and terminate, the Credit Agreement (as defined below) and for general corporate purposes.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Revolving Credit Facility</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The New Revolving Credit Facility is not subject to amortization.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Term Loan</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New Term Loan matures on February 23, 2029. Loans outstanding under the New Term Loan bear interest, at the borrower’s option, at a rate per annum based on Term SOFR (as defined in the New Credit Agreement), plus a margin ranging from 3.75% to 4.00%, depending on the First Lien Net Leverage Ratio (as defined in the New Credit Agreement, the “First Lien Net Leverage Ratio”), or based on the Base Rate (as defined in the New Credit Agreement), plus a margin ranging from 2.75% to 3.00%, depending on the First Lien Net Leverage Ratio. Loans under the New Term Loan are subject to scheduled quarterly amortization payments equal to 0.25% of the initial principal amount of the New Term Loan.</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Prior Revolving Credit Facility</w:t>
      </w:r>
    </w:p>
    <w:p>
      <w:pPr>
        <w:spacing w:after="0" w:line="22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On December 18, 2018, Latham Pool Products entered into an agreement (the “Credit Agreement”) with Nomura Corporate Funding Americas, LLC (“Nomura”) that included a revolving line of credit (the “Revolver”) and letters of credit (“Letters of Credit” or collectively with the Revolver, the “Prior Revolving Credit Facility”), as well as the Prior Term Loan (as described and defined below). The Prior Revolving Credit Facility was utilized to finance ongoing general corporate and working capital needs with the Revolver of up to $30.0 million. The Prior Revolving Credit Facility was terminated in connection with the debt refinancing on February 23, 2022.</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Prior Term Loan</w:t>
      </w:r>
    </w:p>
    <w:p>
      <w:pPr>
        <w:spacing w:after="0" w:line="22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“Prior Term Loan”). The Prior Term Loan was amended on May 29, 2019, to provide additional borrowings of $23.0 million, which was accounted for as a modification to the Prior Term Loan, to fund our acquisition of Narellan (the “First Amendment”). On October 14, 2020, we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we amended our Term Loan to revise the applicable reporting requirements (the “Fourth Amendment”). On November 24, 2021, we amended the Prior Term Loan to provide additional borrowings of $50 million (the “Fifth Amendment”). The proceeds from this incremental term loan were used to finance the Radiant Acquisition in part. The Prior Term Loan, collectively with the First Amendment, Second Amendment, Third Amendment, the Fourth Amendment, and the Fifth Amendment, is referred to as the “Amended Prior Term Loan.” As of December 31, 2021, we were in compliance with all covenants under the Prior Revolving Credit Facility and the Amended Prior Term Loan.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Amended Prior Term Loan was terminated in connection with the debt refinancing on February 23, 2022.</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(108,205)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During the year ended December 31, 2022, operating activities provided $32.3 million of cash. Net income (loss), after adjustments for non-cash items, provided cash of $105.9 million. Cash provided by operating activities was further driven by changes in our operating assets and liabilities, which used $73.6 million. Net cash used in changes in our operating assets and liabilities for the year ended December 31, 2022 consisted primarily of a $57.0 million increase in inventories, a $0.5 million increase in other assets, a $19.4 million decrease in accrued expenses and other current liabilities, and a $12.4 million decrease in accounts payable, partially offset by a $9.0 million decrease in trade receivables, a $4.7 million decrease in prepaid expenses and other current assets, a $1.7 million decrease in income tax receivable, and a $0.2 million increase in other long-term liabilities. The change in trade receivables was primarily driven by the timing of net sales, and the increase in inventories was primarily driven by a business decision to carry more inventory, as well as higher costs. The changes in accrued expenses and other current liabilities, and accounts payable were primarily because of volume of purchases and timing of payments.</w:t>
      </w:r>
    </w:p>
    <w:p>
      <w:pPr>
        <w:spacing w:after="0" w:line="18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During the year ended December 31, 2021, operating activities provided $33.7 million of cash. Net income (loss), after adjustments for non-cash items, provided cash of $88.5 million. Cash provided by operating activities was further driven by changes in our operating assets and liabilities, which used $54.8 million. Net cash used in changes in our operating assets and liabilities for the year ended December 31, 2021 consisted primarily of a $26.0 million increase in trade receivables, a $39.7 million increase in inventories, a $4.5 million increase in prepaid expenses and other current assets, and a $1.2 million decrease in other long-term liabilities, partially offset by a $10.7 million increase in accounts payable, a $4.7 million increase in accrued expenses and other current liabilities, a $0.8 million decrease in other assets, and a $0.3 million decrease in income tax receivable. The change in trade receivables was primarily driven by the timing of and increase in net sales, and the increase in inventories was primarily driven by increased production and cost inflation. The changes in accrued expenses and other current liabilities, and accounts payable were primarily because of volume of purchases and timing of payments.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During the year ended December 31, 2022, investing activities used $45.0 million of cash, primarily consisting of the purchase of property and equipment for $39.7 million and acquisitions of businesses of $5.4 million. The purchase of property and equipment was primarily to expand capacity for production, especially for fiberglass pools.</w:t>
      </w:r>
    </w:p>
    <w:p>
      <w:pPr>
        <w:spacing w:after="0" w:line="149"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During the year ended December 31, 2021, investing activities used $108.2 million of cash, primarily consisting of the acquisition of Radiant of $90.5 million, and the purchase of property and equipment for $25.0 million, partially offset by proceeds from the sale of equity method investment of $6.8 million and return of equity method investment of $0.4 million. The purchase of property and equipment was primarily to expand capacity for inventory production in order to meet increasing customer demand.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During the year ended December 31, 2022, financing activities provided $3.8 million of cash, primarily consisting of proceeds from long-term debt borrowings in connection with the debt refinancing of $320.1 million, proceeds from the sale of common stock of $257.7 million and borrowings on revolving credit facilities of $25.0 million, partially offset by repayments on long-term debt borrowings of $286.5 million, the repurchase and retirement of common stock of $280.7 million, repayments on revolving credit facility borrowings of $25.0 million, and deferred financing fees paid of $6.9 million.</w:t>
      </w:r>
    </w:p>
    <w:p>
      <w:pPr>
        <w:spacing w:after="0" w:line="192" w:lineRule="exact"/>
        <w:rPr>
          <w:sz w:val="20"/>
          <w:szCs w:val="20"/>
          <w:color w:val="auto"/>
        </w:rPr>
      </w:pPr>
    </w:p>
    <w:p>
      <w:pPr>
        <w:ind w:left="60" w:right="239" w:firstLine="693"/>
        <w:spacing w:after="0" w:line="255" w:lineRule="auto"/>
        <w:rPr>
          <w:sz w:val="20"/>
          <w:szCs w:val="20"/>
          <w:color w:val="auto"/>
        </w:rPr>
      </w:pPr>
      <w:r>
        <w:rPr>
          <w:rFonts w:ascii="Arial" w:cs="Arial" w:eastAsia="Arial" w:hAnsi="Arial"/>
          <w:sz w:val="18"/>
          <w:szCs w:val="18"/>
          <w:color w:val="auto"/>
        </w:rPr>
        <w:t>During the year ended December 31, 2021, financing activities provided $60.0 million of cash, primarily consisting of proceeds from our IPO, net of underwriting discounts, commissions, and offering costs of $399.3 million, proceeds from borrowings on the Amended Prior Term Loan of $222.8 million and borrowings on the Prior Revolving Credit Facility of $16.0 million, partially offset by the repurchase of common stock of $281.6 million, payments on long-term debt borrowings of $169.1 million, dividends to Class A unitholders of $110.0 million, and payments on Revolving Credit Facility borrowings of $16.0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For discussion on operating, investing, and financing activities of the fiscal year ended December 31, 2020, see the Liquidity and Capital Resources section disclosed in Part II, Item 7 “Management’s Discussion and Analysis of Financial Condition and Results of Operations” of our Annual Report on Form 10-K for the fiscal year ended December 31, 2021, which was filed with the SEC on March 10, 2022.</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0" w:right="439" w:firstLine="648"/>
        <w:spacing w:after="0" w:line="301" w:lineRule="auto"/>
        <w:rPr>
          <w:sz w:val="20"/>
          <w:szCs w:val="20"/>
          <w:color w:val="auto"/>
        </w:rPr>
      </w:pPr>
      <w:r>
        <w:rPr>
          <w:rFonts w:ascii="Arial" w:cs="Arial" w:eastAsia="Arial" w:hAnsi="Arial"/>
          <w:sz w:val="16"/>
          <w:szCs w:val="16"/>
          <w:color w:val="auto"/>
        </w:rPr>
        <w:t>We experience inflation and deflation related to our purchase of certain products. This price volatility could potentially have a material impact on our financial condition and/or our results of operations. In order to mitigate price volatility, we monitor price fluctuations and may adjust our selling prices accordingly, however, our ability to recover higher costs through increased pricing may be limited by the competitive environment in which we operate.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largest contractual obligations as of December 31, 2022 consisted of principal payments related to our long-term indebtedness that are included in our consolidated balance sheet and the related periodic interest payments, and non-cancelable operating leases. For a description of our contractual obligations and commitments, see Notes 9 “Long-Term Debt” and 13 “Leases” to our Consolidated Financial Statements included elsewhere in this Annual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These estimates are based on historical results, trends, and other assumptions we believe to be reasonable. We evaluate these estimates on an ongoing basis. Actual results may differ from estimates.</w:t>
      </w:r>
    </w:p>
    <w:p>
      <w:pPr>
        <w:spacing w:after="0" w:line="192"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Our significant accounting policies are presented in Note 2 of our consolidated financial statements. We believe that the following critical accounting policies affect the most significant estimates and management judgments used in preparation of the consolidated financial statements.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With the exception of our extended service warranties and our custom product contracts, we recognize our revenue at a point in time when control of the promised goods is transferred to our customers, and in an amount that reflects the consideration we expect to be entitled to in exchange for those goods. Control of the goods is considered to have been transferred upon shipping or upon arrival at the customer’s destination, depending on the terms of the purchase order. Revenue that is derived from our extended service warranties, which are separately priced and sold, is recognized over the term of the contract.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 Each product shipped is considered to be one performance obligation. For each product shipped, the transaction price by product is specified in the purchase order.</w:t>
      </w:r>
    </w:p>
    <w:p>
      <w:pPr>
        <w:spacing w:after="0" w:line="185" w:lineRule="exact"/>
        <w:rPr>
          <w:sz w:val="20"/>
          <w:szCs w:val="20"/>
          <w:color w:val="auto"/>
        </w:rPr>
      </w:pPr>
    </w:p>
    <w:p>
      <w:pPr>
        <w:jc w:val="both"/>
        <w:ind w:left="60" w:right="239" w:firstLine="648"/>
        <w:spacing w:after="0" w:line="311" w:lineRule="auto"/>
        <w:rPr>
          <w:sz w:val="20"/>
          <w:szCs w:val="20"/>
          <w:color w:val="auto"/>
        </w:rPr>
      </w:pPr>
      <w:r>
        <w:rPr>
          <w:rFonts w:ascii="Arial" w:cs="Arial" w:eastAsia="Arial" w:hAnsi="Arial"/>
          <w:sz w:val="16"/>
          <w:szCs w:val="16"/>
          <w:color w:val="auto"/>
        </w:rPr>
        <w:t>We recognize revenue on the transaction price less any estimated rebates, returns, allowances, cash discounts, or other sales incentives. Customer rebates, returns, allowances, cash discounts, and other sales incentives are estimated by applying the portfolio approach using the most-likely-amount method and are recorded as a reduction to revenue.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Customer Rebates and Cash Discounts</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offer rebates to our customers based on factors such as the total amount of the customer’s purchase and expected sales for a particular customer during the year. Rebates are estimated by applying the portfolio approach using the most-likely-amount method and are deducted from revenue at the time of sale. Estimates are updated each reporting period and are allocated accordingly to the performance obligations of the contract (the individual products).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account for business combinations that are deemed to be businesses under the acquisition method of accounting. Application of this method of accounting requires that the identifiable assets acquired (including identifiable intangible assets) and liabilities assumed generally be measured and recognized at fair value as of the acquisition date. Any contingent assets acquired and contingent liabilities assumed are also recognized at fair value if we can reasonably estimate fair value during the measurement period. We remeasure any contingent liabilities at fair value in each subsequent reporting period. The excess of the purchase price over the fair value of net assets acquired is recorded as goodwill. Determining the fair value of assets acquired and liabilities assumed requires management’s judgment, based on available information at the time of acquisition and subsequently obtained during a measurement period up to one year following the date of acquisition, relating to events or circumstances that existed at the acquisition date. Management’s judgment relies upon estimates and assumptions related to future cash flows, discount rates, useful lives of assets, market conditions, and other items. The fair value of intangible assets other than goodwill acquired in a business combination are estimated in accordance with the policy described below.</w:t>
      </w:r>
    </w:p>
    <w:p>
      <w:pPr>
        <w:spacing w:after="0" w:line="1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fair value of intangible assets other than goodwill acquired in a business combination is recorded at fair value at the date of acquisition. Management values dealer relationships and franchise relationships using the multi-period excess earnings method. Under this method, the value of an intangible asset is equal to the present value of the after-tax cash flows attributable solely to the intangible asset, after making adjustments for the required return on and of the other associated assets. We value trade names, trademarks, and proprietary pool designs using the relief from royalty method. The relief-from-royalty method determines the present value of the economic royalty savings associated with the ownership or possession of the trade name, trademark, or proprietary pool design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trademark, or proprietary pool design.</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We evaluate goodwill for impairment at least annually, or more frequently when events or changes in circumstances indicate that the carrying value may not be recoverable. We have selected the first day of the fourth fiscal quarter to perform our annual goodwill impairment testing.</w:t>
      </w:r>
    </w:p>
    <w:p>
      <w:pPr>
        <w:spacing w:after="0" w:line="184"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66"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impairment loss by comparing the fair value of the reporting unit less the carrying value, including goodwill. The goodwill impairment is limited to the carrying value of the goodwill.</w:t>
      </w:r>
    </w:p>
    <w:p>
      <w:pPr>
        <w:spacing w:after="0" w:line="170" w:lineRule="exact"/>
        <w:rPr>
          <w:sz w:val="20"/>
          <w:szCs w:val="20"/>
          <w:color w:val="auto"/>
        </w:rPr>
      </w:pPr>
    </w:p>
    <w:p>
      <w:pPr>
        <w:ind w:left="60" w:right="559" w:firstLine="648"/>
        <w:spacing w:after="0" w:line="259" w:lineRule="auto"/>
        <w:rPr>
          <w:sz w:val="20"/>
          <w:szCs w:val="20"/>
          <w:color w:val="auto"/>
        </w:rPr>
      </w:pPr>
      <w:r>
        <w:rPr>
          <w:rFonts w:ascii="Arial" w:cs="Arial" w:eastAsia="Arial" w:hAnsi="Arial"/>
          <w:sz w:val="18"/>
          <w:szCs w:val="18"/>
          <w:color w:val="auto"/>
        </w:rPr>
        <w:t>Based on the results of the qualitative assessments performed for our one reporting unit, we determined that goodwill was not impaired at October 2, 2022 or October 3, 2021. However, if factors exist that could indicate an impairment in the future, including a sustained decrease in our stock price, we may be required to record impairment charges in future periods.</w:t>
      </w:r>
    </w:p>
    <w:p>
      <w:pPr>
        <w:spacing w:after="0" w:line="18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qualitative factors we assessed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Stock-based compensation is measured and recognized based on the grant date fair value of the awards. The fair value of our common stock is determined based on the quoted market price of our common stock for purposes of computing stock-based compensation expense. For stock options, we use a Black-Scholes model for estimating the grant date fair value. The Black-Scholes pricing model requires critical assumptions including risk-free rate, volatility, expected term and expected dividend yield. The expected term is computed using the simplified method. We use the simplified method to calculate expected term of the stock options since we do not have sufficient historical exercise data to provide a reasonable basis upon which to estimate expected term. The risk-free interest rate is based on the yield available on U.S. Treasury zero-coupon issues similar in duration to the expected term of the stock-based award. We consider the historical volatility of our stock price, as well as implied volatility. We utilized a dividend yield of zero, as we have no history or plan of declaring dividends on our common stock. The assumptions underlying these valuations represented our best estimate, which involved inherent uncertainties and the application of judgment. As a result, if we had used significantly different assumptions or estimates, the fair value of our stock-based compensation expense could have been materially different.</w:t>
      </w:r>
    </w:p>
    <w:p>
      <w:pPr>
        <w:spacing w:after="0" w:line="168" w:lineRule="exact"/>
        <w:rPr>
          <w:sz w:val="20"/>
          <w:szCs w:val="20"/>
          <w:color w:val="auto"/>
        </w:rPr>
      </w:pPr>
    </w:p>
    <w:p>
      <w:pPr>
        <w:ind w:left="60" w:right="459" w:firstLine="648"/>
        <w:spacing w:after="0" w:line="259" w:lineRule="auto"/>
        <w:rPr>
          <w:sz w:val="20"/>
          <w:szCs w:val="20"/>
          <w:color w:val="auto"/>
        </w:rPr>
      </w:pPr>
      <w:r>
        <w:rPr>
          <w:rFonts w:ascii="Arial" w:cs="Arial" w:eastAsia="Arial" w:hAnsi="Arial"/>
          <w:sz w:val="18"/>
          <w:szCs w:val="18"/>
          <w:color w:val="auto"/>
        </w:rPr>
        <w:t>For stock options, restricted stock awards, and restricted stock units, stock-based compensation is recognized using a graded vesting method over the requisite service period in which employees earn the awards. We account for forfeitures of stock-based awards as they occur rather than applying an estimated forfeiture rate to stock-based compensation expense.</w:t>
      </w:r>
    </w:p>
    <w:p>
      <w:pPr>
        <w:spacing w:after="0" w:line="18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Contemporaneously with the pricing of our IPO, on April 22, 2021, we effected the Omnibus Incentive Plan in which we granted to certain of our employees restricted stock awards, restricted stock units, and option awards inclusive of the as converted Class B units as a result of the Reorganization.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Deferred tax assets and liabilities are determined based on temporary differences resulting from the different treatment of items for tax and financial reporting purposes. Deferred tax assets and liabilities are measured using enacted tax rates expected to apply to taxable income in the years in which those temporary differences are expected to reverse. We reduce deferred taxes by a valuation allowance when we conclude such deferred taxes are not more than likely to be realized. The determination of whether a deferred tax asset will be realized is made on both a jurisdictional basis and the use of our estimate of the recoverability of the deferred tax asset. In evaluating whether a valuation allowance is required under such rules, we consider all available positive and negative evidence, including our prior operating results, the nature and reason for any losses, our forecast of future taxable income in each respective tax jurisdiction and the dates on which any deferred tax assets are expected to expire. These assumptions require a significant amount of judgment, including estimates of future taxable income. As of both December 31, 2022 and 2021, our valuation allowance was $0.0 million. We continue to assess whether any significant changes in circumstances or assumptions have occurred that could materially affect our ability to realize deferred tax assets. We released the valuation allowance in 2021 since we believe we have sufficient positive evidence, including, but not limited to, three years’ of cumulative pre-tax book</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income, including permanent adjustments and recent profits within taxing jurisdictions, to overcome any negative evidence related to loss utilization expiration periods.</w:t>
      </w:r>
    </w:p>
    <w:p>
      <w:pPr>
        <w:spacing w:after="0" w:line="17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record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The amount of the benefit that may be recognized is the largest amount that has a greater than 50% likelihood of being realized on ultimate settlement. The actual benefits ultimately realized may differ from the estimates. We classify interest and penalties related to unrecognized tax benefits as a component of income tax (benefit) expense within the consolidated statements of operations.</w:t>
      </w:r>
    </w:p>
    <w:p>
      <w:pPr>
        <w:spacing w:after="0" w:line="19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Although we believe that we have adequately reserved for our uncertain tax positions, we can provide no assurance that the final tax outcome of these matters will not be materially different. In future periods, changes in facts, circumstances, and new information may require us to change the recognition and measurement estimates with regard to individual tax positions. Our liabilities for uncertain tax positions were $7.1 million and $5.7 million for the years ended December 31, 2022 and 2021, respectively. Changes in recognition and measurement estimates are recorded in income tax (benefit) expense and liability in the period in which such changes occur.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consolidated financial statements included elsewhere in this Annual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are subject to interest rate risk in connection with our long-term debt. Our principal interest rate risk relates to borrowings under the New Credit Agreement. To meet our working capital needs, we borrowed periodically on our New Revolving Credit Facility under the New Credit Agreement. As of December 31, 2022, we had outstanding borrowings of $322.6 million face value under our New Term Loan and no borrowings on the New Revolving Credit Facility. The New Term Loan and New Revolving Credit Facility bear interest at variable rates. Interest rate risk associated with our New Credit Agreement is managed through an interest rate swap, which we originally executed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April 30, 2020. We amended our interest rate swap to change the index rate from LIBOR to SOFR in connection with the New Credit Agreement. The interest rate swap has an effective date of May 18, 2020 and a termination date of May 18, 2023. After inclusion of the notional amount of $200.0 million of our interest rate swap fixing a portion of the variable rate debt, $122.6 million, or 38.0%, of our debt is subject to variable rates. An increase or decrease of 1.0% in the effective interest rate would cause an increase or decrease to annual interest expense of approximately $1.2 million.</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Financial instruments that subject us to concentrations of credit risk consist primarily of cash and trade receivables. We may have bank deposits in excess of insurance limits of the Federal Deposit Insurance Corporation from time to time. We also have bank deposits in international accounts. We have not historically sustained any credit losses in such accounts and believe that we are not exposed to any significant credit risk related to our cash. We routinely review the financial strength of our customers before extending credit and believe that our trade receivables credit risk exposure is limited. Generally, we do not require collateral from our customers.</w:t>
      </w:r>
    </w:p>
    <w:p>
      <w:pPr>
        <w:spacing w:after="0" w:line="178"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During the years ended December 31, 2022, 2021 and 2020, one customer represented approximately 20.3%, 25.0% and 22.3% of our net sales, respectively. As of December 31, 2022 and 2021, outstanding trade receivables related to this customer were $1.6 million and $10.7 million, respectively.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foreign operations are denominated in local currency, which is the functional currency and is then translated to U.S. dollars. Assets and liabilities are translated using the current rate of exchange at the balance sheet date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w:t>
      </w:r>
    </w:p>
    <w:p>
      <w:pPr>
        <w:spacing w:after="0" w:line="17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Additionally, our Canadian subsidiaries, which have Canadian dollar functional currencies, purchase some inventory with U.S. dollars, resulting in payables that are denominated in U.S. dollars. This exposes us to the risk of fluctuations in foreign currency exchange rates until the time of payment. Transaction gains and losses associated with purchases made by Canadian subsidiaries that are denominated in currencies other than Canadian dollar are recognized as a component of other expense, net within the consolidated statements of operations.</w:t>
      </w:r>
    </w:p>
    <w:p>
      <w:pPr>
        <w:spacing w:after="0" w:line="1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Currently, our largest foreign currency exposure is that with respect to the Australian dollar and the Canadian dollar. We believe that a 10% change in the exchange rate between the U.S. dollar and the Australian or Canadian dollar would not materially impact our operating results or financial position.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385"/>
        </w:trPr>
        <w:tc>
          <w:tcPr>
            <w:tcW w:w="8120" w:type="dxa"/>
            <w:vAlign w:val="bottom"/>
            <w:gridSpan w:val="9"/>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4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8"/>
              </w:rPr>
              <w:t>Consolidated Balance Sheets as of December 31, 2022 and 2021</w:t>
            </w:r>
          </w:p>
        </w:tc>
        <w:tc>
          <w:tcPr>
            <w:tcW w:w="3480" w:type="dxa"/>
            <w:vAlign w:val="bottom"/>
            <w:gridSpan w:val="5"/>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8120" w:type="dxa"/>
            <w:vAlign w:val="bottom"/>
            <w:gridSpan w:val="9"/>
          </w:tcPr>
          <w:p>
            <w:pPr>
              <w:spacing w:after="0"/>
              <w:rPr>
                <w:sz w:val="20"/>
                <w:szCs w:val="20"/>
                <w:color w:val="auto"/>
              </w:rPr>
            </w:pPr>
            <w:r>
              <w:rPr>
                <w:rFonts w:ascii="Arial" w:cs="Arial" w:eastAsia="Arial" w:hAnsi="Arial"/>
                <w:sz w:val="18"/>
                <w:szCs w:val="18"/>
                <w:color w:val="0000EE"/>
              </w:rPr>
              <w:t>Consolidated Statements of Operations for the Years Ended December 31, 2022, 2021 and 2020</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120" w:type="dxa"/>
            <w:vAlign w:val="bottom"/>
            <w:gridSpan w:val="9"/>
          </w:tcPr>
          <w:p>
            <w:pPr>
              <w:spacing w:after="0"/>
              <w:rPr>
                <w:sz w:val="20"/>
                <w:szCs w:val="20"/>
                <w:color w:val="auto"/>
              </w:rPr>
            </w:pPr>
            <w:r>
              <w:rPr>
                <w:rFonts w:ascii="Arial" w:cs="Arial" w:eastAsia="Arial" w:hAnsi="Arial"/>
                <w:sz w:val="18"/>
                <w:szCs w:val="18"/>
                <w:color w:val="0000EE"/>
                <w:w w:val="91"/>
              </w:rPr>
              <w:t>Consolidated Statements of Comprehensive (Loss) Income for the Years Ended December 31, 2022, 2021 and</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2020</w:t>
            </w:r>
          </w:p>
        </w:tc>
        <w:tc>
          <w:tcPr>
            <w:tcW w:w="27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120" w:type="dxa"/>
            <w:vAlign w:val="bottom"/>
            <w:gridSpan w:val="9"/>
          </w:tcPr>
          <w:p>
            <w:pPr>
              <w:spacing w:after="0" w:line="196" w:lineRule="exact"/>
              <w:rPr>
                <w:sz w:val="20"/>
                <w:szCs w:val="20"/>
                <w:color w:val="auto"/>
              </w:rPr>
            </w:pPr>
            <w:r>
              <w:rPr>
                <w:rFonts w:ascii="Arial" w:cs="Arial" w:eastAsia="Arial" w:hAnsi="Arial"/>
                <w:sz w:val="18"/>
                <w:szCs w:val="18"/>
                <w:color w:val="0000EE"/>
                <w:w w:val="95"/>
              </w:rPr>
              <w:t>Consolidated Statements of Stockholders’ Equity for the Years Ended December 31, 2022, 2021 and 2020</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37"/>
        </w:trPr>
        <w:tc>
          <w:tcPr>
            <w:tcW w:w="76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7"/>
              </w:rPr>
              <w:t>Consolidated Statements of Cash Flows for the Years Ended December 31, 2022, 2021 and 2020</w:t>
            </w:r>
          </w:p>
        </w:tc>
        <w:tc>
          <w:tcPr>
            <w:tcW w:w="50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31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3800" w:type="dxa"/>
            <w:vAlign w:val="bottom"/>
            <w:tcBorders>
              <w:top w:val="single" w:sz="8" w:color="0000EE"/>
            </w:tcBorders>
            <w:gridSpan w:val="4"/>
          </w:tcPr>
          <w:p>
            <w:pPr>
              <w:spacing w:after="0"/>
              <w:rPr>
                <w:sz w:val="20"/>
                <w:szCs w:val="20"/>
                <w:color w:val="auto"/>
              </w:rPr>
            </w:pPr>
          </w:p>
        </w:tc>
        <w:tc>
          <w:tcPr>
            <w:tcW w:w="1180" w:type="dxa"/>
            <w:vAlign w:val="bottom"/>
            <w:gridSpan w:val="3"/>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Stockholders and the Board of Directors of Latham Group,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We have audited the accompanying consolidated balance sheets of Latham Group, Inc. and subsidiaries (the "Company") as of December 31, 2022 and 2021, the related consolidated statements of operations, comprehensive (loss)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7, 2023</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60,753</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109,556</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4,039</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w:t>
            </w:r>
          </w:p>
        </w:tc>
      </w:tr>
      <w:tr>
        <w:trPr>
          <w:trHeight w:val="210"/>
        </w:trPr>
        <w:tc>
          <w:tcPr>
            <w:tcW w:w="67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229,066</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23,362</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128,871</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309,215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338,310</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869,683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794,483</w:t>
            </w: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r>
      <w:tr>
        <w:trPr>
          <w:trHeight w:val="216"/>
        </w:trPr>
        <w:tc>
          <w:tcPr>
            <w:tcW w:w="678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r>
      <w:tr>
        <w:trPr>
          <w:trHeight w:val="209"/>
        </w:trPr>
        <w:tc>
          <w:tcPr>
            <w:tcW w:w="67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115,165</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discount and current portion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263,188</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Deferred income tax liabilities,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56,343</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10"/>
        </w:trPr>
        <w:tc>
          <w:tcPr>
            <w:tcW w:w="6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486,893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440,838</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6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Preferred stock, $0.0001 par value; 100,000,000 shares authorized as of both December</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31, 2022 and December 31, 2021; no shares issued and outstanding as of both December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2022 and December 31, 2021</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80" w:type="dxa"/>
            <w:vAlign w:val="bottom"/>
          </w:tcPr>
          <w:p>
            <w:pPr>
              <w:ind w:left="20"/>
              <w:spacing w:after="0" w:line="201" w:lineRule="exact"/>
              <w:rPr>
                <w:sz w:val="20"/>
                <w:szCs w:val="20"/>
                <w:color w:val="auto"/>
              </w:rPr>
            </w:pPr>
            <w:r>
              <w:rPr>
                <w:rFonts w:ascii="Arial" w:cs="Arial" w:eastAsia="Arial" w:hAnsi="Arial"/>
                <w:sz w:val="18"/>
                <w:szCs w:val="18"/>
                <w:color w:val="auto"/>
                <w:w w:val="97"/>
              </w:rPr>
              <w:t>Common stock, $0.0001 par value; 900,000,000 shares authorized as of December 31,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w w:val="90"/>
              </w:rPr>
              <w:t>2022 and December 31, 2021; 114,667,975 and 119,445,611 shares issued and outstanding,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as of December 31, 2022 and December 31, 2021, respectively</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401,846</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(54,568)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(48,583)</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9"/>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382,790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353,645</w:t>
            </w:r>
          </w:p>
        </w:tc>
      </w:tr>
      <w:tr>
        <w:trPr>
          <w:trHeight w:val="21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794,483</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403,389</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260,616</w:t>
            </w:r>
          </w:p>
        </w:tc>
      </w:tr>
      <w:tr>
        <w:trPr>
          <w:trHeight w:val="20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142,773</w:t>
            </w: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85,527</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fees related to offering of common stock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39,899</w:t>
            </w: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09"/>
        </w:trPr>
        <w:tc>
          <w:tcPr>
            <w:tcW w:w="5240" w:type="dxa"/>
            <w:vAlign w:val="bottom"/>
          </w:tcPr>
          <w:p>
            <w:pPr>
              <w:ind w:left="1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17,140</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4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22,759</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4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r>
      <w:tr>
        <w:trPr>
          <w:trHeight w:val="197"/>
        </w:trPr>
        <w:tc>
          <w:tcPr>
            <w:tcW w:w="52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w w:val="99"/>
              </w:rPr>
              <w:t>Net (loss) income per share attributable to common stockholders: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w w:val="98"/>
              </w:rPr>
              <w:t>Weighted-average common shares outstanding – basic and diluted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113,245,421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110,644,366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101,606,966</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113,245,421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110,644,366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102,602,738</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(5,694)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15,983</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(3,903)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0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(loss) income, net of tax</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7"/>
              </w:rPr>
              <w:t>(3,903)</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r>
      <w:tr>
        <w:trPr>
          <w:trHeight w:val="21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(9,597)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(64,332)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18,808</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(Accumulated</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7"/>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Deficit)</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(Loss)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1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7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96,498,943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193,795</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Proceeds from issuance of common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21,871,850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65,551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65,553</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Repurchase and retirement of common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(275,238)</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Contingent consideration settlement</w:t>
            </w:r>
          </w:p>
        </w:tc>
        <w:tc>
          <w:tcPr>
            <w:tcW w:w="1020" w:type="dxa"/>
            <w:vAlign w:val="bottom"/>
          </w:tcPr>
          <w:p>
            <w:pPr>
              <w:jc w:val="right"/>
              <w:spacing w:after="0"/>
              <w:rPr>
                <w:sz w:val="20"/>
                <w:szCs w:val="20"/>
                <w:color w:val="auto"/>
              </w:rPr>
            </w:pPr>
            <w:r>
              <w:rPr>
                <w:rFonts w:ascii="Arial" w:cs="Arial" w:eastAsia="Arial" w:hAnsi="Arial"/>
                <w:sz w:val="18"/>
                <w:szCs w:val="18"/>
                <w:color w:val="auto"/>
              </w:rPr>
              <w:t>758,694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09"/>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118,854,249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265,478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(62,348)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(1,984)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Dividend to Class A unitholders ($1.00</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(110,033)</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(110,033)</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Issuance of restricted stock in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connection with the Reorganization</w:t>
            </w:r>
          </w:p>
        </w:tc>
        <w:tc>
          <w:tcPr>
            <w:tcW w:w="1020" w:type="dxa"/>
            <w:vAlign w:val="bottom"/>
          </w:tcPr>
          <w:p>
            <w:pPr>
              <w:jc w:val="right"/>
              <w:spacing w:after="0"/>
              <w:rPr>
                <w:sz w:val="20"/>
                <w:szCs w:val="20"/>
                <w:color w:val="auto"/>
              </w:rPr>
            </w:pPr>
            <w:r>
              <w:rPr>
                <w:rFonts w:ascii="Arial" w:cs="Arial" w:eastAsia="Arial" w:hAnsi="Arial"/>
                <w:sz w:val="18"/>
                <w:szCs w:val="18"/>
                <w:color w:val="auto"/>
              </w:rPr>
              <w:t>8,340,126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Class B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4,145,987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Net proceeds from initial public</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offering</w:t>
            </w:r>
          </w:p>
        </w:tc>
        <w:tc>
          <w:tcPr>
            <w:tcW w:w="10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399,262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399,264</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Repurchase and retirement of common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(33,931,091)</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(281,635)</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(281,638)</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Retirement of restricted stock</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(1,014,976)</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release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128,775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119,445,611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353,645</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Cumulative effect of adoption of new</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accounting standard- leases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rPr>
              <w:t>Foreign currency translation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(3,903)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common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269,100</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1" w:lineRule="exact"/>
              <w:rPr>
                <w:sz w:val="20"/>
                <w:szCs w:val="20"/>
                <w:color w:val="auto"/>
              </w:rPr>
            </w:pPr>
            <w:r>
              <w:rPr>
                <w:rFonts w:ascii="Arial" w:cs="Arial" w:eastAsia="Arial" w:hAnsi="Arial"/>
                <w:sz w:val="18"/>
                <w:szCs w:val="18"/>
                <w:color w:val="auto"/>
                <w:w w:val="95"/>
              </w:rPr>
              <w:t>Repurchase and retirement of common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stock</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(13,800,244)</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(257,662)</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(257,663)</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Repurchases and retirements of</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under Repurchase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(4,483,620)</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(23,037)</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(23,038)</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Retirement of restricted stock</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(480,385)</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release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50,634</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114,667,975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382,790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Latham Group, Inc.</w:t>
      </w:r>
    </w:p>
    <w:p>
      <w:pPr>
        <w:jc w:val="center"/>
        <w:ind w:right="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9"/>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2"/>
                <w:szCs w:val="12"/>
                <w:color w:val="auto"/>
              </w:rPr>
            </w:pPr>
          </w:p>
        </w:tc>
      </w:tr>
      <w:tr>
        <w:trPr>
          <w:trHeight w:val="142"/>
        </w:trPr>
        <w:tc>
          <w:tcPr>
            <w:tcW w:w="60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(5,694)</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(62,348)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15,983</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38,175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32,230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25,365</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deferred financing costs and debt discount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2,317</w:t>
            </w: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Non-cash lease expense</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(3,802)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(12,028)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w:t>
            </w: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50,634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128,775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1,827</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Underwriting fees related to offering of common stock</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Loss on extinguishment of debt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3,465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non-cash,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20" w:type="dxa"/>
            <w:vAlign w:val="bottom"/>
          </w:tcPr>
          <w:p>
            <w:pPr>
              <w:spacing w:after="0"/>
              <w:rPr>
                <w:sz w:val="12"/>
                <w:szCs w:val="12"/>
                <w:color w:val="auto"/>
              </w:rPr>
            </w:pPr>
          </w:p>
        </w:tc>
      </w:tr>
      <w:tr>
        <w:trPr>
          <w:trHeight w:val="149"/>
        </w:trPr>
        <w:tc>
          <w:tcPr>
            <w:tcW w:w="6040" w:type="dxa"/>
            <w:vAlign w:val="bottom"/>
          </w:tcPr>
          <w:p>
            <w:pPr>
              <w:ind w:left="120"/>
              <w:spacing w:after="0"/>
              <w:rPr>
                <w:sz w:val="20"/>
                <w:szCs w:val="20"/>
                <w:color w:val="auto"/>
              </w:rPr>
            </w:pPr>
            <w:r>
              <w:rPr>
                <w:rFonts w:ascii="Arial" w:cs="Arial" w:eastAsia="Arial" w:hAnsi="Arial"/>
                <w:sz w:val="13"/>
                <w:szCs w:val="13"/>
                <w:color w:val="auto"/>
              </w:rPr>
              <w:t>Gain on sale of portion of equity method investment</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(4,806)</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from equity method investment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(4,230)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(2,222)</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Distributions received from equity method investment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2,497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1,808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 on liability for uncertain tax positions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20" w:type="dxa"/>
            <w:vAlign w:val="bottom"/>
          </w:tcPr>
          <w:p>
            <w:pPr>
              <w:spacing w:after="0"/>
              <w:rPr>
                <w:sz w:val="12"/>
                <w:szCs w:val="12"/>
                <w:color w:val="auto"/>
              </w:rPr>
            </w:pPr>
          </w:p>
        </w:tc>
      </w:tr>
      <w:tr>
        <w:trPr>
          <w:trHeight w:val="148"/>
        </w:trPr>
        <w:tc>
          <w:tcPr>
            <w:tcW w:w="6040" w:type="dxa"/>
            <w:vAlign w:val="bottom"/>
          </w:tcPr>
          <w:p>
            <w:pPr>
              <w:ind w:left="120"/>
              <w:spacing w:after="0"/>
              <w:rPr>
                <w:sz w:val="20"/>
                <w:szCs w:val="20"/>
                <w:color w:val="auto"/>
              </w:rPr>
            </w:pPr>
            <w:r>
              <w:rPr>
                <w:rFonts w:ascii="Arial" w:cs="Arial" w:eastAsia="Arial" w:hAnsi="Arial"/>
                <w:sz w:val="13"/>
                <w:szCs w:val="13"/>
                <w:color w:val="auto"/>
              </w:rPr>
              <w:t>Change in fair value of contingent consideration for Narellan Group Pty Limited</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(204)</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40" w:type="dxa"/>
            <w:vAlign w:val="bottom"/>
          </w:tcPr>
          <w:p>
            <w:pPr>
              <w:ind w:left="220"/>
              <w:spacing w:after="0"/>
              <w:rPr>
                <w:sz w:val="20"/>
                <w:szCs w:val="20"/>
                <w:color w:val="auto"/>
              </w:rPr>
            </w:pPr>
            <w:r>
              <w:rPr>
                <w:rFonts w:ascii="Arial" w:cs="Arial" w:eastAsia="Arial" w:hAnsi="Arial"/>
                <w:sz w:val="13"/>
                <w:szCs w:val="13"/>
                <w:color w:val="auto"/>
              </w:rPr>
              <w:t>Trade receivables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8,992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(26,015)</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9,462</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(57,034)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(39,656)</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(17,023)</w:t>
            </w:r>
          </w:p>
        </w:tc>
        <w:tc>
          <w:tcPr>
            <w:tcW w:w="20" w:type="dxa"/>
            <w:vAlign w:val="bottom"/>
          </w:tcPr>
          <w:p>
            <w:pPr>
              <w:spacing w:after="0"/>
              <w:rPr>
                <w:sz w:val="12"/>
                <w:szCs w:val="12"/>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(4,455)</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1,680</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 receivable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(4,190)</w:t>
            </w:r>
          </w:p>
        </w:tc>
        <w:tc>
          <w:tcPr>
            <w:tcW w:w="20" w:type="dxa"/>
            <w:vAlign w:val="bottom"/>
          </w:tcPr>
          <w:p>
            <w:pPr>
              <w:spacing w:after="0"/>
              <w:rPr>
                <w:sz w:val="12"/>
                <w:szCs w:val="12"/>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(466)</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(12,358)</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9,775</w:t>
            </w:r>
          </w:p>
        </w:tc>
        <w:tc>
          <w:tcPr>
            <w:tcW w:w="20" w:type="dxa"/>
            <w:vAlign w:val="bottom"/>
          </w:tcPr>
          <w:p>
            <w:pPr>
              <w:spacing w:after="0"/>
              <w:rPr>
                <w:sz w:val="12"/>
                <w:szCs w:val="12"/>
                <w:color w:val="auto"/>
              </w:rPr>
            </w:pPr>
          </w:p>
        </w:tc>
      </w:tr>
      <w:tr>
        <w:trPr>
          <w:trHeight w:val="148"/>
        </w:trPr>
        <w:tc>
          <w:tcPr>
            <w:tcW w:w="6040" w:type="dxa"/>
            <w:vAlign w:val="bottom"/>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(19,420)</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4,686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20,556</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(1,156)</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w:t>
            </w:r>
          </w:p>
        </w:tc>
        <w:tc>
          <w:tcPr>
            <w:tcW w:w="20" w:type="dxa"/>
            <w:vAlign w:val="bottom"/>
          </w:tcPr>
          <w:p>
            <w:pPr>
              <w:spacing w:after="0"/>
              <w:rPr>
                <w:sz w:val="12"/>
                <w:szCs w:val="12"/>
                <w:color w:val="auto"/>
              </w:rPr>
            </w:pPr>
          </w:p>
        </w:tc>
      </w:tr>
      <w:tr>
        <w:trPr>
          <w:trHeight w:val="142"/>
        </w:trPr>
        <w:tc>
          <w:tcPr>
            <w:tcW w:w="60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32,309</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33,690</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63,160</w:t>
            </w:r>
          </w:p>
        </w:tc>
        <w:tc>
          <w:tcPr>
            <w:tcW w:w="20" w:type="dxa"/>
            <w:vAlign w:val="bottom"/>
          </w:tcPr>
          <w:p>
            <w:pPr>
              <w:spacing w:after="0"/>
              <w:rPr>
                <w:sz w:val="12"/>
                <w:szCs w:val="12"/>
                <w:color w:val="auto"/>
              </w:rPr>
            </w:pPr>
          </w:p>
        </w:tc>
      </w:tr>
      <w:tr>
        <w:trPr>
          <w:trHeight w:val="142"/>
        </w:trPr>
        <w:tc>
          <w:tcPr>
            <w:tcW w:w="60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(39,684)</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(24,975)</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(16,264)</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the sale of property and equipment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20" w:type="dxa"/>
            <w:vAlign w:val="bottom"/>
          </w:tcPr>
          <w:p>
            <w:pPr>
              <w:spacing w:after="0"/>
              <w:rPr>
                <w:sz w:val="12"/>
                <w:szCs w:val="12"/>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Acquisitions of businesses, net of cash acquired</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(5,358)</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(90,508)</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(74,736)</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Return of equity method investment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Equity method investment in Premier Pools &amp; Spas</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(25,384)</w:t>
            </w:r>
          </w:p>
        </w:tc>
        <w:tc>
          <w:tcPr>
            <w:tcW w:w="20" w:type="dxa"/>
            <w:vAlign w:val="bottom"/>
          </w:tcPr>
          <w:p>
            <w:pPr>
              <w:spacing w:after="0"/>
              <w:rPr>
                <w:sz w:val="12"/>
                <w:szCs w:val="12"/>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the sale of portion of equity method investment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60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(45,018)</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(108,205)</w:t>
            </w:r>
          </w:p>
        </w:tc>
        <w:tc>
          <w:tcPr>
            <w:tcW w:w="1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(115,805)</w:t>
            </w:r>
          </w:p>
        </w:tc>
        <w:tc>
          <w:tcPr>
            <w:tcW w:w="20" w:type="dxa"/>
            <w:vAlign w:val="bottom"/>
          </w:tcPr>
          <w:p>
            <w:pPr>
              <w:spacing w:after="0"/>
              <w:rPr>
                <w:sz w:val="12"/>
                <w:szCs w:val="12"/>
                <w:color w:val="auto"/>
              </w:rPr>
            </w:pPr>
          </w:p>
        </w:tc>
      </w:tr>
      <w:tr>
        <w:trPr>
          <w:trHeight w:val="142"/>
        </w:trPr>
        <w:tc>
          <w:tcPr>
            <w:tcW w:w="60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financing activities</w:t>
            </w: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long-term debt borrowings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320,125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222,813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20,000</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on long-term debt borrowings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(286,447)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(169,138)</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(24,044)</w:t>
            </w: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borrowings on revolving credit facilities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on revolving credit facility</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(16,000)</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Deferred financing fees paid</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(6,865)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(1,250)</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to Class A unitholders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(110,033)</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Proceeds from the issuance of common stock</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257,663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65,553</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initial public offering, net of underwriting discounts, commissions and offering costs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399,264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Repurchases and retirements of common stock</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(280,701)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(281,638)</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(582)</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Narellan Group Pty Limited contingent consideration</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(6,624)</w:t>
            </w:r>
          </w:p>
        </w:tc>
        <w:tc>
          <w:tcPr>
            <w:tcW w:w="20" w:type="dxa"/>
            <w:vAlign w:val="bottom"/>
          </w:tcPr>
          <w:p>
            <w:pPr>
              <w:spacing w:after="0"/>
              <w:rPr>
                <w:sz w:val="12"/>
                <w:szCs w:val="12"/>
                <w:color w:val="auto"/>
              </w:rPr>
            </w:pPr>
          </w:p>
        </w:tc>
      </w:tr>
      <w:tr>
        <w:trPr>
          <w:trHeight w:val="142"/>
        </w:trPr>
        <w:tc>
          <w:tcPr>
            <w:tcW w:w="6040" w:type="dxa"/>
            <w:vAlign w:val="bottom"/>
          </w:tcPr>
          <w:p>
            <w:pPr>
              <w:ind w:left="12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3,775</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60,018</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54,303</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Effect of exchange rate changes on cash</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(2,392)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(861)</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20" w:type="dxa"/>
            <w:vAlign w:val="bottom"/>
          </w:tcPr>
          <w:p>
            <w:pPr>
              <w:spacing w:after="0"/>
              <w:rPr>
                <w:sz w:val="12"/>
                <w:szCs w:val="12"/>
                <w:color w:val="auto"/>
              </w:rPr>
            </w:pPr>
          </w:p>
        </w:tc>
      </w:tr>
      <w:tr>
        <w:trPr>
          <w:trHeight w:val="142"/>
        </w:trPr>
        <w:tc>
          <w:tcPr>
            <w:tcW w:w="60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(decrease) increase in cash</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(11,326)</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(15,358)</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2,655</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at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43,952</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59,310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56,655</w:t>
            </w:r>
          </w:p>
        </w:tc>
        <w:tc>
          <w:tcPr>
            <w:tcW w:w="20" w:type="dxa"/>
            <w:vAlign w:val="bottom"/>
          </w:tcPr>
          <w:p>
            <w:pPr>
              <w:spacing w:after="0"/>
              <w:rPr>
                <w:sz w:val="12"/>
                <w:szCs w:val="12"/>
                <w:color w:val="auto"/>
              </w:rPr>
            </w:pPr>
          </w:p>
        </w:tc>
      </w:tr>
      <w:tr>
        <w:trPr>
          <w:trHeight w:val="182"/>
        </w:trPr>
        <w:tc>
          <w:tcPr>
            <w:tcW w:w="60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3"/>
                <w:szCs w:val="13"/>
                <w:color w:val="auto"/>
              </w:rPr>
              <w:t>Cash at end of period</w:t>
            </w: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32,626</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43,952</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59,310</w:t>
            </w:r>
          </w:p>
        </w:tc>
        <w:tc>
          <w:tcPr>
            <w:tcW w:w="20" w:type="dxa"/>
            <w:vAlign w:val="bottom"/>
          </w:tcPr>
          <w:p>
            <w:pPr>
              <w:spacing w:after="0"/>
              <w:rPr>
                <w:sz w:val="15"/>
                <w:szCs w:val="15"/>
                <w:color w:val="auto"/>
              </w:rPr>
            </w:pPr>
          </w:p>
        </w:tc>
      </w:tr>
      <w:tr>
        <w:trPr>
          <w:trHeight w:val="129"/>
        </w:trPr>
        <w:tc>
          <w:tcPr>
            <w:tcW w:w="60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Supplemental cash flow information</w:t>
            </w: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12,621</w:t>
            </w:r>
          </w:p>
        </w:tc>
        <w:tc>
          <w:tcPr>
            <w:tcW w:w="180" w:type="dxa"/>
            <w:vAlign w:val="bottom"/>
          </w:tcPr>
          <w:p>
            <w:pPr>
              <w:spacing w:after="0"/>
              <w:rPr>
                <w:sz w:val="12"/>
                <w:szCs w:val="12"/>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17,371</w:t>
            </w:r>
          </w:p>
        </w:tc>
        <w:tc>
          <w:tcPr>
            <w:tcW w:w="1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15,625</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paid,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14,815</w:t>
            </w:r>
          </w:p>
        </w:tc>
        <w:tc>
          <w:tcPr>
            <w:tcW w:w="20" w:type="dxa"/>
            <w:vAlign w:val="bottom"/>
          </w:tcPr>
          <w:p>
            <w:pPr>
              <w:spacing w:after="0"/>
              <w:rPr>
                <w:sz w:val="12"/>
                <w:szCs w:val="12"/>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 included in accounts payable and accrued expenses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20" w:type="dxa"/>
            <w:vAlign w:val="bottom"/>
          </w:tcPr>
          <w:p>
            <w:pPr>
              <w:spacing w:after="0"/>
              <w:rPr>
                <w:sz w:val="12"/>
                <w:szCs w:val="12"/>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Capitalized internal-use software included in accounts payable – related party</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500</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offering costs included in accounts payable and accrued expenses</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w:t>
            </w:r>
          </w:p>
        </w:tc>
        <w:tc>
          <w:tcPr>
            <w:tcW w:w="20" w:type="dxa"/>
            <w:vAlign w:val="bottom"/>
          </w:tcPr>
          <w:p>
            <w:pPr>
              <w:spacing w:after="0"/>
              <w:rPr>
                <w:sz w:val="12"/>
                <w:szCs w:val="12"/>
                <w:color w:val="auto"/>
              </w:rPr>
            </w:pPr>
          </w:p>
        </w:tc>
      </w:tr>
      <w:tr>
        <w:trPr>
          <w:trHeight w:val="148"/>
        </w:trPr>
        <w:tc>
          <w:tcPr>
            <w:tcW w:w="6040" w:type="dxa"/>
            <w:vAlign w:val="bottom"/>
          </w:tcPr>
          <w:p>
            <w:pPr>
              <w:ind w:left="20"/>
              <w:spacing w:after="0"/>
              <w:rPr>
                <w:sz w:val="20"/>
                <w:szCs w:val="20"/>
                <w:color w:val="auto"/>
              </w:rPr>
            </w:pPr>
            <w:r>
              <w:rPr>
                <w:rFonts w:ascii="Arial" w:cs="Arial" w:eastAsia="Arial" w:hAnsi="Arial"/>
                <w:sz w:val="13"/>
                <w:szCs w:val="13"/>
                <w:color w:val="auto"/>
              </w:rPr>
              <w:t>Right-of-use operating assets obtained in exchange for lease liabilities</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46,244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60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Fair value of 758,694 shares of common stock issued during the year ended December 31, 2020 in</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connection with the acquisition of Narellan Pty Limited</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20" w:type="dxa"/>
            <w:vAlign w:val="bottom"/>
          </w:tcPr>
          <w:p>
            <w:pPr>
              <w:spacing w:after="0"/>
              <w:rPr>
                <w:sz w:val="13"/>
                <w:szCs w:val="13"/>
                <w:color w:val="auto"/>
              </w:rPr>
            </w:pPr>
          </w:p>
        </w:tc>
      </w:tr>
      <w:tr>
        <w:trPr>
          <w:trHeight w:val="149"/>
        </w:trPr>
        <w:tc>
          <w:tcPr>
            <w:tcW w:w="6040" w:type="dxa"/>
            <w:vAlign w:val="bottom"/>
          </w:tcPr>
          <w:p>
            <w:pPr>
              <w:ind w:left="20"/>
              <w:spacing w:after="0"/>
              <w:rPr>
                <w:sz w:val="20"/>
                <w:szCs w:val="20"/>
                <w:color w:val="auto"/>
              </w:rPr>
            </w:pPr>
            <w:r>
              <w:rPr>
                <w:rFonts w:ascii="Arial" w:cs="Arial" w:eastAsia="Arial" w:hAnsi="Arial"/>
                <w:sz w:val="13"/>
                <w:szCs w:val="13"/>
                <w:color w:val="auto"/>
              </w:rPr>
              <w:t>Change in defined benefit pension plan liability</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w:t>
            </w:r>
          </w:p>
        </w:tc>
        <w:tc>
          <w:tcPr>
            <w:tcW w:w="20" w:type="dxa"/>
            <w:vAlign w:val="bottom"/>
          </w:tcPr>
          <w:p>
            <w:pPr>
              <w:spacing w:after="0"/>
              <w:rPr>
                <w:sz w:val="12"/>
                <w:szCs w:val="12"/>
                <w:color w:val="auto"/>
              </w:rPr>
            </w:pPr>
          </w:p>
        </w:tc>
      </w:tr>
      <w:tr>
        <w:trPr>
          <w:trHeight w:val="148"/>
        </w:trPr>
        <w:tc>
          <w:tcPr>
            <w:tcW w:w="6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working capital adjustment receivable</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20" w:type="dxa"/>
            <w:vAlign w:val="bottom"/>
          </w:tcPr>
          <w:p>
            <w:pPr>
              <w:spacing w:after="0"/>
              <w:rPr>
                <w:sz w:val="12"/>
                <w:szCs w:val="12"/>
                <w:color w:val="auto"/>
              </w:rPr>
            </w:pPr>
          </w:p>
        </w:tc>
      </w:tr>
    </w:tbl>
    <w:p>
      <w:pPr>
        <w:spacing w:after="0" w:line="12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Latham Group, Inc. (“the Company”) wholly owns Latham Pool Products, Inc. (“Latham Pool Products”) (together, “Latham”) a designer, manufacturer, and marketer of in-ground residential swimming pools in North America, Australia, and New Zealand. Latham offers a portfolio of pools and related products, including in-ground swimming pools, pool liners, and pool covers.</w:t>
      </w:r>
    </w:p>
    <w:p>
      <w:pPr>
        <w:spacing w:after="0" w:line="187"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Topco, Inc. changed its name to Latham Group, Inc. on March 3,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Split, Initial Public Offering and Reorganization</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consolidated financial statements and notes thereto have been adjusted retroactively to reflect the impact of the amended and restated certificate of incorporation and the stock split. Refer to Note 20 for additional detail.</w:t>
      </w:r>
    </w:p>
    <w:p>
      <w:pPr>
        <w:spacing w:after="0" w:line="188"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57"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Prior to the closing of the Company’s IPO on April 27, 2021 (the “Closing of the IPO”), the Company’s parent entity, Parent, merged with and into Latham Group, Inc. (the “Reorganization”). Refer to Note 20 for additional detail.</w:t>
      </w:r>
    </w:p>
    <w:p>
      <w:pPr>
        <w:spacing w:after="0" w:line="120" w:lineRule="exact"/>
        <w:rPr>
          <w:sz w:val="20"/>
          <w:szCs w:val="20"/>
          <w:color w:val="auto"/>
        </w:rPr>
      </w:pPr>
    </w:p>
    <w:p>
      <w:pPr>
        <w:ind w:left="700" w:hanging="6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accompanying consolidated financial statements and accompanying notes have been prepared in accordance with generally accepted accounting principles in the United States (“GAAP”). The Company’s consolidated financial statements include the accounts of the Company and its subsidiaries. All intercompany balances and transactions have been eliminated in consolidation.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Although the Company generally has demand for its products throughout the year, its business is seasonal and weather is one of the principal external factors affecting the business. In general, net sales and net income are highest during spring and summer, representing the peak months of swimming pool use, pool installation, and remodeling and repair activities. Sales periods having severe weather may also affect net sales.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On January 1, 2022, the Company adopted ASU 2016-02, “Leases (Topic 842),” and the related amendments (collectively “ASC 842”).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 (“ASC 840”).</w:t>
      </w:r>
    </w:p>
    <w:p>
      <w:pPr>
        <w:spacing w:after="0" w:line="16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81"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239" w:firstLine="648"/>
        <w:spacing w:after="0" w:line="285"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Company recognizes revenue when its customer obtains control of promised goods or services, in an amount that reflects the consideration that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spacing w:after="0" w:line="2" w:lineRule="exact"/>
        <w:rPr>
          <w:sz w:val="20"/>
          <w:szCs w:val="20"/>
          <w:color w:val="auto"/>
        </w:rPr>
      </w:pPr>
    </w:p>
    <w:p>
      <w:pPr>
        <w:ind w:left="60" w:right="99" w:hanging="10"/>
        <w:spacing w:after="0" w:line="251" w:lineRule="auto"/>
        <w:tabs>
          <w:tab w:leader="none" w:pos="3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which goods or services are performance obligations, and assesses whether each promised good or service is distinct. The Company then recognizes as revenue the amount of the transaction price that is allocated to the respective performance obligation when, or as, that performance obligation is satisfied.</w:t>
      </w:r>
    </w:p>
    <w:p>
      <w:pPr>
        <w:spacing w:after="0" w:line="19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 Company sells its products through business-to-business distribution channels. With the exception of its extended service warranties and custom product contracts, the Company recognizes its revenue at a point in time when control of the promised goods is transferred to the Company’s customers, in an amount that reflects the consideration the Company expects to be entitled to in exchange for those goods. Control of the goods is considered to have been transferred upon shipping or upon arrival at the customer’s destination, depending on the terms of the purchase order. Revenue that is derived from its extended service warranties, which are separately priced and sold, is recognized over the term of the contract. Refer to Warranties within this same Note for further information.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spacing w:after="0" w:line="16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Each product shipped is considered to be one performance obligation. For each product shipped, the transaction price by product is specified in the purchase order. The Company recognizes revenue on the transaction price less any estimated rebates, cash discounts, or other sales incentives. Customer rebates, cash discounts, and other sales incentives are estimated by applying the portfolio approach using the most-likely-amount method and are recorded as a reduction to revenue. Estimates are updated each reporting period and any changes are allocated to the performance obligations on the same basis as at inception. The Company believes the most-likely-amount method best predicts the amount of consideration to which it will be entitled.</w:t>
      </w:r>
    </w:p>
    <w:p>
      <w:pPr>
        <w:spacing w:after="0" w:line="19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has elected to account for shipping and handling costs as activities to fulfill the promise to transfer the goods. As a result of this accounting policy election, the Company does not consider shipping and handling activities as promised services to its customers. Therefore, shipping and handling costs billed to customers are recorded in net sales, and the related costs in cost of sales.</w:t>
      </w:r>
    </w:p>
    <w:p>
      <w:pPr>
        <w:spacing w:after="0" w:line="18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Company does not engage in contracts greater than one year, and therefore does not have any contract costs capitalized as of December 31, 2022, and 2021.</w:t>
      </w:r>
    </w:p>
    <w:p>
      <w:pPr>
        <w:spacing w:after="0" w:line="170"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As a practical expedient, the Company does not adjust the promised amount of consideration for the effects of a significant financing component since the period between the transfer of a promised good to a customer and when the customer pays for that product is one year or less.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Warranties</w:t>
      </w:r>
    </w:p>
    <w:p>
      <w:pPr>
        <w:spacing w:after="0" w:line="225" w:lineRule="exact"/>
        <w:rPr>
          <w:sz w:val="20"/>
          <w:szCs w:val="20"/>
          <w:color w:val="auto"/>
        </w:rPr>
      </w:pPr>
    </w:p>
    <w:p>
      <w:pPr>
        <w:jc w:val="both"/>
        <w:ind w:left="60" w:right="159" w:firstLine="648"/>
        <w:spacing w:after="0" w:line="301" w:lineRule="auto"/>
        <w:rPr>
          <w:sz w:val="20"/>
          <w:szCs w:val="20"/>
          <w:color w:val="auto"/>
        </w:rPr>
      </w:pPr>
      <w:r>
        <w:rPr>
          <w:rFonts w:ascii="Arial" w:cs="Arial" w:eastAsia="Arial" w:hAnsi="Arial"/>
          <w:sz w:val="16"/>
          <w:szCs w:val="16"/>
          <w:color w:val="auto"/>
        </w:rPr>
        <w:t>The Company offers limited assurance-type warranties on most of its products, which assure that the product will comply with agreed upon specifications. These assurance-type warranties are not separately priced and are not considered separate performance obligations. The Company also offers optional extended service contracts that are separately priced. The Company recognizes revenue related to extended service contracts over the term of the contract.</w:t>
      </w:r>
    </w:p>
    <w:p>
      <w:pPr>
        <w:spacing w:after="0" w:line="15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The Company’s assurance-type warranties generally range from five years to lifetime warranties. At the time product revenue is recognized, the Company records a liability for estimated costs that may be incurred under its warranties. The costs are estimated based on historical experience and any specific warranty issues that have been identified. The accuracy of the estimate of additional costs is dependent on the number and cost of future claims submitted during the warranty periods. Although historical warranty costs have been within expectations, there can be no assurance that future warranty costs will not exceed historical amounts. The Company believes that the reserves established for estimated and probable future product warranty claims are adequate. The Company periodically assesses the adequacy of its recorded warranty liability and adjusts the balance as necessary. Warranty costs are recorded within cost of sales on the consolidated statements of operations. The Company’s provision for product warranties was recorded within accrued expenses and other current liabilities and other long-term liabilities on the consolidated balance sheets as of December 31, 2022 and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Cost of sales includes the cost of materials and all costs to make products saleable, such as labor, materials, inbound freight, including inter-plant freight, purchasing, and receiving costs, operating lease costs related to distribution and manufacturing facilities, and warehousing and distributions costs. In addition, all depreciation expense associated with assets used to manufacture products and make them saleable is included in cost of sales. The Company records shipping and handling costs associated with outbound freight as cost of sales when the related revenue is recognized in the accompanying consolidated statements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Exit or Disposal Costs</w:t>
      </w:r>
    </w:p>
    <w:p>
      <w:pPr>
        <w:spacing w:after="0" w:line="225"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 xml:space="preserve">The Company accounts for exit or disposal of activities in accordance with ASC 420, </w:t>
      </w:r>
      <w:r>
        <w:rPr>
          <w:rFonts w:ascii="Arial" w:cs="Arial" w:eastAsia="Arial" w:hAnsi="Arial"/>
          <w:sz w:val="16"/>
          <w:szCs w:val="16"/>
          <w:i w:val="1"/>
          <w:iCs w:val="1"/>
          <w:color w:val="auto"/>
        </w:rPr>
        <w:t>Exit or Disposal Cost</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The Company defines an exit or disposal activity as one that includes but is not limited to a program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planned and controlled by management and materially changes either the scope of a business or the manner in which that business is conducted. Business exit costs may include (i) one-time termination benefits related to employee separations,</w:t>
      </w:r>
    </w:p>
    <w:p>
      <w:pPr>
        <w:spacing w:after="0" w:line="1" w:lineRule="exact"/>
        <w:rPr>
          <w:sz w:val="20"/>
          <w:szCs w:val="20"/>
          <w:color w:val="auto"/>
        </w:rPr>
      </w:pPr>
    </w:p>
    <w:p>
      <w:pPr>
        <w:ind w:left="60" w:right="199" w:hanging="10"/>
        <w:spacing w:after="0" w:line="255" w:lineRule="auto"/>
        <w:tabs>
          <w:tab w:leader="none" w:pos="3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termination costs and (iii) other related costs associated with exit or disposal activities. The Company records one-time employee termination benefits as an operating expense when the benefit arrangement is communicated to the employee and no significant future services are required.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Trade receivables are recorded at the original invoiced amount and do not bear interest. The Company maintains an allowance for bad debt. The allowance for bad debt is based on the best estimate of the amount of probable credit losses in existing accounts receivable. The Company determines the allowances based on historical write-off experience. The Company’s allowance for bad debt as of December 31, 2022 and 2021 was $3.2 million and $2.4 million,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Financial instruments that subject the Company to concentrations of credit risk consist primarily of cash and trade receivables. The Company from time to time may have bank deposits in excess of insurance limits of the Federal Deposit Insurance Corporation. The Company also has bank deposits in international accounts. The Company has not historically sustained any credit losses in such accounts and believes it is not exposed to any significant credit risk related to its cash. The Company routinely reviews the financial strength of its customers before extending credit and believes that its trade receivables credit risk exposure is limited. Generally, the Company does not require collateral from its customers. The Company provides extended payment terms to certain customers.</w:t>
      </w:r>
    </w:p>
    <w:p>
      <w:pPr>
        <w:spacing w:after="0" w:line="177" w:lineRule="exact"/>
        <w:rPr>
          <w:sz w:val="20"/>
          <w:szCs w:val="20"/>
          <w:color w:val="auto"/>
        </w:rPr>
      </w:pPr>
    </w:p>
    <w:p>
      <w:pPr>
        <w:ind w:left="60" w:right="459" w:firstLine="648"/>
        <w:spacing w:after="0" w:line="286" w:lineRule="auto"/>
        <w:rPr>
          <w:sz w:val="20"/>
          <w:szCs w:val="20"/>
          <w:color w:val="auto"/>
        </w:rPr>
      </w:pPr>
      <w:r>
        <w:rPr>
          <w:rFonts w:ascii="Arial" w:cs="Arial" w:eastAsia="Arial" w:hAnsi="Arial"/>
          <w:sz w:val="17"/>
          <w:szCs w:val="17"/>
          <w:color w:val="auto"/>
        </w:rPr>
        <w:t>During the years ended December 31, 2022, 2021 and 2020, one customer represented approximately 20.3%, 25.0% and 22.3% of the Company’s net sales, respectively. As of December 31, 2022 and 2021, outstanding trade receivables related to this customer were $1.6 million and $10.7 million,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Level 2  —  Inputs, other than quoted prices in active markets, that are observable either directly or indirectly.</w:t>
      </w:r>
    </w:p>
    <w:p>
      <w:pPr>
        <w:spacing w:after="0" w:line="248" w:lineRule="exact"/>
        <w:rPr>
          <w:sz w:val="20"/>
          <w:szCs w:val="20"/>
          <w:color w:val="auto"/>
        </w:rPr>
      </w:pPr>
    </w:p>
    <w:p>
      <w:pPr>
        <w:ind w:left="700" w:right="699"/>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170"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2022, 2021 and 2020.</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includes,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166"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The Company accounts for business combinations that are deemed to be businesses using the acquisition method of accounting. Application of this method of accounting requires that (i) identifiable assets acquired (including identifiable intangible assets) and liabilities assumed generally be measured and recognized at fair value as of the acquisition date and</w:t>
      </w:r>
    </w:p>
    <w:p>
      <w:pPr>
        <w:spacing w:after="0" w:line="2" w:lineRule="exact"/>
        <w:rPr>
          <w:sz w:val="20"/>
          <w:szCs w:val="20"/>
          <w:color w:val="auto"/>
        </w:rPr>
      </w:pPr>
    </w:p>
    <w:p>
      <w:pPr>
        <w:ind w:left="60" w:right="199" w:hanging="10"/>
        <w:spacing w:after="0" w:line="268" w:lineRule="auto"/>
        <w:tabs>
          <w:tab w:leader="none" w:pos="3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excess of the purchase price over the net fair value of identifiable assets acquired and liabilities assumed be recognized as goodwill, which is not amortized for accounting purposes but is subject to testing for impairment at least annually. Any contingent assets acquired and contingent liabilities assumed are also recognized at fair value if the Company can reasonably estimate fair value during the measurement period (which cannot exceed one year from the acquisition date). The Company re-measures any contingent liabilities at fair value in each subsequent reporting period. Transaction costs related to business combinations are expensed as incurred. Determining the fair value of assets acquired and liabilities assumed in a business combination requires management to use significant judgment and estimates, especially with respect to intangible assets.</w:t>
      </w:r>
    </w:p>
    <w:p>
      <w:pPr>
        <w:spacing w:after="0" w:line="183"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87"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Acquisition-related contingent consideration was recorded in the consolidated balance sheets at its acquisition-date estimated fair value, in accordance with the acquisition method of accounting. The fair value of the acquisition-related contingent consideration was remeasured each reporting period, with changes in fair value recorded in other expense (income), net in the consolidated statements of operations. The fair value measurement is based on significant inputs not observable by market participants and thus represents a Level 3 input in the fair value hierarchy.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6"/>
          <w:szCs w:val="16"/>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The Company also uses the equity method of accounting for investments in a partnership or limited liability company with specific ownership accounts, if the Company has an ownership interest of 5% or more.</w:t>
      </w:r>
    </w:p>
    <w:p>
      <w:pPr>
        <w:spacing w:after="0" w:line="1"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(losses) from equity method investment in the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83"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The Company records its proportionate share of earnings or losses of Premier Holdco, LLC (“Premier Pools &amp; Spas”) within earnings from equity method investment in the consolidated statements of operations on a three-month lag. For presentation in the consolidated statements of cash flows, the Company utilizes the cumulative earnings approach for purposes of determining whether distributions should be classified as either a return on investment, which are included in operating activities, or a return of investment, which would be included in investing activities. Under the cumulative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consolidated statements of operations in the period the impairment occurs.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Inventories, primarily raw materials and finished goods, are stated at the lower of cost or net realizable value. Cost is determined under the first-in, first-out method. Inventory costs include all costs directly attributable to the products, including all manufacturing overhead, and excludes costs to distribute. The Company periodically reviews its inventory for slow moving or obsolete items and writes down the related products to estimated net realizable value. As of December 31, 2022 and 2021, the Company’s reserve for estimated slow moving products or obsolescence was $4.6 million and $2.7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0" w:right="519" w:firstLine="648"/>
        <w:spacing w:after="0" w:line="293" w:lineRule="auto"/>
        <w:rPr>
          <w:sz w:val="20"/>
          <w:szCs w:val="20"/>
          <w:color w:val="auto"/>
        </w:rPr>
      </w:pPr>
      <w:r>
        <w:rPr>
          <w:rFonts w:ascii="Arial" w:cs="Arial" w:eastAsia="Arial" w:hAnsi="Arial"/>
          <w:sz w:val="16"/>
          <w:szCs w:val="16"/>
          <w:color w:val="auto"/>
        </w:rPr>
        <w:t>Property and equipment are recorded at cost and presented net of accumulated depreciation. Property and equipment acquired through business combinations are recorded at fair value at the acquisition date. Expenditures for betterments and major improvements that substantially enhance the value and increase the estimated useful life of the assets are capitalized and depreciated over the new estimated useful life. Normal repairs and maintenance costs are expensed as incurred. Depreciation and amortization expense are recognized using the straight-line method over the estimated useful lives of each respective asset category as follows: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Molds and dyes</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5  –  10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(including computer equipment and software)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  10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  –  7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jc w:val="both"/>
        <w:ind w:left="60" w:right="359" w:firstLine="648"/>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related lease or the estimated useful lives of the improvements. When property and equipment is sold or retired, the asset cost and accumulated depreciation and amortization are removed from the respective accounts and a gain or loss is recognized, if any, on the consolidated statements of operations.</w:t>
      </w:r>
    </w:p>
    <w:p>
      <w:pPr>
        <w:spacing w:after="0" w:line="187"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The Company capitalizes external costs and directly attributable internal costs to acquire or create internal-use software that are incurred subsequent to the completion of the preliminary project state. These costs relate to activities such as software design, configuration, coding, testing, and installation, and they exclude training and maintenance. Once the software is substantially complete and ready for its intended use, capitalized development costs are amortized straight-line over the estimated useful life of the software, generally not to exceed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Long-lived assets include property and equipment and definite-lived intangible assets. The Company evaluates the carrying value of its long-lived assets for impairment whenever events or circumstances indicate that the carrying value of the assets may not be recoverable. Conditions that may indicate impairment include, but are not limited to, a significant decrease in the market price of an asset, a significant adverse change in the extent or manner in which 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asset is being used or a significant decrease in its physical condition, and operating or cash flow performance that demonstrates continuing losses associated with an asset or asset group. The Company also considers non-financial data such as changes in the operating environment, competitive information, market trends, and business relationships.</w:t>
      </w:r>
    </w:p>
    <w:p>
      <w:pPr>
        <w:spacing w:after="0" w:line="149"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A potential impairment has occurred if the projected future undiscounted cash flows expected to result from the use and eventual disposition of the asset or asset group are less than the carrying value of the asset or asset group. The estimate of cash flows includes management’s assumptions of cash inflows and outflows directly resulting from the use of the asset in operation. If the carrying value exceeds the sum of the undiscounted cash flows, an impairment charge is recorded equal to the excess of the asset or asset group’s carrying value over its fair value. Fair value is measured using appropriate valuation methodologies that would typically include a projected discounted cash flow model using a discount rate the Company believes is commensurate with the risk inherent in its business. The Company did not recognize any impairment losses on long-lived assets during the years ended December 31, 2022 and 2021.</w:t>
      </w:r>
    </w:p>
    <w:p>
      <w:pPr>
        <w:spacing w:after="0" w:line="165" w:lineRule="exact"/>
        <w:rPr>
          <w:sz w:val="20"/>
          <w:szCs w:val="20"/>
          <w:color w:val="auto"/>
        </w:rPr>
      </w:pPr>
    </w:p>
    <w:p>
      <w:pPr>
        <w:ind w:left="60" w:right="199" w:firstLine="648"/>
        <w:spacing w:after="0" w:line="308" w:lineRule="auto"/>
        <w:rPr>
          <w:sz w:val="20"/>
          <w:szCs w:val="20"/>
          <w:color w:val="auto"/>
        </w:rPr>
      </w:pPr>
      <w:r>
        <w:rPr>
          <w:rFonts w:ascii="Arial" w:cs="Arial" w:eastAsia="Arial" w:hAnsi="Arial"/>
          <w:sz w:val="17"/>
          <w:szCs w:val="17"/>
          <w:color w:val="auto"/>
        </w:rPr>
        <w:t>The Company amortizes its definite-lived intangible assets using the straight-line method. The weighted-average estimated useful lives (in years) of the Company’s definite-lived intangible assets are as follows: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6100" w:type="dxa"/>
            <w:vAlign w:val="bottom"/>
            <w:gridSpan w:val="3"/>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  –  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 designs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  –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Dealer relationships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5  –  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Patented technology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10 months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on the first day of the Company’s fourth fiscal quarter and whenever events occur or changes in circumstances indicate that impairment may have occurred. The Company has one reporting unit for goodwill impairment testing purposes.</w:t>
      </w:r>
    </w:p>
    <w:p>
      <w:pPr>
        <w:spacing w:after="0" w:line="1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Impairment testing is performed for the Company’s reporting unit by first assessing qualitative factors to see if further testing of goodwill is required. If the Company concludes that it is more likely than not that its reporting unit’s fair value is less than its carrying amount based on the qualitative assessment, then a quantitative test is required. The Company may also choose to bypass the qualitative assessment and perform the quantitative test.</w:t>
      </w:r>
    </w:p>
    <w:p>
      <w:pPr>
        <w:spacing w:after="0" w:line="171"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If the estimated fair value of the reporting unit exceeds the carrying amount, the Company considers that goodwill is not impaired. If the carrying value exceeds estimated fair value, there is an impairment of goodwill and an impairment loss is recorded. The Company calculates the impairment loss by comparing the fair value of its reporting unit less the carrying amount, including goodwill. Goodwill impairment would be limited to the carrying value of the goodwill.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 defers costs incurred in conjunction with acquiring third-party financing. The Company amortizes debt issuance costs over the term of the related long-term debt instruments using the effective interest method. Debt issuance costs related to long-term debt are recorded as a direct reduction to the carrying amount of long-term debt on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left="60" w:right="719" w:firstLine="648"/>
        <w:spacing w:after="0" w:line="342" w:lineRule="auto"/>
        <w:rPr>
          <w:sz w:val="20"/>
          <w:szCs w:val="20"/>
          <w:color w:val="auto"/>
        </w:rPr>
      </w:pPr>
      <w:r>
        <w:rPr>
          <w:rFonts w:ascii="Arial" w:cs="Arial" w:eastAsia="Arial" w:hAnsi="Arial"/>
          <w:sz w:val="16"/>
          <w:szCs w:val="16"/>
          <w:color w:val="auto"/>
        </w:rPr>
        <w:t>The Company identifies operating segments based on how the chief operating decision maker (“CODM”) manages the business, allocates resources, makes operating decisions, and evaluates operating performance.</w:t>
      </w:r>
    </w:p>
    <w:p>
      <w:pPr>
        <w:spacing w:after="0" w:line="124"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 conducts its business as one operating and reportable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Company accounts for income taxes using the asset and liability method. This approach requires the recognition of deferred tax assets and liabilities for the expected future tax consequences of temporary differences between the carrying amounts and the tax basis of assets and liabilities, using enacted tax rates expected to be applicable in the years in which the temporary differences are expected to reverse. Changes in deferred tax assets and liabilities are recorded in the provision for income taxes. The Company evaluates the realizability of its deferred tax assets and establishes a valuation allowance when it is more likely than not that all or a portion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If in future periods the Company were to determine that it would be able to realize its deferred tax assets in excess of the net recorded amount, an adjustment to the deferred tax assets, particularly a release of the valuation allowance, would increase income in the period such determination was made.</w:t>
      </w:r>
    </w:p>
    <w:p>
      <w:pPr>
        <w:spacing w:after="0" w:line="18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Company records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the Company performs the second step of measuring the benefit to be recorded. The amount of the benefit that may be recognized is the largest amount that has a greater than 50% likelihood of being realized on ultimate settlement. The actual benefits ultimately realized may differ from the estimates. In future periods, changes in facts, circumstances, and new information may require the Company to change the recognition and measurement estimates with regard to individual tax positions. Changes in recognition and measurement estimates are recorded in income tax expense (benefit) and liability in the period in which such changes occur.</w:t>
      </w:r>
    </w:p>
    <w:p>
      <w:pPr>
        <w:spacing w:after="0" w:line="18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Company’s policy is to classify interest and penalties related to unrecognized tax benefits as a component of income tax expense (benefit) within the consolidated statements of operations. The Company had $0.6 million of accrued interest and no accrued penalties as of December 31, 2022. The Company had $0.3 million of accrued interest and no accrued penalties as of December 31, 2021. The Company reinvests earnings of foreign operations indefinitely and, accordingly, does not provide for income taxes that could result from the remittance of such earnings.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Stock-based compensation is measured and recognized based on the grant date fair value of the awards. The fair value of the Company’s common stock is determined based on the quoted market price of the Company’s common stock for purposes of computing stock-based compensation expense. For stock options, the Company uses a Black-Scholes model for estimating the grant date fair value. The Black-Scholes pricing model requires critical assumptions including risk-free rate, volatility, expected term and expected dividend yield. The expected term is computed using the simplified method. The Company uses the simplified method to calculate expected term of the stock options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its implied volatility. The Company utilized a dividend yield of zero, since it has no history or plan of declaring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dividends on its common stock. The assumptions underlying these valuations represented the Company’s best estimate, which involved inherent uncertainties and the application of judgment. As a result, if the Company had used significantly different assumptions or estimates, the fair value of the Company’s stock-based compensation expense could have been materially different.</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For stock options, restricted stock awards and restricted stock units, stock-based compensation is recognized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87"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Contemporaneously with the pricing of the Company’s IPO, on April 22, 2021, the Company effected its Omnibus Incentive Plan (as defined below) in which it granted to certain employees of the Company restricted stock awards, restricted stock units, and stock option awards inclusive of the as converted Class B units as a result of the Reorganization.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225" w:lineRule="exact"/>
        <w:rPr>
          <w:sz w:val="20"/>
          <w:szCs w:val="20"/>
          <w:color w:val="auto"/>
        </w:rPr>
      </w:pPr>
    </w:p>
    <w:p>
      <w:pPr>
        <w:ind w:left="60" w:right="239" w:firstLine="648"/>
        <w:spacing w:after="0" w:line="271" w:lineRule="auto"/>
        <w:rPr>
          <w:sz w:val="20"/>
          <w:szCs w:val="20"/>
          <w:color w:val="auto"/>
        </w:rPr>
      </w:pPr>
      <w:r>
        <w:rPr>
          <w:rFonts w:ascii="Arial" w:cs="Arial" w:eastAsia="Arial" w:hAnsi="Arial"/>
          <w:sz w:val="17"/>
          <w:szCs w:val="17"/>
          <w:color w:val="auto"/>
        </w:rPr>
        <w:t>The financial statements of the Company’s foreign operations are denominated in local currency and are then translated to U.S. dollars. Assets and liabilities are translated using the current rate of exchange at the balance sheet dates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 Transaction gains and losses associated with the Company’s international subsidiaries, which are denominated in currencies other than the Company’s foreign entities’ functional currencies, are recognized as a component of other expense (income), net within the consolidated statements of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Advertising costs, consisting of costs related to dealer conferences and commercials, are expensed as incurred and are included in selling, general, and administrative expense on the consolidated statements of operations. Total advertising costs were $9.8 million, $7.6 million, and $5.9 million during the years ended December 31, 2022, 2021 and 2020,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Comprehensive income (loss) is a measure of net income and all other changes in equity that result from transactions other than with equity holders and would normally be recorded in the consolidated statements of stockholders’ equity and the consolidated statements of comprehensive income. Other comprehensive income (loss) consists of foreign currency translation adjustments and defined benefit plan adjustments.</w:t>
      </w:r>
    </w:p>
    <w:p>
      <w:pPr>
        <w:spacing w:after="0" w:line="17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Income tax (benefit) expense on the components of other comprehensive income (loss) was not significant for the years ended December 31, 2022, 2021 and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Basic net income per share is calculated by dividing net income (loss) available to common stockholders by the weighted-average number of shares of common stock outstanding for the period. Diluted net income (loss) per share is calculated by dividing net income (loss) available to common stockholders by the diluted weighted-average number of shares of common stock outstanding for the period. Potentially dilutive shares are included in the diluted per-share calculations when the effect of their inclusion is 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accounts for treasury stock acquisitions using the cost method. The Company accounts for the retirement of treasury stock by deducting its par value from common stock and reflecting any excess of cost over par value as a deduction from additional paid-in capital on the consolidated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6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 12 months or less may be accounted for similar to how operating leases were accounted for under the prior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The Company adopted ASU 2016-02 on January 1, 2022 using the modified retrospective approach and elected the package of practical expedients to use in transition, which permitted the Company to not reassess, under the new standard, its prior conclusions about lease identification and lease classification. The adoption resulted in the addition of $33.5 million of operating lease right-of-use assets, and $34.0 million of operating lease liabilities, a decrease of $0.2 million to deferred rent and a decrease of $0.3 million to retained earnings for the cumulative effect of initially applying the new standard. The adoption did not have a material impact on the Company’s consolidated statements of operations, consolidated statements of stockholders’ equity, or consolidated statements of cash flows. See Note 13, “Leases” for additional information related to the Company’s leases and accounting policy elections.</w:t>
      </w:r>
    </w:p>
    <w:p>
      <w:pPr>
        <w:spacing w:after="0" w:line="177"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Credit Losses on Financial Instruments </w:t>
      </w:r>
      <w:r>
        <w:rPr>
          <w:rFonts w:ascii="Arial" w:cs="Arial" w:eastAsia="Arial" w:hAnsi="Arial"/>
          <w:sz w:val="16"/>
          <w:szCs w:val="16"/>
          <w:color w:val="auto"/>
        </w:rPr>
        <w:t>(“ASU 2016-13”), which requires the measurement and recognition of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 Financial Instruments  — 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w:t>
      </w:r>
      <w:r>
        <w:rPr>
          <w:rFonts w:ascii="Arial" w:cs="Arial" w:eastAsia="Arial" w:hAnsi="Arial"/>
          <w:sz w:val="16"/>
          <w:szCs w:val="16"/>
          <w:color w:val="auto"/>
        </w:rPr>
        <w:t>, which narrowed the scope and changed the effective date for nonpublic entities for ASU 2016-13.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FASB subsequently issued supplemental guidance within ASU 2019-05, </w:t>
      </w:r>
      <w:r>
        <w:rPr>
          <w:rFonts w:ascii="Arial" w:cs="Arial" w:eastAsia="Arial" w:hAnsi="Arial"/>
          <w:sz w:val="16"/>
          <w:szCs w:val="16"/>
          <w:i w:val="1"/>
          <w:iCs w:val="1"/>
          <w:color w:val="auto"/>
        </w:rPr>
        <w:t>Financial Instruments  —  Credit Losses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326): Targeted Transition Relief </w:t>
      </w:r>
      <w:r>
        <w:rPr>
          <w:rFonts w:ascii="Arial" w:cs="Arial" w:eastAsia="Arial" w:hAnsi="Arial"/>
          <w:sz w:val="16"/>
          <w:szCs w:val="16"/>
          <w:color w:val="auto"/>
        </w:rPr>
        <w:t>(“ASU 2019-05”). ASU 2019-05 provides an option to irrevocably elect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for certain financial assets previously measured at amortized cost basis. For public entities that are U.S. Securities and Exchange Commission filers, excluding entities eligible to be smaller reporting companies, ASU 2016-13 is effective for annual periods beginning after December 15, 2019, including interim</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11" w:lineRule="auto"/>
        <w:rPr>
          <w:sz w:val="20"/>
          <w:szCs w:val="20"/>
          <w:color w:val="auto"/>
        </w:rPr>
      </w:pPr>
      <w:r>
        <w:rPr>
          <w:rFonts w:ascii="Arial" w:cs="Arial" w:eastAsia="Arial" w:hAnsi="Arial"/>
          <w:sz w:val="16"/>
          <w:szCs w:val="16"/>
          <w:color w:val="auto"/>
        </w:rPr>
        <w:t>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spacing w:after="0" w:line="14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Investments — Equity Securities (Topic 321), Investments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Joint Ventures (Topic 323), and Derivatives and Hedging (Topic 815) </w:t>
      </w:r>
      <w:r>
        <w:rPr>
          <w:rFonts w:ascii="Arial" w:cs="Arial" w:eastAsia="Arial" w:hAnsi="Arial"/>
          <w:sz w:val="18"/>
          <w:szCs w:val="18"/>
          <w:color w:val="auto"/>
        </w:rPr>
        <w:t>(“ASU 2020-01”),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clarify the interaction of the accounting for equity securities 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 interim periods within those reporting periods. The adoption of this standard during the year ended December 31, 2022 did not have a material impact on the Company’s consolidated financial statements.</w:t>
      </w:r>
    </w:p>
    <w:p>
      <w:pPr>
        <w:spacing w:after="0" w:line="19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which provides optional expedients and exceptions for applying GAAP to contracts, hedging relationships,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transactions affected by the discontinuation of the London Interbank Offered Rate (“LIBOR”) or by another reference rate expected to be discontinued. In January 2021, the FASB issued ASU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Scope</w:t>
      </w:r>
      <w:r>
        <w:rPr>
          <w:rFonts w:ascii="Arial" w:cs="Arial" w:eastAsia="Arial" w:hAnsi="Arial"/>
          <w:sz w:val="17"/>
          <w:szCs w:val="17"/>
          <w:color w:val="auto"/>
        </w:rPr>
        <w:t>, that clarifies that certain optional expedients and exceptions in Topic 848 for contract modifications and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apply to derivatives that are affected by the discounting transition. Specifically, this guidance applies to derivative instruments that use an interest rate for margining, discounting, or contract price alignment that is modified as a result of reference rate reform. This guidance is effective for all entities upon issuance on March 12, 2020 and may be applied through December 31, 2022. The expedients and exceptions in this guidance are optional. The Company elected the optional expedient in connection with amending its interest rate swap to replace the reference rate from LIBOR to SOFR to consider the amendment as a continuation of the existing contract without having to perform an assessment that would otherwise be required under GAAP.</w:t>
      </w:r>
    </w:p>
    <w:p>
      <w:pPr>
        <w:spacing w:after="0" w:line="179"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Contract Liabilities from Contracts with Customers </w:t>
      </w:r>
      <w:r>
        <w:rPr>
          <w:rFonts w:ascii="Arial" w:cs="Arial" w:eastAsia="Arial" w:hAnsi="Arial"/>
          <w:sz w:val="16"/>
          <w:szCs w:val="16"/>
          <w:color w:val="auto"/>
        </w:rPr>
        <w:t>(“ASU 2021-08”), which amends ASC 805 by requiring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to apply ASC 606 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is currently evaluating ASU 2021-08 and its potential impact on its consolidated financial statements.</w:t>
      </w:r>
    </w:p>
    <w:p>
      <w:pPr>
        <w:spacing w:after="0" w:line="161"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Narellan Group Pty Limited</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On May 31, 2019 (the “Acquisition Date”), Latham Pool Products acquired Narellan Group Pty Limited and its subsidiaries (collectively “Narellan”) for a total purchase price of $35.2 million (the “Narellan Acquisition”). The results of Narellan’s operations have been included in the consolidated financial statements since that date. Narellan is a fiberglass pool manufacturer based in Australia with operations in Australia, New Zealand, and Canada. The acquisition expanded the Company’s operations to a broader geographical footprint. Additionally, the acquisition provided the Company with an increase in dealer and franchise relationships. In connection with the Narellan Acquisition, consideration paid included $20.2 million in cash, $7.6 million in equity consideration, and $7.4 million of contingent consideration as of the Acquisition Date. The cash consideration was funded, in part, through long-term debt proceeds of $22.3 million, net of discount of $0.7 million. The equity consideration consisted of common stock. The valuation of the common stock was prepared using a quantitative put options method. The Company incurred $1.1 million in transaction costs.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 Company agreed to pay the contingent consideration in the form of cash and equity consideration to the seller if certain EBITDA targets were achieved for any of the trailing twelve months periods ended December 31, 2019, June 30, 2020, or the year ended December 31, 2020 (the “Contingent Consideration”). The fair value of the Contingent Consideration at the Acquisition Date was $7.4 million.</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September 25, 2020, the Company amended the terms of the Narellan share purchase agreement to accelerate the settlement of the Contingent Consideration with the selling shareholders of Narellan based upon estimated EBITDA for the year ended December 31, 2020. The Contingent Consideration was settled through a cash payment of $6.6 million and the issuance of an additional 758,697 shares of common stock as equity consideration, which had a contractual value of $2.2 million and was recorded as a capital contribution on the consolidated statements of stockholders’ equity. Since the fair value of the common stock issued of $2.8 million exceeded the contractual value of $2.2 million and the selling shareholders were also employees of the Company as of the settlement date, the Company recorded the excess remuneration paid to the selling shareholders of $0.6 million as stock-based compensation in the consolidated statements of operations and as contributed capital in the consolidated statements of stockholders’ equity as of and for the year-ended December 31,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 International, LLC</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On October 22, 2020, Latham Pool Products acquired GL International, LLC ( “GLI”) for a total purchase price of $79.7 million (the “GLI Acquisition”). The results of GLI’s operations have been included in the consolidated financial statements since that date. GLI specializes in manufacturing custom pool liners and safety covers. As a result, this acquisition expanded the Company’s liner and safety cover product offerings. In connection with the GLI Acquisition, consideration paid was $79.7 million in cash, or $74.7 million net of cash acquired of $5.0 million, and excluding a net working capital adjustment receivable of $0.8 million. The net working capital adjustment receivable was recorded in prepaid expenses and other current assets in the consolidated balance sheet as of December 31, 2020. The cash consideration was funded from existing cash on hand. The Company incurred $2.4 million in transaction costs.</w:t>
      </w:r>
    </w:p>
    <w:p>
      <w:pPr>
        <w:spacing w:after="0" w:line="16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 xml:space="preserve">The Company accounted for the GLI Acquisition using the acquisition method of accounting in accordance with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dealer relationships were valued using the multi-period excess earnings method, whereas trade names were valued using the relief from royalty method. The Company recorded the assets acquired and liabilities assumed at their respective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purchase price allocation for the Company’s acquisition of GLI:</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October 22, 2020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79,743</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Allocation of purchase price: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79,551</w:t>
            </w:r>
          </w:p>
        </w:tc>
      </w:tr>
      <w:tr>
        <w:trPr>
          <w:trHeight w:val="209"/>
        </w:trPr>
        <w:tc>
          <w:tcPr>
            <w:tcW w:w="7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0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fair value of net assets acquired, excluding goodwill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66,638</w:t>
            </w:r>
          </w:p>
        </w:tc>
      </w:tr>
      <w:tr>
        <w:trPr>
          <w:trHeight w:val="21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r>
      <w:tr>
        <w:trPr>
          <w:trHeight w:val="20"/>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$13.1 million. Goodwill resulting from the GLI Acquisition was attributable to the expanded market share and product offerings. Goodwill resulting from the GLI Acquisition is deductible for tax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allocated a portion of the purchase price to specific intangible asset categories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Definite-lived intangible assets:</w:t>
            </w:r>
          </w:p>
        </w:tc>
        <w:tc>
          <w:tcPr>
            <w:tcW w:w="12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Dealer relationships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1240" w:type="dxa"/>
            <w:vAlign w:val="bottom"/>
            <w:tcBorders>
              <w:bottom w:val="single" w:sz="8" w:color="CCEEFF"/>
            </w:tcBorders>
            <w:gridSpan w:val="2"/>
          </w:tcPr>
          <w:p>
            <w:pPr>
              <w:jc w:val="center"/>
              <w:ind w:left="1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The following are the net sales and net loss from GLI included in the Company’s results from the GLI Acquisition Date through December 31, 2020:</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Trojan Leisure Products, LLC d/b/a Radiant Pools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that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Subsequent to the acquisition date, there was an additional amount due to the seller of $0.4 million related to the finalization of the net working capital adjustment, which was accounted for as a measurement period adjustment. The measurement period adjustment resulted in an increase in the total consideration transferred of $0.4 million and an increase to goodwill of $0.4 million. The net working capital adjustment was paid during the fiscal quarter ended July 2, 2022.</w:t>
      </w:r>
    </w:p>
    <w:p>
      <w:pPr>
        <w:spacing w:after="0" w:line="157" w:lineRule="exact"/>
        <w:rPr>
          <w:sz w:val="20"/>
          <w:szCs w:val="20"/>
          <w:color w:val="auto"/>
        </w:rPr>
      </w:pPr>
    </w:p>
    <w:p>
      <w:pPr>
        <w:ind w:left="60" w:right="319" w:firstLine="648"/>
        <w:spacing w:after="0" w:line="291" w:lineRule="auto"/>
        <w:rPr>
          <w:sz w:val="20"/>
          <w:szCs w:val="20"/>
          <w:color w:val="auto"/>
        </w:rPr>
      </w:pPr>
      <w:r>
        <w:rPr>
          <w:rFonts w:ascii="Arial" w:cs="Arial" w:eastAsia="Arial" w:hAnsi="Arial"/>
          <w:sz w:val="16"/>
          <w:szCs w:val="16"/>
          <w:color w:val="auto"/>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order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summarizes the purchase price allocation for the Company’s acquisition of Radiant: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November 24, 2021</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91,109</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Allocation of purchase price:</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16"/>
        </w:trPr>
        <w:tc>
          <w:tcPr>
            <w:tcW w:w="75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72,500</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82,709</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16"/>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r>
      <w:tr>
        <w:trPr>
          <w:trHeight w:val="21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fair value of net assets acquired, excluding goodwill</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77,007</w:t>
            </w:r>
          </w:p>
        </w:tc>
      </w:tr>
      <w:tr>
        <w:trPr>
          <w:trHeight w:val="21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14,102</w:t>
            </w:r>
          </w:p>
        </w:tc>
      </w:tr>
      <w:tr>
        <w:trPr>
          <w:trHeight w:val="20"/>
        </w:trPr>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identifiable assets acquired and the liabilities assumed in the acquisition was allocated to goodwill in the amount of $14.1 million. Goodwill resulting from the Radiant Acquisition was attributable to the expanded market share and product offerings. Goodwill resulting from the Radiant Acquisition is deductible for tax purposes.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allocated a portion of the purchase price to specific intangible asset categories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Definite-lived intangible assets:</w:t>
            </w:r>
          </w:p>
        </w:tc>
        <w:tc>
          <w:tcPr>
            <w:tcW w:w="120" w:type="dxa"/>
            <w:vAlign w:val="bottom"/>
          </w:tcPr>
          <w:p>
            <w:pPr>
              <w:spacing w:after="0"/>
              <w:rPr>
                <w:sz w:val="14"/>
                <w:szCs w:val="14"/>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Dealer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13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Pool designs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 months</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The following are the net sales and net income from Radiant included in the Company’s results from the Radiant Acquisition Date through December 31, 2021:</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10"/>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Business Combinations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During the fiscal quarter ended December 31, 2022, the Company completed the acquisition of certain fiberglass pool manufacturing assets in Seminole, Oklahoma that qualified as a business combination. This transaction resulted in an increase to goodwill, but was not material to our consolidated financial statements, and as a result, additional business combination disclosures for this acquisition have been omitted. There were no other business combinations during the year ended December 31, 2022.</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following pro forma financial information presents the statements of operations of the Company with GLI and Radiant as if the acquisitions occurred on January 1, 2020. The pro forma results do not include any anticipated synergies, cost savings, or other expected benefits of an acquisition. The pro forma financial information is not necessarily indicative of what the financial results would have been had the acquisitions been completed on January 1, 2020 and is not necessarily indicative of the Company’s future financial results.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695,736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662,282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486,276</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(5,426)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(50,382)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pro forma financial information presented above reflects the effects as a result of the acquisitions, including the amortization expense from acquired intangible assets, the depreciation and amortization expense from acquired property and equipment, the additional cost of sales from acquired inventory, interest expense from debt financing, and any related tax effects. Transaction costs for Radiant are reflected within pro forma net income for the year ended December 31, 2020.</w:t>
      </w:r>
    </w:p>
    <w:p>
      <w:pPr>
        <w:spacing w:after="0" w:line="400" w:lineRule="exact"/>
        <w:rPr>
          <w:sz w:val="20"/>
          <w:szCs w:val="20"/>
          <w:color w:val="auto"/>
        </w:rPr>
      </w:pPr>
    </w:p>
    <w:p>
      <w:pPr>
        <w:ind w:left="700" w:hanging="650"/>
        <w:spacing w:after="0"/>
        <w:tabs>
          <w:tab w:leader="none" w:pos="7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9"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color w:val="auto"/>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 the purchase price per common unit paid by Premier Group Holdings Inc., indicating the amount paid for the common units of Premier Pools &amp; Spas reflects the price that would be paid in an arm’s-length transaction. As a result of the transaction, the Company received cash proceeds of $6.8 million and recorded a gain on the sale of equity method investment of</w:t>
      </w:r>
    </w:p>
    <w:p>
      <w:pPr>
        <w:spacing w:after="0" w:line="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color w:val="auto"/>
        </w:rPr>
        <w:t>$3.9 million, which was recorded within other (income) expense, net on the consolidated statements of operations for the fiscal year ended December 31, 2021. The Company’s post-sale ownership interest in Premier Pools &amp; Spas was 20.1% following such transaction. On December 17, 2021, Premier Pools &amp; Spas issued additional non-voting common units to Premier Group Holdings Inc. As a result of the transaction, the Company recorded a gain on the sale of equity method investment of $1.0 million. The Company’s ownership interest in Premier Pools &amp; Spas after the issuance of additional non-voting common units is 18.2% while its’ voting interest remains 20.1%.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The Company historically has concluded that it held common stock of Premier Pools &amp; Spas and had the ability to exercise significant influence over Premier Pools &amp; Spas but did not have a controlling financial interest. As required when there is a change in facts or circumstances, the Company reassessed its ability to exercise significant influence during the fiscal quarter ended December 31, 2022. The Company concluded that it no longer had the ability to exercise significant influence. However, the Company also considered that it has an ownership interest of greater than 5% in Premier Pools &amp; Spas, which is a limited liability company with specific ownership accounts. Accordingly, because of the legal form of the investee, the Company continues to account for this investment using the equity method of accounting since it is not required to demonstrate the ability to exercise significant influence under the relevant guidance. The Company’s proportionate share of the earnings or losses of the investee are reported as a separate line in the consolidated statements of operations.</w:t>
      </w:r>
    </w:p>
    <w:p>
      <w:pPr>
        <w:spacing w:after="0" w:line="19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7"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In connection with Latham’s investment in Premier Pools &amp; Spas, the Company entered into an exclusive supply agreement with Premier Pools &amp; Spas, the Premier Companies, and Premier Pools &amp; Spas’ franchisees (“Premier Franchisees”) (together, the “Customer”). Premier Pools &amp; Spas does not consolidate the operations of the Premier Franchisees. Per the supply agreement, Latham is the exclusive supplier of the Premier Franchisees for specific pool and pool products. These products include fiberglass products and packaged pool products. The initial term of the supply agreement is ten years.</w:t>
      </w:r>
    </w:p>
    <w:p>
      <w:pPr>
        <w:spacing w:after="0" w:line="192" w:lineRule="exact"/>
        <w:rPr>
          <w:sz w:val="20"/>
          <w:szCs w:val="20"/>
          <w:color w:val="auto"/>
        </w:rPr>
      </w:pPr>
    </w:p>
    <w:p>
      <w:pPr>
        <w:jc w:val="both"/>
        <w:ind w:left="60" w:right="159" w:firstLine="648"/>
        <w:spacing w:after="0" w:line="301" w:lineRule="auto"/>
        <w:rPr>
          <w:sz w:val="20"/>
          <w:szCs w:val="20"/>
          <w:color w:val="auto"/>
        </w:rPr>
      </w:pPr>
      <w:r>
        <w:rPr>
          <w:rFonts w:ascii="Arial" w:cs="Arial" w:eastAsia="Arial" w:hAnsi="Arial"/>
          <w:sz w:val="16"/>
          <w:szCs w:val="16"/>
          <w:color w:val="auto"/>
        </w:rPr>
        <w:t>For the first three years of the supply agreement, 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 assuming the Premier Franchisees are in good standing with respect to amounts owed to the Company.</w:t>
      </w:r>
    </w:p>
    <w:p>
      <w:pPr>
        <w:spacing w:after="0" w:line="157"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As of December 31, 2022 and 2021, the Company’s carrying amount for the equity method investment in Premier Pools &amp; Spas was $25.1 million and $23.4 million, respectively. During the fiscal year ended December 31, 2022, Premier Pools &amp; Spas paid the Company dividends of $2.5 million that are presented on the consolidated statement of cash flows as distribution received from equity method investment. During the fiscal year ended December 31, 2021, Premier Pools &amp; Spas paid the Company dividends of $2.2 million that are presented on the consolidated statement of cash flows as distribution received from equity method investment of $1.8 million and return of equity method investment of</w:t>
      </w:r>
    </w:p>
    <w:p>
      <w:pPr>
        <w:spacing w:after="0" w:line="4"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$0.4 million, respectively. The Company recorded its interest in net earnings of Premier Pools &amp; Spas of $4.2 million and $2.2 million for the years ended December 31, 2022 and 2021, respectively, which included basis difference adjustments of $0.2 million and $0.3 million, respectively.</w:t>
      </w:r>
    </w:p>
    <w:p>
      <w:pPr>
        <w:spacing w:after="0" w:line="186" w:lineRule="exact"/>
        <w:rPr>
          <w:sz w:val="20"/>
          <w:szCs w:val="20"/>
          <w:color w:val="auto"/>
        </w:rPr>
      </w:pPr>
    </w:p>
    <w:p>
      <w:pPr>
        <w:ind w:left="700" w:hanging="650"/>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89"/>
              </w:rPr>
              <w:t>2022</w:t>
            </w:r>
          </w:p>
        </w:tc>
        <w:tc>
          <w:tcPr>
            <w:tcW w:w="8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27"/>
              <w:spacing w:after="0" w:line="142" w:lineRule="exact"/>
              <w:rPr>
                <w:sz w:val="20"/>
                <w:szCs w:val="20"/>
                <w:color w:val="auto"/>
              </w:rPr>
            </w:pPr>
            <w:r>
              <w:rPr>
                <w:rFonts w:ascii="Arial" w:cs="Arial" w:eastAsia="Arial" w:hAnsi="Arial"/>
                <w:sz w:val="14"/>
                <w:szCs w:val="14"/>
                <w:b w:val="1"/>
                <w:bCs w:val="1"/>
                <w:color w:val="auto"/>
                <w:w w:val="96"/>
              </w:rPr>
              <w:t>2021</w:t>
            </w:r>
          </w:p>
        </w:tc>
        <w:tc>
          <w:tcPr>
            <w:tcW w:w="880" w:type="dxa"/>
            <w:vAlign w:val="bottom"/>
            <w:tcBorders>
              <w:bottom w:val="single" w:sz="8" w:color="auto"/>
            </w:tcBorders>
          </w:tcPr>
          <w:p>
            <w:pPr>
              <w:spacing w:after="0"/>
              <w:rPr>
                <w:sz w:val="12"/>
                <w:szCs w:val="12"/>
                <w:color w:val="auto"/>
              </w:rPr>
            </w:pPr>
          </w:p>
        </w:tc>
      </w:tr>
      <w:tr>
        <w:trPr>
          <w:trHeight w:val="133"/>
        </w:trPr>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w w:val="98"/>
              </w:rPr>
              <w:t>Estimated</w:t>
            </w:r>
          </w:p>
        </w:tc>
      </w:tr>
      <w:tr>
        <w:trPr>
          <w:trHeight w:val="171"/>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820" w:type="dxa"/>
            <w:vAlign w:val="bottom"/>
          </w:tcPr>
          <w:p>
            <w:pPr>
              <w:jc w:val="right"/>
              <w:ind w:right="219"/>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Term Loan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312,881</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Amended Prior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280,408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281,926</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December 31, 2022 and 2021, the Company’s interest rate swap asset was $3.5 million and $0.5 million, respectively, which was recorded within other assets on the consolidated balance sheets.</w:t>
      </w:r>
    </w:p>
    <w:p>
      <w:pPr>
        <w:spacing w:after="0" w:line="184"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table presents the changes in the carrying value of goodwill during the years ended December 31, 2022 and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115,750</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13,718</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128,871</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Measurement period adjustment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131,383</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The Company performed an annual test for goodwill impairment in the fourth quarter of the fiscal years ended December 31, 2022 and 2021 in accordance with Step 0 of ASC 350 and determined that goodwill was not impaired.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 assets, net as of December 31, 2022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2022</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89"/>
              </w:rPr>
              <w:t>Foreign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$ 125,034</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Pool designs</w:t>
            </w:r>
          </w:p>
        </w:tc>
        <w:tc>
          <w:tcPr>
            <w:tcW w:w="800" w:type="dxa"/>
            <w:vAlign w:val="bottom"/>
          </w:tcPr>
          <w:p>
            <w:pPr>
              <w:jc w:val="right"/>
              <w:spacing w:after="0"/>
              <w:rPr>
                <w:sz w:val="20"/>
                <w:szCs w:val="20"/>
                <w:color w:val="auto"/>
              </w:rPr>
            </w:pPr>
            <w:r>
              <w:rPr>
                <w:rFonts w:ascii="Arial" w:cs="Arial" w:eastAsia="Arial" w:hAnsi="Arial"/>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Dealer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150,690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$ 309,215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 assets, net as of December 31, 2021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9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$ 132,157</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Patented technology</w:t>
            </w: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Pool designs</w:t>
            </w:r>
          </w:p>
        </w:tc>
        <w:tc>
          <w:tcPr>
            <w:tcW w:w="800" w:type="dxa"/>
            <w:vAlign w:val="bottom"/>
          </w:tcPr>
          <w:p>
            <w:pPr>
              <w:jc w:val="right"/>
              <w:spacing w:after="0"/>
              <w:rPr>
                <w:sz w:val="20"/>
                <w:szCs w:val="20"/>
                <w:color w:val="auto"/>
              </w:rPr>
            </w:pPr>
            <w:r>
              <w:rPr>
                <w:rFonts w:ascii="Arial" w:cs="Arial" w:eastAsia="Arial" w:hAnsi="Arial"/>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Dealer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800" w:type="dxa"/>
            <w:vAlign w:val="bottom"/>
          </w:tcPr>
          <w:p>
            <w:pPr>
              <w:jc w:val="right"/>
              <w:spacing w:after="0"/>
              <w:rPr>
                <w:sz w:val="20"/>
                <w:szCs w:val="20"/>
                <w:color w:val="auto"/>
              </w:rPr>
            </w:pPr>
            <w:r>
              <w:rPr>
                <w:rFonts w:ascii="Arial" w:cs="Arial" w:eastAsia="Arial" w:hAnsi="Arial"/>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$ 338,310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The Company recognized $28.2 million, $22.6 million, and $17.3 million of amortization expense related to intangible assets during the years ended December 31, 2022, 2021, and 2020, respectively.</w:t>
      </w:r>
    </w:p>
    <w:p>
      <w:pPr>
        <w:spacing w:after="0" w:line="170"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Estimated Future</w:t>
            </w:r>
          </w:p>
        </w:tc>
        <w:tc>
          <w:tcPr>
            <w:tcW w:w="0" w:type="dxa"/>
            <w:vAlign w:val="bottom"/>
          </w:tcPr>
          <w:p>
            <w:pPr>
              <w:spacing w:after="0"/>
              <w:rPr>
                <w:sz w:val="1"/>
                <w:szCs w:val="1"/>
                <w:color w:val="auto"/>
              </w:rPr>
            </w:pPr>
          </w:p>
        </w:tc>
      </w:tr>
      <w:tr>
        <w:trPr>
          <w:trHeight w:val="149"/>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4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2024</w:t>
            </w: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2026</w:t>
            </w: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shd w:val="clear" w:color="auto" w:fill="CCEEFF"/>
          </w:tcPr>
          <w:p>
            <w:pPr>
              <w:spacing w:after="0"/>
              <w:rPr>
                <w:sz w:val="18"/>
                <w:szCs w:val="18"/>
                <w:color w:val="auto"/>
              </w:rPr>
            </w:pPr>
          </w:p>
        </w:tc>
        <w:tc>
          <w:tcPr>
            <w:tcW w:w="4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820" w:type="dxa"/>
            <w:vAlign w:val="bottom"/>
            <w:vMerge w:val="restart"/>
          </w:tcPr>
          <w:p>
            <w:pPr>
              <w:jc w:val="right"/>
              <w:ind w:right="273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5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5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net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77,510</w:t>
            </w: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69,832</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32,046</w:t>
            </w:r>
          </w:p>
        </w:tc>
      </w:tr>
      <w:tr>
        <w:trPr>
          <w:trHeight w:val="210"/>
        </w:trPr>
        <w:tc>
          <w:tcPr>
            <w:tcW w:w="5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109,556</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9,946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Molds and dyes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16,934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13,365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4,363</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46,581</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r>
      <w:tr>
        <w:trPr>
          <w:trHeight w:val="210"/>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130,033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86,469</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(31,849)</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r>
      <w:tr>
        <w:trPr>
          <w:trHeight w:val="210"/>
        </w:trPr>
        <w:tc>
          <w:tcPr>
            <w:tcW w:w="6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98,184</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63,506</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Depreciation and amortization expense related to property and equipment during the years ended December 31, 2022, 2021 and 2020 was $10.0 million, $9.7 million, and $8.0 million, respectively. Construction in progress recorded as of December 31, 2022 and 2021 primarily related to an increase in fiberglass molds and fiberglass production capacity. The Company recorded aggregate losses on sales and disposals of property and equipment of $0.2 million, $0.3 million, and $0.3 million during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The components of the Company’s outstanding debt obligations consisted of the following (in thousands):</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Amended Prior Term Loan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284,009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09"/>
        </w:trPr>
        <w:tc>
          <w:tcPr>
            <w:tcW w:w="49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312,881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280,408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(17,220)</w:t>
            </w:r>
          </w:p>
        </w:tc>
      </w:tr>
      <w:tr>
        <w:trPr>
          <w:trHeight w:val="209"/>
        </w:trPr>
        <w:tc>
          <w:tcPr>
            <w:tcW w:w="4960" w:type="dxa"/>
            <w:vAlign w:val="bottom"/>
          </w:tcPr>
          <w:p>
            <w:pPr>
              <w:ind w:left="100"/>
              <w:spacing w:after="0"/>
              <w:rPr>
                <w:sz w:val="20"/>
                <w:szCs w:val="20"/>
                <w:color w:val="auto"/>
              </w:rPr>
            </w:pPr>
            <w:r>
              <w:rPr>
                <w:rFonts w:ascii="Arial" w:cs="Arial" w:eastAsia="Arial" w:hAnsi="Arial"/>
                <w:sz w:val="18"/>
                <w:szCs w:val="18"/>
                <w:color w:val="auto"/>
              </w:rPr>
              <w:t>Total long-term debt</w:t>
            </w:r>
          </w:p>
        </w:tc>
        <w:tc>
          <w:tcPr>
            <w:tcW w:w="1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309,631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263,188</w:t>
            </w:r>
          </w:p>
        </w:tc>
      </w:tr>
      <w:tr>
        <w:trPr>
          <w:trHeight w:val="20"/>
        </w:trPr>
        <w:tc>
          <w:tcPr>
            <w:tcW w:w="4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February 23, 2022, Latham Pool Products entered into an agreement (the “New Credit Agreement”) with Barclays Bank PLC, which provides a senior secured multicurrency revolving line of credit (the “New Revolving Credit Facility”) in an initial principal amount of $75.0 million and a U.S. Dollar senior secured term loan (the “New Term Loan”) in an initial principal amount of $325.0 million (the “Refinancing”). On the closing date, proceeds under the New Credit Agreement were used to terminate the Credit Agreement (as defined below) by repayment of $294.0 million of outstanding debt thereunder and for general corporate purposes. As of December 31, 2022, the Company was in compliance with all financial covenants under the New Credit Agreement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Revolving Credit Facility</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(as defined in the New Credit Agreement, the “First Lien Net Leverage Ratio”). Borrowings under the New Revolving Credit Facility are due at maturity.</w:t>
      </w:r>
    </w:p>
    <w:p>
      <w:pPr>
        <w:spacing w:after="0" w:line="186"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Company incurred debt issuance costs of $0.8 million related to the New Revolving Credit Facility. The debt issuance costs were recorded within other assets on the consolidated balance sheet and are being amortized over the life of the New Revolving Credit Facility.</w:t>
      </w:r>
    </w:p>
    <w:p>
      <w:pPr>
        <w:spacing w:after="0" w:line="184" w:lineRule="exact"/>
        <w:rPr>
          <w:sz w:val="20"/>
          <w:szCs w:val="20"/>
          <w:color w:val="auto"/>
        </w:rPr>
      </w:pPr>
    </w:p>
    <w:p>
      <w:pPr>
        <w:ind w:left="60" w:right="319" w:firstLine="648"/>
        <w:spacing w:after="0" w:line="257"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2022, there were no outstanding borrowings on the New Revolving Credit Facility.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Term Loan</w:t>
      </w:r>
    </w:p>
    <w:p>
      <w:pPr>
        <w:spacing w:after="0" w:line="225"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Pursuant to the New Credit Agreement, Latham Pool Products borrowed $325.0 million in term loans. The New Term Loan matures on February 23, 2029. Loans outstanding under the New Term Loan bear interest, at the borrower’s option, at a rate per annum based on Term SOFR (as defined in the New Credit Agreement), plus a margin ranging from</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3.75% to 4.00%, depending on the First Lien Net Leverage Ratio, or based on the Base Rate (as defined in the New Credit Agreement), plus a margin ranging from 2.75% to 3.00%, depending on the First Lien Net Leverage Ratio. Loans under the New Term Loan are subject to scheduled quarterly amortization payments of $812,500, equal to 0.25% of the initial principal amount of the New Term Loan. The New Term Loan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77"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The Company recorded $6.1 million of debt issuance costs and $4.9 million of debt discount related to the New Term Loan as a direct reduction to the carrying amount of long-term debt on the consolidated balance sheet.</w:t>
      </w:r>
    </w:p>
    <w:p>
      <w:pPr>
        <w:spacing w:after="0" w:line="146"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Outstanding borrowings as of December 31, 2022 were $312.9 million, net of discount and debt issuance costs of $9.7 million. In connection with the New Term Loan, the Company is subject to various negative, reporting, financial, and other covenants, including maintaining specific liquidity measurements.</w:t>
      </w:r>
    </w:p>
    <w:p>
      <w:pPr>
        <w:spacing w:after="0" w:line="18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December 31, 2022, the unamortized debt issuance costs and discount on the New Term Loan were $5.4 million and $4.3 million, respectively. The effective interest rate was 9.14% at December 31, 2022, including the impact of the Company’s interest rate swap.</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Revolving Credit Facility</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“Prior Revolving Credit Facility”) in the amount of up to $30 million, as well as the Prior Term Loan (as described and defined below). The Prior Revolving Credit Facility was utilized to finance ongoing general corporate and working capital needs.</w:t>
      </w:r>
    </w:p>
    <w:p>
      <w:pPr>
        <w:spacing w:after="0" w:line="188"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Prior Revolving Credit Facility allowed for either Eurocurrency borrowings, bearing interest ranging from 4.50% to 4.75%, or base rate borrowings, bearing interest ranging from 3.50% to 3.75% depending on the First Lien Net Leverage Ratio, as defined in the Credit Agreement. A commitment fee accrued on any unused portion of the commitments under the Prior Revolving Credit Facility. The commitment fee was due and payable quarterly in arrears and was equal to the applicable margin times the actual daily amount by which the $30.0 million initial commitment exceeded the sum of the outstanding borrowings under the Revolver and outstanding Letters of Credit obligations. The applicable margin ranged from 0.375% to 0.500% as determined by the Company’s First Lien Net Leverage Ratio as defined in the Credit Agreement.</w:t>
      </w:r>
    </w:p>
    <w:p>
      <w:pPr>
        <w:spacing w:after="0" w:line="192" w:lineRule="exact"/>
        <w:rPr>
          <w:sz w:val="20"/>
          <w:szCs w:val="20"/>
          <w:color w:val="auto"/>
        </w:rPr>
      </w:pPr>
    </w:p>
    <w:p>
      <w:pPr>
        <w:ind w:left="60" w:right="359" w:firstLine="648"/>
        <w:spacing w:after="0" w:line="293" w:lineRule="auto"/>
        <w:rPr>
          <w:sz w:val="20"/>
          <w:szCs w:val="20"/>
          <w:color w:val="auto"/>
        </w:rPr>
      </w:pPr>
      <w:r>
        <w:rPr>
          <w:rFonts w:ascii="Arial" w:cs="Arial" w:eastAsia="Arial" w:hAnsi="Arial"/>
          <w:sz w:val="16"/>
          <w:szCs w:val="16"/>
          <w:color w:val="auto"/>
        </w:rPr>
        <w:t>The Company was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and make prepayments. As of December 31, 2021, the Company was in compliance with all financial-related covenants related to the Credit Agreement. There were no amounts outstanding as of December 31, 2021 on the Revolver or Letters of Credit. The Prior Revolving Credit Facility was terminated in connection with the Refinancing.</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Term Loan</w:t>
      </w:r>
    </w:p>
    <w:p>
      <w:pPr>
        <w:spacing w:after="0" w:line="225"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Pursuant to the Credit Agreement, Latham Pool Products also borrowed $215.0 million in term loans (the “Prior Term Loan”). The Prior Term Loan was amended on May 29, 2019, to provide additional borrowings of $23.0 million, which was accounted for as a modification to the Prior Term Loan, to fund the Company’s acquisition of Narellan Group Pty Limited and its subsidiaries (the “First Amendment”). On October 14, 2020, Latham Pool Products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Latham Pool Products amended its Term Loan to revise the applicable reporting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requirements (the “Fourth Amendment”). On April 27, 2021, upon completion of the IPO, the Company used $152.7 million of the net proceeds from the IPO to repay $152.7 million of the Prior Term Loan. On November 24, 2021, Latham Pool Products amended the Term Loan to provide additional borrowings of $50 million (the “Fifth Amendment”). The proceeds from this incremental term loan were used to finance the Radiant Acquisition in part. The Prior Term Loan, collectively with the First Amendment, Second Amendment, Third Amendment, the Fourth Amendment, and the Fifth Amendment, is referred to as the “Amended Prior Term Loan.”</w:t>
      </w:r>
    </w:p>
    <w:p>
      <w:pPr>
        <w:spacing w:after="0" w:line="178" w:lineRule="exact"/>
        <w:rPr>
          <w:sz w:val="20"/>
          <w:szCs w:val="20"/>
          <w:color w:val="auto"/>
        </w:rPr>
      </w:pPr>
    </w:p>
    <w:p>
      <w:pPr>
        <w:ind w:left="60" w:right="319" w:firstLine="648"/>
        <w:spacing w:after="0" w:line="291" w:lineRule="auto"/>
        <w:rPr>
          <w:sz w:val="20"/>
          <w:szCs w:val="20"/>
          <w:color w:val="auto"/>
        </w:rPr>
      </w:pPr>
      <w:r>
        <w:rPr>
          <w:rFonts w:ascii="Arial" w:cs="Arial" w:eastAsia="Arial" w:hAnsi="Arial"/>
          <w:sz w:val="16"/>
          <w:szCs w:val="16"/>
          <w:color w:val="auto"/>
        </w:rPr>
        <w:t xml:space="preserve">The Amended Prior Term Loan bore interest at (1) a base rate equal to the highest of (i) the Federal Funds Rate plus </w:t>
      </w:r>
      <w:r>
        <w:rPr>
          <w:rFonts w:ascii="Arial" w:cs="Arial" w:eastAsia="Arial" w:hAnsi="Arial"/>
          <w:sz w:val="11"/>
          <w:szCs w:val="11"/>
          <w:color w:val="auto"/>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(ii) the “prime rate” published in the Money Rates section of the Wall Street Journal and (iii) LIBOR</w:t>
      </w:r>
    </w:p>
    <w:p>
      <w:pPr>
        <w:ind w:left="60" w:right="179" w:hanging="10"/>
        <w:spacing w:after="0" w:line="273"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plus a Loan Margin of (i) 6.00% for Eurocurrency Rate Loans and (ii) 5.00% for Base Rate Loans, as defined in the Credit Agreement. Principal payments under the First Amendment were calculated as 0.629% of the outstanding principal balance. In connection with the Amended Prior Term Loan, the Company was subject to various financial reporting, financial and other covenants, including maintaining specific liquidity measurements.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 the Amended Prior Term Loan, the Company was required to make mandatory prepayments based on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Company’s excess cash flow for the year, as follows (as a percentage of the Company’s excess cash flow for the year):</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457"/>
              <w:spacing w:after="0"/>
              <w:rPr>
                <w:sz w:val="20"/>
                <w:szCs w:val="20"/>
                <w:color w:val="auto"/>
              </w:rPr>
            </w:pPr>
            <w:r>
              <w:rPr>
                <w:rFonts w:ascii="Arial" w:cs="Arial" w:eastAsia="Arial" w:hAnsi="Arial"/>
                <w:sz w:val="14"/>
                <w:szCs w:val="14"/>
                <w:b w:val="1"/>
                <w:bCs w:val="1"/>
                <w:color w:val="auto"/>
              </w:rPr>
              <w:t>Mandatory</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Leverage Ratio</w:t>
            </w:r>
          </w:p>
        </w:tc>
        <w:tc>
          <w:tcPr>
            <w:tcW w:w="1820" w:type="dxa"/>
            <w:vAlign w:val="bottom"/>
          </w:tcPr>
          <w:p>
            <w:pPr>
              <w:jc w:val="right"/>
              <w:ind w:right="437"/>
              <w:spacing w:after="0" w:line="149" w:lineRule="exact"/>
              <w:rPr>
                <w:sz w:val="20"/>
                <w:szCs w:val="20"/>
                <w:color w:val="auto"/>
              </w:rPr>
            </w:pPr>
            <w:r>
              <w:rPr>
                <w:rFonts w:ascii="Arial" w:cs="Arial" w:eastAsia="Arial" w:hAnsi="Arial"/>
                <w:sz w:val="14"/>
                <w:szCs w:val="14"/>
                <w:b w:val="1"/>
                <w:bCs w:val="1"/>
                <w:color w:val="auto"/>
              </w:rPr>
              <w:t>Prepayment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gridSpan w:val="2"/>
            <w:vMerge w:val="continue"/>
          </w:tcPr>
          <w:p>
            <w:pPr>
              <w:spacing w:after="0"/>
              <w:rPr>
                <w:sz w:val="14"/>
                <w:szCs w:val="14"/>
                <w:color w:val="auto"/>
              </w:rPr>
            </w:pPr>
          </w:p>
        </w:tc>
        <w:tc>
          <w:tcPr>
            <w:tcW w:w="1820" w:type="dxa"/>
            <w:vAlign w:val="bottom"/>
          </w:tcPr>
          <w:p>
            <w:pPr>
              <w:jc w:val="right"/>
              <w:ind w:right="557"/>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&gt; 3.50:1.00</w:t>
            </w:r>
          </w:p>
        </w:tc>
        <w:tc>
          <w:tcPr>
            <w:tcW w:w="3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&gt; 3.00:1.00 and ≤ 3.50:1.00</w:t>
            </w:r>
          </w:p>
        </w:tc>
        <w:tc>
          <w:tcPr>
            <w:tcW w:w="182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 2.50:1.00 and ≤ 3.00:1.00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&gt; 2.00:1.00 and ≤ 2.50:1.00</w:t>
            </w:r>
          </w:p>
        </w:tc>
        <w:tc>
          <w:tcPr>
            <w:tcW w:w="18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2.00:1.00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019" w:firstLine="648"/>
        <w:spacing w:after="0" w:line="342" w:lineRule="auto"/>
        <w:rPr>
          <w:sz w:val="20"/>
          <w:szCs w:val="20"/>
          <w:color w:val="auto"/>
        </w:rPr>
      </w:pPr>
      <w:r>
        <w:rPr>
          <w:rFonts w:ascii="Arial" w:cs="Arial" w:eastAsia="Arial" w:hAnsi="Arial"/>
          <w:sz w:val="16"/>
          <w:szCs w:val="16"/>
          <w:color w:val="auto"/>
        </w:rPr>
        <w:t>Net Leverage Ratio in the table above was defined, as of any date of determination, as the ratio of net indebtedness at such date to consolidated earnings before interest, taxes, depreciation, and amortization.</w:t>
      </w:r>
    </w:p>
    <w:p>
      <w:pPr>
        <w:spacing w:after="0" w:line="12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There was no estimated mandatory prepayment to be paid as of December 31, 2021. There also was negative covenants, including, but not limited to, certain restrictions on the Company’s ability to incur additional indebtedness, create liens, make investments, consolidate or merge with other entities, enter into transactions with affiliates, and make prepayments. As of December 31, 2021, the Company was in compliance with all financial-related covenants related to the Term Loan.</w:t>
      </w:r>
    </w:p>
    <w:p>
      <w:pPr>
        <w:spacing w:after="0" w:line="188"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As of December 31, 2021, the unamortized debt issuance costs and discount on the Amended Prior Term Loan were $2.5 million and $1.1 million, respectively. The effective interest rate was 7.04% at December 31, 2021. The Amended Prior Term Loan was repaid and terminated in connection with the Refinancing.</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Interest rate risk associated with the New Credit Agreement is managed through an interest rate swap that the Company executed on April 30, 2020. The swap has an effective date of May 18, 2020 and a termination date of May 18, 2023. In February of 2022, the Company amended its interest rate swap to change the index rate from LIBOR to SOFR in connection with the entry into the New Credit Agreement. Under the terms of the amended swap, the Company fixed its SOFR borrowing rate at 0.496% on a notional amount of $200.0 million. The interest rate swap is not designated as a hedging instrument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500" w:type="dxa"/>
            <w:vAlign w:val="bottom"/>
          </w:tcPr>
          <w:p>
            <w:pPr>
              <w:jc w:val="right"/>
              <w:ind w:right="474"/>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71"/>
        </w:trPr>
        <w:tc>
          <w:tcPr>
            <w:tcW w:w="706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306,312</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322,562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The obligations under the New Credit Agreement are guaranteed by certain wholly owned subsidiaries (the “Guarantors”) of the Company as defined in the security agreement. The obligations under the New Credit Agreement are secured by substantially all of the Guarantors’ tangible and intangible assets, including their accounts receivables, equipment, intellectual property, inventory, cash and cash equivalents, deposit accounts, and security accounts. The New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174" w:lineRule="exact"/>
        <w:rPr>
          <w:sz w:val="20"/>
          <w:szCs w:val="20"/>
          <w:color w:val="auto"/>
        </w:rPr>
      </w:pPr>
    </w:p>
    <w:p>
      <w:pPr>
        <w:ind w:left="700" w:hanging="650"/>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rebates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Accrued product warranties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4,717</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incentives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Accrued vacation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third-party services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r>
      <w:tr>
        <w:trPr>
          <w:trHeight w:val="21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59,097</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Bad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allowance for bad debt consisted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9"/>
        </w:trPr>
        <w:tc>
          <w:tcPr>
            <w:tcW w:w="46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 Ended</w:t>
      </w:r>
    </w:p>
    <w:p>
      <w:pPr>
        <w:jc w:val="center"/>
        <w:ind w:left="49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Accruals for warranties issued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liabilities assumed in GLI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Warranty liabilities assumed in Radiant Acquisition</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Settlements made (in cash or in kind)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r>
      <w:tr>
        <w:trPr>
          <w:trHeight w:val="210"/>
        </w:trPr>
        <w:tc>
          <w:tcPr>
            <w:tcW w:w="498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EXIT OR DISPOSAL COSTS</w:t>
      </w:r>
    </w:p>
    <w:p>
      <w:pPr>
        <w:spacing w:after="0" w:line="22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On November 8, 2022, the Company approved a cost reduction plan focused on efforts to improve efficiencies and decrease costs. The plan involved the closure of the Company’s manufacturing facility in Bossier City, Louisiana, and a reduction to the Company’s workforce. The Company expects to incur charges for employee severance and related costs, as well as fixed asset and facility related expenses, of approximately $1.6 million.</w:t>
      </w:r>
    </w:p>
    <w:p>
      <w:pPr>
        <w:spacing w:after="0" w:line="171"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During the year ended December 31, 2022, the Company recognized costs related to the plan totaling $1.1 million, comprised primarily of $1.0 million for severance and related costs and $0.1 million of fixed asset and facility related expenses. These charges were included in cost of sales and selling, general, and administrative expenses in the consolidated statements of operations. The remaining costs under the plan of approximately $0.5 million are expected to be incurred and recognized in 2023. The Company did not have an exit or disposal cost related liability as of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The Company leases vehicles, manufacturing facilities, office space, land, and equipment under operating leases. As of December 31, 2022, our operating leases substantially have remaining terms of one year to eleven years, some of which include options to extend and/or terminate the leases. The Company does not have material finance leases.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components of lease expense for the year ended December 31, 2022 were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Year Ended</w:t>
            </w:r>
          </w:p>
        </w:tc>
      </w:tr>
      <w:tr>
        <w:trPr>
          <w:trHeight w:val="142"/>
        </w:trPr>
        <w:tc>
          <w:tcPr>
            <w:tcW w:w="68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center"/>
              <w:ind w:right="168"/>
              <w:spacing w:after="0" w:line="142" w:lineRule="exact"/>
              <w:rPr>
                <w:sz w:val="20"/>
                <w:szCs w:val="20"/>
                <w:color w:val="auto"/>
              </w:rPr>
            </w:pPr>
            <w:r>
              <w:rPr>
                <w:rFonts w:ascii="Arial" w:cs="Arial" w:eastAsia="Arial" w:hAnsi="Arial"/>
                <w:sz w:val="14"/>
                <w:szCs w:val="14"/>
                <w:b w:val="1"/>
                <w:bCs w:val="1"/>
                <w:color w:val="auto"/>
                <w:w w:val="91"/>
              </w:rPr>
              <w:t>December 31, 2022</w:t>
            </w:r>
          </w:p>
        </w:tc>
        <w:tc>
          <w:tcPr>
            <w:tcW w:w="16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Total lease expense</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9,814</w:t>
            </w:r>
          </w:p>
        </w:tc>
        <w:tc>
          <w:tcPr>
            <w:tcW w:w="16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8900" w:type="dxa"/>
            <w:vAlign w:val="bottom"/>
            <w:gridSpan w:val="5"/>
          </w:tcPr>
          <w:p>
            <w:pPr>
              <w:ind w:left="660"/>
              <w:spacing w:after="0"/>
              <w:rPr>
                <w:sz w:val="20"/>
                <w:szCs w:val="20"/>
                <w:color w:val="auto"/>
              </w:rPr>
            </w:pPr>
            <w:r>
              <w:rPr>
                <w:rFonts w:ascii="Arial" w:cs="Arial" w:eastAsia="Arial" w:hAnsi="Arial"/>
                <w:sz w:val="18"/>
                <w:szCs w:val="18"/>
                <w:color w:val="auto"/>
              </w:rPr>
              <w:t>The table below presents supplemental information related to leases as of December 31, 2022:</w:t>
            </w:r>
          </w:p>
        </w:tc>
      </w:tr>
      <w:tr>
        <w:trPr>
          <w:trHeight w:val="378"/>
        </w:trPr>
        <w:tc>
          <w:tcPr>
            <w:tcW w:w="68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8"/>
                <w:szCs w:val="18"/>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8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0"/>
                <w:szCs w:val="20"/>
                <w:color w:val="auto"/>
              </w:rPr>
            </w:pP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4.9 %</w:t>
            </w:r>
          </w:p>
        </w:tc>
      </w:tr>
    </w:tbl>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table below presents supplemental information related to the cash flows for operating leases recorded on the consolidated statements of cash flows (in thousands):</w:t>
      </w:r>
    </w:p>
    <w:p>
      <w:pPr>
        <w:spacing w:after="0" w:line="175"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6350</wp:posOffset>
            </wp:positionV>
            <wp:extent cx="8401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jc w:val="center"/>
        <w:ind w:left="7560"/>
        <w:spacing w:after="0"/>
        <w:rPr>
          <w:sz w:val="20"/>
          <w:szCs w:val="20"/>
          <w:color w:val="auto"/>
        </w:rPr>
      </w:pPr>
      <w:r>
        <w:rPr>
          <w:rFonts w:ascii="Arial" w:cs="Arial" w:eastAsia="Arial" w:hAnsi="Arial"/>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4"/>
        </w:trPr>
        <w:tc>
          <w:tcPr>
            <w:tcW w:w="63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340" w:type="dxa"/>
            <w:vAlign w:val="bottom"/>
          </w:tcPr>
          <w:p>
            <w:pPr>
              <w:ind w:left="100"/>
              <w:spacing w:after="0"/>
              <w:rPr>
                <w:sz w:val="20"/>
                <w:szCs w:val="20"/>
                <w:color w:val="auto"/>
              </w:rPr>
            </w:pPr>
            <w:r>
              <w:rPr>
                <w:rFonts w:ascii="Arial" w:cs="Arial" w:eastAsia="Arial" w:hAnsi="Arial"/>
                <w:sz w:val="18"/>
                <w:szCs w:val="18"/>
                <w:color w:val="auto"/>
              </w:rPr>
              <w:t>Operating cash flows for operating leases</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6,920</w:t>
            </w: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maturities of operating lease liabilities as of December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Operating Leases</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8,045</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5,903</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r>
      <w:tr>
        <w:trPr>
          <w:trHeight w:val="21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r>
      <w:tr>
        <w:trPr>
          <w:trHeight w:val="210"/>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46,276</w:t>
            </w:r>
          </w:p>
        </w:tc>
      </w:tr>
      <w:tr>
        <w:trPr>
          <w:trHeight w:val="21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r>
      <w:tr>
        <w:trPr>
          <w:trHeight w:val="210"/>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39,314</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Under ASC 840, the minimum annual rental commitments under non-cancelable operating leases as of December 31, 2021 were as follows (in thousands):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Year Ended</w:t>
            </w:r>
          </w:p>
        </w:tc>
      </w:tr>
      <w:tr>
        <w:trPr>
          <w:trHeight w:val="20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6,278</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r>
      <w:tr>
        <w:trPr>
          <w:trHeight w:val="216"/>
        </w:trPr>
        <w:tc>
          <w:tcPr>
            <w:tcW w:w="75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4,726</w:t>
            </w: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r>
      <w:tr>
        <w:trPr>
          <w:trHeight w:val="21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r>
      <w:tr>
        <w:trPr>
          <w:trHeight w:val="209"/>
        </w:trPr>
        <w:tc>
          <w:tcPr>
            <w:tcW w:w="7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35,105</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Under ASC 840, rental expense during the years ended December 31, 2021 and 2020 was $8.8 million and $6.8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Year Ended</w:t>
      </w:r>
    </w:p>
    <w:p>
      <w:pPr>
        <w:jc w:val="center"/>
        <w:ind w:left="4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In-ground Swimming Pools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385,467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237,410</w:t>
            </w: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Covers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158,449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84,524</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Liners</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151,820</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129,865</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81,455</w:t>
            </w:r>
          </w:p>
        </w:tc>
      </w:tr>
      <w:tr>
        <w:trPr>
          <w:trHeight w:val="210"/>
        </w:trPr>
        <w:tc>
          <w:tcPr>
            <w:tcW w:w="47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695,736</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630,456</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403,389</w:t>
            </w: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Company is subject to United States federal, state, and local income taxes, as well as other foreign income taxes. The domestic and foreign components of its income (loss) before income taxes are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(68,261)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19,609</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r>
      <w:tr>
        <w:trPr>
          <w:trHeight w:val="210"/>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(53,530)</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22,759</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 and deferred income tax expense (benefit) is composed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Year Ended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22,133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19,855</w:t>
            </w:r>
          </w:p>
        </w:tc>
        <w:tc>
          <w:tcPr>
            <w:tcW w:w="2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10,342</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20,846</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(1,912)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(4,532)</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(benefit) expense</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r>
      <w:tr>
        <w:trPr>
          <w:trHeight w:val="20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The reconciliation of the statutory federal income tax rate with the Company’s effective income tax rate is as follows (% of Income (Loss) Before Income Taxes):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31, 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2021</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tax rate</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21.0 %</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Foreign rate differential</w:t>
            </w: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23.8 %</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GILTI (FDII)</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0.8 %</w:t>
            </w:r>
          </w:p>
        </w:tc>
        <w:tc>
          <w:tcPr>
            <w:tcW w:w="20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Meals and entertainment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Foreign expenses not deductible for tax</w:t>
            </w: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 not deductible for tax</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Nondeductible stock compensation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67.3 %</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shortfall (windfall)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Canadian branch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220" w:type="dxa"/>
            <w:vAlign w:val="bottom"/>
          </w:tcPr>
          <w:p>
            <w:pPr>
              <w:spacing w:after="0"/>
              <w:rPr>
                <w:sz w:val="18"/>
                <w:szCs w:val="18"/>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items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1.2 %</w:t>
            </w:r>
          </w:p>
        </w:tc>
        <w:tc>
          <w:tcPr>
            <w:tcW w:w="200" w:type="dxa"/>
            <w:vAlign w:val="bottom"/>
            <w:shd w:val="clear" w:color="auto" w:fill="CCEEFF"/>
          </w:tcPr>
          <w:p>
            <w:pPr>
              <w:spacing w:after="0"/>
              <w:rPr>
                <w:sz w:val="18"/>
                <w:szCs w:val="18"/>
                <w:color w:val="auto"/>
              </w:rPr>
            </w:pPr>
          </w:p>
        </w:tc>
        <w:tc>
          <w:tcPr>
            <w:tcW w:w="16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141.5 %</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29.8 %</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1300" w:type="dxa"/>
            <w:vAlign w:val="bottom"/>
          </w:tcPr>
          <w:p>
            <w:pPr>
              <w:jc w:val="right"/>
              <w:ind w:right="412"/>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changes in the valuation allowance (in thousands):</w:t>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Year Ended</w:t>
      </w:r>
    </w:p>
    <w:p>
      <w:pPr>
        <w:jc w:val="center"/>
        <w:ind w:left="5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-3175</wp:posOffset>
            </wp:positionV>
            <wp:extent cx="23317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Additions</w:t>
            </w: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48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74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r>
      <w:tr>
        <w:trPr>
          <w:trHeight w:val="20"/>
        </w:trPr>
        <w:tc>
          <w:tcPr>
            <w:tcW w:w="3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The Inflation Reduction Act (“IRA”) was passed into law on August 16, 2022. The key provisions from the IRA include the implementation of a 15% alternative book income minimum tax, an excise tax on stock buybacks, and significant tax incentives for energy and climate initiatives. The Company evaluated the key provisions under the IRA and concluded that the provisions are not applicable to Latham for year ended December 31, 2022.</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U.S. Tax Cuts and Jobs Act of 2017 (the “Act”). The Act made broad and complex changes to the U.S. tax code, including, but not limited to (1) reducing the U.S. federal corporate tax rate from 35% to 21% effective January 1, 2018, (2) bonus depreciation that allows for full expensing of qualified property, (3) interest expense deduction limitation rules, and (4) new international tax provisions including, but not limited to, global intangible low-tax income (“GILTI”) and Foreign Derived Intangible Income (“FDII”). The Act also required companies to record/pay a one-time transition tax on earnings of certain foreign subsidiaries that were previously tax deferred. The one-time transition tax was based on the Company’s total post-1986 earnings and profits (“E&amp;P”) that were previously deferred for U.S. income tax purposes. The Company did not record a liability for the one-time transition tax for all of its foreign subsidiaries as the Company did not have aggregate E&amp;P from those foreign subsidiaries.</w:t>
      </w:r>
    </w:p>
    <w:p>
      <w:pPr>
        <w:spacing w:after="0" w:line="18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During the year ended December 31, 2019, the Company finalized the computations of the income tax effects of the Act. Although the Company has completed its accounting for the effects of the Act, the determination of the Act’s income tax effects may change following future legislation or further interpretation of the Act based on the publication of recently proposed U.S. Treasury regulations and guidance from the Internal Revenue Service and state tax authorities. The Company has elected with respect to its treatment of GILTI to account for taxes on GILTI as incurred.</w:t>
      </w:r>
    </w:p>
    <w:p>
      <w:pPr>
        <w:spacing w:after="0" w:line="161"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For the year ended December 31, 2022, the Act's amendments to research and development (“R&amp;D”) expenditures no longer permit an immediate deduction for R&amp;D expenditures, including those related to internally developed software, in the tax year that such costs are incurred. Companies are now required to capitalize and amortize all R&amp;D expenditures and requires taxpayers to determine the proper amount of their R&amp;D costs. The Company considered these new requirements and recorded the deferred tax asset on the capitalization of the R&amp;D expenditures.</w:t>
      </w:r>
    </w:p>
    <w:p>
      <w:pPr>
        <w:spacing w:after="0" w:line="16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addition, the Act Section 163(j) provides for a change to the interest deduction limitation for tax years starting January 1, 2022, and later. Taxable income no longer is adjusted for depreciation, amortization, and depletion in arriving at adjusted taxable income ("ATI"), resulting in lower ATI and potentially a greater interest disallowance. The Company adjusted the interest expense limitation calculation within the GILTI calculation to account for the Section 163(j) update.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Deferred income taxes recognize the net tax effects of temporary differences between the carrying amounts of assets and liabilities for financial reporting purposes and the carrying amounts used for income tax purposes, and the impact of available net operating loss (“NOL”) and tax credit carryforwards. These items are stated at the enacted tax rates that are expected to be in effect when taxes are actually paid or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Deferred income tax assets and liabilities recorded on the balance sheets as of December 31, 2022 and 2021 consist of the following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9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7,267</w:t>
            </w:r>
          </w:p>
        </w:tc>
        <w:tc>
          <w:tcPr>
            <w:tcW w:w="36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9,885</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Warranty reserve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receivables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Profits interest units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Transaction costs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Future branch taxes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r>
      <w:tr>
        <w:trPr>
          <w:trHeight w:val="209"/>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asset</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Foreign deferred tax benefit</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w:t>
            </w:r>
          </w:p>
        </w:tc>
      </w:tr>
      <w:tr>
        <w:trPr>
          <w:trHeight w:val="21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domestic deferred tax asset</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(50,298)</w:t>
            </w:r>
          </w:p>
        </w:tc>
      </w:tr>
      <w:tr>
        <w:trPr>
          <w:trHeight w:val="216"/>
        </w:trPr>
        <w:tc>
          <w:tcPr>
            <w:tcW w:w="41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(5,788)</w:t>
            </w:r>
          </w:p>
        </w:tc>
      </w:tr>
      <w:tr>
        <w:trPr>
          <w:trHeight w:val="216"/>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Investments in partnerships</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r>
      <w:tr>
        <w:trPr>
          <w:trHeight w:val="21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deferred tax liabilities</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(60,201)</w:t>
            </w: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5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(50,181)</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(56,343)</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that the Company reduce its deferred income tax assets by a valuation allowance if, based on the weight of the available evidence, it is more likely than not that all or a portion of a deferred tax asset will not be realized. After consideration of all evidence, both positive and negative, management concluded that it is more likely than not that it would be able to realize all of its deferred tax assets and that a valuation allowance of $12.7 million was no longer necessary as of December 31, 2021. Accordingly, the valuation allowance was released during the year ended December 31, 2021.</w:t>
      </w:r>
    </w:p>
    <w:p>
      <w:pPr>
        <w:spacing w:after="0" w:line="192"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For the year ended December 31, 2022, management considered all evidence, both positive and negative, and concluded that it is more likely than not that it will be able to realize all of its deferred tax assets and no valuation allowance was needed.</w:t>
      </w:r>
    </w:p>
    <w:p>
      <w:pPr>
        <w:spacing w:after="0" w:line="184"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As of December 31, 2022, the Company had net operating loss (“NOL”) carryforwards of approximately $7.3 million (tax effected), which will be available to offset future taxable income and tax liabilities. The NOL carryforwards expire in calendar years 2026 through 2039.</w:t>
      </w:r>
    </w:p>
    <w:p>
      <w:pPr>
        <w:spacing w:after="0" w:line="184"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The Company reinvests earnings of foreign operations indefinitely and, accordingly, does not provide for income taxes that could result from the remittance of such earnings. The Company acknowledges that it would need to accrue and pay taxes should it decide to repatriate cash generated from earnings of its foreign subsidiaries that are considered indefinitely reinvested but expect that the potential tax liability would be insignificant.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Uncertainties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liability related to uncertain tax positions, exclusive of interest, is $6.4 million at December 31, 2022. Of this amount, $6.4 million, if recognized, would impact the effective tax rate. The Company does not expect this balance to significantly change within the next twelve months. The Company’s policy is to record interest and penalties related to unrecognized tax benefits in the income tax provision (benefit). As of December 31, 2022, the Company had $0.6 million of accrued interest and no accrued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Company is subject to income taxes in the U.S., certain states, and numerous foreign jurisdictions. While the Company believes it has adequately provided for all tax positions, amounts asserted by taxing authorities could be greater than its accrued position. Accordingly, additional provisions on federal and foreign tax-related matters could be recorded in the future as revised estimates are made or the underlying matters are settled or otherwise resolved.</w:t>
      </w:r>
    </w:p>
    <w:p>
      <w:pPr>
        <w:spacing w:after="0" w:line="171" w:lineRule="exact"/>
        <w:rPr>
          <w:sz w:val="20"/>
          <w:szCs w:val="20"/>
          <w:color w:val="auto"/>
        </w:rPr>
      </w:pPr>
    </w:p>
    <w:p>
      <w:pPr>
        <w:ind w:left="60" w:right="619" w:firstLine="648"/>
        <w:spacing w:after="0" w:line="286" w:lineRule="auto"/>
        <w:rPr>
          <w:sz w:val="20"/>
          <w:szCs w:val="20"/>
          <w:color w:val="auto"/>
        </w:rPr>
      </w:pPr>
      <w:r>
        <w:rPr>
          <w:rFonts w:ascii="Arial" w:cs="Arial" w:eastAsia="Arial" w:hAnsi="Arial"/>
          <w:sz w:val="16"/>
          <w:szCs w:val="16"/>
          <w:color w:val="auto"/>
        </w:rPr>
        <w:t>The Company files a federal consolidated tax return that includes all U.S. entities as well several combined/consolidated state tax returns and separate state tax returns. In addition, the Company files Canadian and Australian tax returns for its Canadian, Australian, and New Zealand entities. The Company is subject to the regular examination of our income tax returns by tax authorities. The Company does not have any federal audits in process.</w:t>
      </w:r>
    </w:p>
    <w:p>
      <w:pPr>
        <w:spacing w:after="0" w:line="1" w:lineRule="exact"/>
        <w:rPr>
          <w:sz w:val="20"/>
          <w:szCs w:val="20"/>
          <w:color w:val="auto"/>
        </w:rPr>
      </w:pPr>
    </w:p>
    <w:p>
      <w:pPr>
        <w:ind w:left="60" w:right="219"/>
        <w:spacing w:after="0" w:line="292" w:lineRule="auto"/>
        <w:rPr>
          <w:sz w:val="20"/>
          <w:szCs w:val="20"/>
          <w:color w:val="auto"/>
        </w:rPr>
      </w:pPr>
      <w:r>
        <w:rPr>
          <w:rFonts w:ascii="Arial" w:cs="Arial" w:eastAsia="Arial" w:hAnsi="Arial"/>
          <w:sz w:val="16"/>
          <w:szCs w:val="16"/>
          <w:color w:val="auto"/>
        </w:rPr>
        <w:t>Examinations in material jurisdictions or changes in laws, rules, regulations, or interpretations by local taxing authorities could result in impacts to tax years open under statute or to foreign operating structures currently in place. The Company regularly assesses the likelihood of adverse outcomes resulting from these examinations or changes in laws, rules, regulations, or interpretations to determine the adequacy of our provision for taxes. It is possible the outcomes from these examinations will have a material adverse effect on our financial condition and operating results.</w:t>
      </w:r>
    </w:p>
    <w:p>
      <w:pPr>
        <w:spacing w:after="0" w:line="16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Tax years from the fiscal year ended December 31, 2019 through present are open for examination in the U.S. Tax years and tax periods ended December 31, 2018 through present are open for state examination. The Company’s 2019 Illinois return is currently under examination by the state of Illinois. Tax years and tax periods from June 30, 2019 through present are currently open for examination in Canada. Tax years and tax periods from June 30, 2018 through present are currently open for examination in Australia. Tax years and tax periods from March 31, 2018 through present are currently open for examination in New Zealand.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reconciliation of the beginning and ending amount of uncertain tax positions (in thousands):</w:t>
      </w:r>
    </w:p>
    <w:p>
      <w:pPr>
        <w:spacing w:after="0" w:line="242"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Year Ended</w:t>
      </w:r>
    </w:p>
    <w:p>
      <w:pPr>
        <w:jc w:val="center"/>
        <w:ind w:left="60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Additions for tax positions taken during prior years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taken during the current year</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4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10,011</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the normal course of its business, the Company is involved in various legal proceedings involving contractual and employment relationships, product liability claims, trademark rights, and a variety of other matters. The Company does not believe there are any pending legal proceedings that will have a material impact on the Company’s financial position, results of operations, or cash flows.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376"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Company has various retirement savings plans covering substantially all employees of the Company. These plans allow eligible employees to make discretionary contributions. The Company makes discretionary matching and other contributions depending on the plan and recognized expense of $1.7 million, $2.0 million, and $0.8 million related to such plans during the years ended December 31, 2022, 2021 and 2020,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During the year-ended December 31, 2020, the Company terminated its defined benefit pension plan, liquidating the existing plan assets and settling all remaining plan obligations associated with the Company’s pension plans, which resulted in an immaterial impact to the consolidated financial statements.</w:t>
      </w:r>
    </w:p>
    <w:p>
      <w:pPr>
        <w:spacing w:after="0" w:line="396"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 UNITS</w:t>
      </w:r>
    </w:p>
    <w:p>
      <w:pPr>
        <w:spacing w:after="0" w:line="229"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Prior to the Reorganization, the Company’s Parent granted profit interest units (“PIUs”) in the form of Class B units of the Parent to certain key employees and directors for purposes of retaining them and enabling such individuals to participate in the long-term growth and financial success of the Company. As part of the Reorganization, the vested and unvested PIUs of the Parent were converted on a pro rata basis into equivalent restricted stock units and restricted stock awards of the Company’s common stock. The following table summarizes the activity for all PIUs during the years ended December 31, 2021 and 2020:</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Grant-Date</w:t>
            </w:r>
          </w:p>
        </w:tc>
      </w:tr>
      <w:tr>
        <w:trPr>
          <w:trHeight w:val="171"/>
        </w:trPr>
        <w:tc>
          <w:tcPr>
            <w:tcW w:w="4940" w:type="dxa"/>
            <w:vAlign w:val="bottom"/>
          </w:tcPr>
          <w:p>
            <w:pPr>
              <w:spacing w:after="0"/>
              <w:rPr>
                <w:sz w:val="14"/>
                <w:szCs w:val="14"/>
                <w:color w:val="auto"/>
              </w:rPr>
            </w:pPr>
          </w:p>
        </w:tc>
        <w:tc>
          <w:tcPr>
            <w:tcW w:w="2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 PIUs</w:t>
            </w:r>
          </w:p>
        </w:tc>
        <w:tc>
          <w:tcPr>
            <w:tcW w:w="28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21,734,170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7,843,107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(2,152,315)</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27,424,962</w:t>
            </w:r>
          </w:p>
        </w:tc>
        <w:tc>
          <w:tcPr>
            <w:tcW w:w="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(1,266,068)</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Converted at IPO in connection with the Reorganization</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(26,158,894)</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1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On January 29, 2021, an employee holder of PIUs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modification. A cumulative catch-up charge of $1.1 million was recorded during the fiscal quarter ended April 3, 2021 to reflect the incremental fair value of the awards as of the date of the modification, as compared to the grant-date fair value.</w:t>
      </w:r>
    </w:p>
    <w:p>
      <w:pPr>
        <w:spacing w:after="0" w:line="166"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The Company used the following assumptions in conjunction with the Contingent Claims Analysis Model to estimate the fair value of the PIUs: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60" w:type="dxa"/>
            <w:vAlign w:val="bottom"/>
          </w:tcPr>
          <w:p>
            <w:pPr>
              <w:jc w:val="right"/>
              <w:ind w:right="376"/>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r>
      <w:tr>
        <w:trPr>
          <w:trHeight w:val="171"/>
        </w:trPr>
        <w:tc>
          <w:tcPr>
            <w:tcW w:w="644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4"/>
                <w:szCs w:val="14"/>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jc w:val="right"/>
              <w:spacing w:after="0"/>
              <w:rPr>
                <w:sz w:val="20"/>
                <w:szCs w:val="20"/>
                <w:color w:val="auto"/>
              </w:rPr>
            </w:pPr>
            <w:r>
              <w:rPr>
                <w:rFonts w:ascii="Arial" w:cs="Arial" w:eastAsia="Arial" w:hAnsi="Arial"/>
                <w:sz w:val="18"/>
                <w:szCs w:val="18"/>
                <w:color w:val="auto"/>
              </w:rPr>
              <w:t>0.20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6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During the year ended December 31, 2020, the Company recorded $0.6 million in stock-based compensation expense related to the settlement of the Contingent Consideration, which is recorded in selling, general, and administrative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hanging="650"/>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will be $750,000.</w:t>
      </w:r>
    </w:p>
    <w:p>
      <w:pPr>
        <w:spacing w:after="0" w:line="16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Contemporaneously with the pricing of the Company’s IPO, on April 22, 2021 the Company granted 8,340,126 of restricted stock awards, 341,301 of restricted stock units and 886,862 of option awards under the Omnibus Incentive Plan to employees of the Company. Of the 8,340,126 restricted stock awards granted, (i) 6,799,414 vest every six months in equal installments beginning on December 27, 2021 and ending on December 27, 2023, and (ii) 1,540,712 vest every</w:t>
      </w:r>
    </w:p>
    <w:p>
      <w:pPr>
        <w:spacing w:after="0" w:line="1" w:lineRule="exact"/>
        <w:rPr>
          <w:sz w:val="20"/>
          <w:szCs w:val="20"/>
          <w:color w:val="auto"/>
        </w:rPr>
      </w:pPr>
    </w:p>
    <w:p>
      <w:pPr>
        <w:ind w:left="60" w:right="119"/>
        <w:spacing w:after="0" w:line="251" w:lineRule="auto"/>
        <w:rPr>
          <w:sz w:val="20"/>
          <w:szCs w:val="20"/>
          <w:color w:val="auto"/>
        </w:rPr>
      </w:pPr>
      <w:r>
        <w:rPr>
          <w:rFonts w:ascii="Arial" w:cs="Arial" w:eastAsia="Arial" w:hAnsi="Arial"/>
          <w:sz w:val="18"/>
          <w:szCs w:val="18"/>
          <w:color w:val="auto"/>
        </w:rPr>
        <w:t>six months in equal installments, beginning on December 27, 2021 and ending on December 27, 2024. Of the 341,301 restricted stock unit awards granted, (i) 251,828 vest 1/3 on the nine-month anniversary of the Closing of the IPO, 1/3 on the first anniversary of the Closing of the IPO, and 1/3 on the two-year anniversary of the Closing of the IPO; (ii) 22,367 vest on the first anniversary of the Closing of the IPO; (iii) 51,316 vest on December 16, 2021; and (iv) 15,790 vest evenly on each of the first three anniversaries of the Closing of the IPO. All 886,862 of the option awards vest 25% annually on each of the first four anniversaries of the Closing of the IPO. The option awards were granted with a strike price of $19.00 per share. Under the terms of the Omnibus Incentive Plan, all stock options will expire if not exercised within ten years of the grant date.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Company’s stock-based compensation expense:</w:t>
      </w:r>
    </w:p>
    <w:p>
      <w:pPr>
        <w:spacing w:after="0" w:line="230"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Year Ended</w:t>
      </w:r>
    </w:p>
    <w:p>
      <w:pPr>
        <w:jc w:val="center"/>
        <w:ind w:left="5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46,872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120,078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tcPr>
          <w:p>
            <w:pPr>
              <w:spacing w:after="0"/>
              <w:rPr>
                <w:sz w:val="18"/>
                <w:szCs w:val="18"/>
                <w:color w:val="auto"/>
              </w:rPr>
            </w:pPr>
          </w:p>
        </w:tc>
      </w:tr>
      <w:tr>
        <w:trPr>
          <w:trHeight w:val="210"/>
        </w:trPr>
        <w:tc>
          <w:tcPr>
            <w:tcW w:w="6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50,634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128,775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Of the $128.8 million of stock-based compensation expense recorded during the year ended December 31, 2021, $0.5 million was related to the accelerated vesting of restricted stock and $49.0 million was related to the modification as a result of the Reorganization. Refer to Note 18 above for detail regarding the Company’s equity-based awards issued in the form of PIUs prior to the Reorganization and IPO. The recognized income tax benefit related to stock-based compensation was $0.8 million for the year ended December 31, 2022. The recognized income tax benefit related to stock-based compensation was $0.1 million for the year ended December 31, 2021. There was no recognized income tax benefit related to stock-based compensation for the year ended December 31, 2020. As of December 31, 2022, total unrecognized stock-based compensation expense related to all unvested stock-based awards was $22.9 million, which is expected to be recognized over a weighted-average period of 1.20 years.</w:t>
      </w:r>
    </w:p>
    <w:p>
      <w:pPr>
        <w:spacing w:after="0" w:line="181"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75"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Year Ended</w:t>
      </w:r>
    </w:p>
    <w:p>
      <w:pPr>
        <w:jc w:val="center"/>
        <w:ind w:left="6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61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jc w:val="right"/>
              <w:spacing w:after="0"/>
              <w:rPr>
                <w:sz w:val="20"/>
                <w:szCs w:val="20"/>
                <w:color w:val="auto"/>
              </w:rPr>
            </w:pPr>
            <w:r>
              <w:rPr>
                <w:rFonts w:ascii="Arial" w:cs="Arial" w:eastAsia="Arial" w:hAnsi="Arial"/>
                <w:sz w:val="18"/>
                <w:szCs w:val="18"/>
                <w:color w:val="auto"/>
              </w:rPr>
              <w:t>39.68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following table represents the Company’s restricted stock awards activity during the year ended December 31, 2022:</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5,803,124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(2,746,520)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(480,385)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2,576,219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Company’s restricted stock units activity during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278,591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544,832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(186,613)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(18,869)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617,941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represents the Company’s stock option activity during the year ended December 31,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Contract Term</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1,514,372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(422,588)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1,914,670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1,914,670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85</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8.89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exercisable at December 31, 2022</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174,607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p>
    <w:p>
      <w:pPr>
        <w:spacing w:after="0" w:line="184"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2022 and 2021 was $5.53 per share and $7.25 per share,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Structure Prior to Reorganization</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Prior to the IPO and the Reorganization, the Parent owned 100% of the issued and outstanding common stock of the Company. The capital structure of the Parent consisted of two different classes of limited partnership interests, Class A and Class B units (profits interests). Prior to the Reorganization, none of the Class B units would have been vested for accounting purposes because of the Parent’s $0 Repurchase Right, which applied in the event of a voluntary termination or termination without cause, since it functions as a vesting condition.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Prior to the Closing of the IPO, the Company’s parent entity, Parent, merged with and into Latham Group, Inc., The purpose of the Reorganization was to allow existing indirect owners of the Company to become direct shareholders of the Company.</w:t>
      </w:r>
    </w:p>
    <w:p>
      <w:pPr>
        <w:spacing w:after="0" w:line="184"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In connection with the Reorganization, Class A units of the Parent (the “Class A units”) were converted into economically equivalent number of shares of the Company’s common stock on a pro rata basis to the individual holders’ ownership , and Class B units of the Parent (the “Class B units”) were converted into an economically equivalent number of restricted and unrestricted shares of the Company’s common stock, based on each individual’s respective equity value, as derived by individual Class B ownership. The Reorganization was accounted for as an equity reorganization between entities under common control.</w:t>
      </w:r>
    </w:p>
    <w:p>
      <w:pPr>
        <w:spacing w:after="0" w:line="17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As the Class A units were akin to common shares as all holders held economic interest of the Parent and were entitled to distributions on a pro rata basis to their respective ownership, the conversion of Class A units to common shares as part of the Reorganization was considered to be the equivalent to a stock split, which requires retrospective treatment for accounting purposes. Accordingly, all share and per share amounts in these consolidated financial statements and related notes have been retroactively restated, where applicable, for all periods herein, to give effect to the conversion ratio applied in connection with the Reorganization. As a result of the retrospective application of the Reorganization, any transaction between the Company and Parent has been eliminated from these consolidated financial statements as these represent intercompany transactions.</w:t>
      </w:r>
    </w:p>
    <w:p>
      <w:pPr>
        <w:spacing w:after="0" w:line="17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Class B units were historically accounted for as compensatory arrangements in accordance with ASC 718 “Compensation – Stock Compensation,” akin to stock appreciation rights, that when vested would share in the economic appreciation of the equity value of Parent over the agreed hurdles. As a result of the Reorganization, the Company determined that only vested Class B units are considered outstanding for accounting purposes. A portion of the Class B units vest based on continued employment by the holder, or time-vesting units, and the remaining Class B units vest upon defined performance and market conditions, or performance-vesting units. Therefore, the Company has considered any unvested restricted shares as contingently issuable shares until they vest. The conversion of time-vesting Class B units to restricted shares is retrospectively included in the weighted-average common shares outstanding used to calculate diluted net income (loss) per share using the treasury stock method for each period in which the individual unit holder’s threshold was met at the reporting date. and therefore the individual unit holder would have participated in a hypothetical distribution to the Parent unit holders, if dilutive. The conversion of performance-vesting Class B units to restricted shares is not included in the weighted-average shares outstanding used to calculate diluted net income (loss) per share for any period prior to the Reorganization and IPO as the performance vesting thresholds were not satisfied and the performance units were not considered probable to vest historically. Refer to Note 21 for additional details relating to net income (loss) per share.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Structure Subsequent to the Reorganization</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On April 13, 2021, the Company’s certificate of incorporation was amended and restated. Under the amended and restated certificate of incorporation, the Company has authority to issue 500,000,000 shares of common stock, par value $0.0001 per share. On April 12, 2021, the Company’s board of directors declared and on April 13, 2021, the Company effected a 109,673.709-for-one stock split of its issued and outstanding shares of common stock.</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As a part of the equity Reorganization, on April 22, 2021, 194,207,115 Class A units converted into 97,187,596 shares of common stock and 26,158,894 Class B units converted into 4,145,987 shares of common stock and 8,340,126 shares of unvested restricted stock.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Offering of Common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January 11, 2022, the Company completed an offering of 13,800,000 shares of common stock, par value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$0.0001 per share, including the exercise in full by the underwriters of their option to purchase up to 1,800,000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shares of common stock, at a public offering price of $19.50 per share. The Company received proceeds of $257.7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this offering, net of $11.4 million of underwriting fees. The proceeds of $257.7 million were used to purchase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13,800,000 shares of common stock from certain of the Company’s stockholders, primarily investment funds managed by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Sponsor and Wynnchurch Capital, L.P., and also a small percentage of shares of common stock owned by some of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directors and executive officers.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64"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During the year ended December 31, 2022, the Company repurchased and concurrently retired 4,483,620 shares of the Company’s common stock for an aggregate amount of $23.0 million, pursuant to the Repurchase Program. All of the shares were repurchased under a Rule 10b5-1 trading plan. As of December 31, 2022, approximately $77.0 million remained available for share repurchases pursuant to the Repurchase Program.</w:t>
      </w:r>
    </w:p>
    <w:p>
      <w:pPr>
        <w:spacing w:after="0" w:line="171"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As of and December 31, 2022 and 2021, 112,091,756 and 113,642,487 shares of common stock are issued and outstanding for accounting purposes,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229" w:lineRule="exact"/>
        <w:rPr>
          <w:sz w:val="20"/>
          <w:szCs w:val="20"/>
          <w:color w:val="auto"/>
        </w:rPr>
      </w:pPr>
    </w:p>
    <w:p>
      <w:pPr>
        <w:ind w:left="60" w:right="739" w:firstLine="648"/>
        <w:spacing w:after="0" w:line="277" w:lineRule="auto"/>
        <w:rPr>
          <w:sz w:val="20"/>
          <w:szCs w:val="20"/>
          <w:color w:val="auto"/>
        </w:rPr>
      </w:pPr>
      <w:r>
        <w:rPr>
          <w:rFonts w:ascii="Arial" w:cs="Arial" w:eastAsia="Arial" w:hAnsi="Arial"/>
          <w:sz w:val="18"/>
          <w:szCs w:val="18"/>
          <w:color w:val="auto"/>
        </w:rPr>
        <w:t>Basic and diluted net income per share attributable to common stockholders was calculated as follows (in thousands, except share and per share data):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5"/>
        </w:trPr>
        <w:tc>
          <w:tcPr>
            <w:tcW w:w="45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Net (loss) income attributable to common stockholders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(5,694)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(62,348)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15,983</w:t>
            </w: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113,245,421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110,644,366</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101,606,966</w:t>
            </w:r>
          </w:p>
        </w:tc>
      </w:tr>
      <w:tr>
        <w:trPr>
          <w:trHeight w:val="209"/>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113,245,421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110,644,366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102,602,738</w:t>
            </w:r>
          </w:p>
        </w:tc>
      </w:tr>
      <w:tr>
        <w:trPr>
          <w:trHeight w:val="182"/>
        </w:trPr>
        <w:tc>
          <w:tcPr>
            <w:tcW w:w="45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Net (loss) income per share attributable to common</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(0.56)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10"/>
        </w:trPr>
        <w:tc>
          <w:tcPr>
            <w:tcW w:w="45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bl>
    <w:p>
      <w:pPr>
        <w:spacing w:after="0" w:line="200" w:lineRule="exact"/>
        <w:rPr>
          <w:sz w:val="20"/>
          <w:szCs w:val="20"/>
          <w:color w:val="auto"/>
        </w:rPr>
      </w:pPr>
    </w:p>
    <w:p>
      <w:pPr>
        <w:spacing w:after="0" w:line="218" w:lineRule="exact"/>
        <w:rPr>
          <w:sz w:val="20"/>
          <w:szCs w:val="20"/>
          <w:color w:val="auto"/>
        </w:rPr>
      </w:pPr>
    </w:p>
    <w:p>
      <w:pPr>
        <w:jc w:val="both"/>
        <w:ind w:left="60" w:right="159" w:firstLine="648"/>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per share because the effect was anti-dilutive: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100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36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1,904,037</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5,909,089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202,622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106,917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1,757,336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Starting in 2020, BrightAI rendered services to the Company, for which the cost was capitalized as internal-use software. A co-founder of BrightAI Services has served on the Company’s board of directors since December 9, 2020. During the years ended December 31, 2022, 2021 and 2020, the Company incurred $0.2 million, $2.1 million, and $0.5 million, respectively, associated with services performed by BrightAI, which is recorded as construction in progress within property and equipment, net on the consolidated balance sheets as of December 31, 2022 and 2021. As of December 31, 2022 and 2021, the Company had accounts payable - related party to BrightAI of $0.4 million and $0.9 million,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jc w:val="both"/>
        <w:ind w:left="60" w:right="239" w:firstLine="648"/>
        <w:spacing w:after="0" w:line="275" w:lineRule="auto"/>
        <w:rPr>
          <w:sz w:val="20"/>
          <w:szCs w:val="20"/>
          <w:color w:val="auto"/>
        </w:rPr>
      </w:pPr>
      <w:r>
        <w:rPr>
          <w:rFonts w:ascii="Arial" w:cs="Arial" w:eastAsia="Arial" w:hAnsi="Arial"/>
          <w:sz w:val="17"/>
          <w:szCs w:val="17"/>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initial public offering.</w:t>
      </w:r>
    </w:p>
    <w:p>
      <w:pPr>
        <w:spacing w:after="0" w:line="176"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The Company entered into a Stockholders’ Agreement with the Sponsor and Wynnchurch Capital, L.P. on April 27, 2021. The Stockholders’ Agreement requires the Company to reimburse the Sponsor and Wynnchurch Capital,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L.P. the reasonable out-of-pocket costs and expenses in connection with monitoring and overseeing their investment in the Company.</w:t>
      </w:r>
    </w:p>
    <w:p>
      <w:pPr>
        <w:spacing w:after="0" w:line="170"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There were no management fees incurred by the Company during the years ended December 31, 2022, 2021 and 2020. The Company reimbursed $0.2 million, less than $0.1 million and less than $0.1 million of out-of-pocket costs and expenses to the Sponsor during the years ended December 31, 2022, 2021, and 2020. As of December 31, 2022 and 2021, there were less than $0.1 million and no outstanding amounts payable to the Sponsor, respectively. The Company reimbursed less than $0.1 million of out-of-pocket costs and expenses to Wynnchurch Capital, L.P. during each of the years ended December 31, 2022, 2021, and 2020. As of both December 31, 2022 and 2021, there were no outstanding amounts payable to Wynnchurch Capital, L.P.</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In May 2019, in connection with the Narellan Acquisition, the Company assumed an operating lease for the manufacture, sale, and storage of swimming pools and associated equipment with Acquigen Pty Ltd, which was owned by an individual employed by the Company. The lease expires in June 2028. The Company recognized $0.5 million and $0.4 million of rent expense related to this lease during the years ended December 31, 2021 and 2020, respectively, which is recognized within selling, general, and administrative expense on the consolidated statements of operations. As of December 31, 2021, the individual was no longer employed by the Company and, therefore, no longer considered a related party. Related party transactions disclosed herein that relate to the individual were recognized while the individual was an employee and considered a related party.</w:t>
      </w:r>
    </w:p>
    <w:p>
      <w:pPr>
        <w:spacing w:after="0" w:line="174"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Net sales by geography is based on the delivery address of the customer as specified in purchase order. Net sales by geographic area was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558,827</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491,870</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325,716</w:t>
            </w: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25,216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20,181</w:t>
            </w: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16"/>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r>
      <w:tr>
        <w:trPr>
          <w:trHeight w:val="209"/>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695,736</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630,456</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403,389</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648"/>
        <w:spacing w:after="0" w:line="277" w:lineRule="auto"/>
        <w:rPr>
          <w:sz w:val="20"/>
          <w:szCs w:val="20"/>
          <w:color w:val="auto"/>
        </w:rPr>
      </w:pPr>
      <w:r>
        <w:rPr>
          <w:rFonts w:ascii="Arial" w:cs="Arial" w:eastAsia="Arial" w:hAnsi="Arial"/>
          <w:sz w:val="18"/>
          <w:szCs w:val="18"/>
          <w:color w:val="auto"/>
        </w:rPr>
        <w:t>Our long-lived assets by geographic area, which consist of property and equipment, net assets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5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62,598</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29,638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5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20"/>
              <w:spacing w:after="0"/>
              <w:rPr>
                <w:sz w:val="20"/>
                <w:szCs w:val="20"/>
                <w:color w:val="auto"/>
              </w:rPr>
            </w:pPr>
            <w:r>
              <w:rPr>
                <w:rFonts w:ascii="Arial" w:cs="Arial" w:eastAsia="Arial" w:hAnsi="Arial"/>
                <w:sz w:val="18"/>
                <w:szCs w:val="18"/>
                <w:color w:val="auto"/>
              </w:rPr>
              <w:t>Total</w:t>
            </w:r>
          </w:p>
        </w:tc>
        <w:tc>
          <w:tcPr>
            <w:tcW w:w="25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98,184</w:t>
            </w:r>
          </w:p>
        </w:tc>
        <w:tc>
          <w:tcPr>
            <w:tcW w:w="3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520" w:type="dxa"/>
            <w:vAlign w:val="bottom"/>
            <w:vMerge w:val="restart"/>
          </w:tcPr>
          <w:p>
            <w:pPr>
              <w:jc w:val="right"/>
              <w:ind w:right="630"/>
              <w:spacing w:after="0"/>
              <w:rPr>
                <w:sz w:val="20"/>
                <w:szCs w:val="20"/>
                <w:color w:val="auto"/>
              </w:rPr>
            </w:pPr>
            <w:r>
              <w:rPr>
                <w:rFonts w:ascii="Arial" w:cs="Arial" w:eastAsia="Arial" w:hAnsi="Arial"/>
                <w:sz w:val="18"/>
                <w:szCs w:val="18"/>
                <w:color w:val="auto"/>
              </w:rPr>
              <w:t>102</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REGISTRANT (PARENT COMPANY ONLY)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Investment in subsidiary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382,790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353,645</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382,790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353,645</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Preferred stock, $0.0001 par value; 100,000,000 shares authorized as of both December 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2022 and December 31, 2021; no shares issued and outstanding as of both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 and December 31, 2021</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20" w:type="dxa"/>
            <w:vAlign w:val="bottom"/>
          </w:tcPr>
          <w:p>
            <w:pPr>
              <w:ind w:left="120"/>
              <w:spacing w:after="0" w:line="201" w:lineRule="exact"/>
              <w:rPr>
                <w:sz w:val="20"/>
                <w:szCs w:val="20"/>
                <w:color w:val="auto"/>
              </w:rPr>
            </w:pPr>
            <w:r>
              <w:rPr>
                <w:rFonts w:ascii="Arial" w:cs="Arial" w:eastAsia="Arial" w:hAnsi="Arial"/>
                <w:sz w:val="18"/>
                <w:szCs w:val="18"/>
                <w:color w:val="auto"/>
                <w:w w:val="93"/>
              </w:rPr>
              <w:t>Common stock, $0.0001 par value; 900,000,000 shares authorized as of December 31, 2022</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w w:val="92"/>
              </w:rPr>
              <w:t>and December 31, 2021; 114,667,975 and 119,445,611 shares issued and outstanding, as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8"/>
                <w:szCs w:val="18"/>
                <w:color w:val="auto"/>
              </w:rPr>
              <w:t>December 31, 2022 and December 31, 2021, respectively</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440,880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401,846</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(54,568)</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(48,583)</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382,790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353,645</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382,790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353,645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Year Ended</w:t>
      </w:r>
    </w:p>
    <w:p>
      <w:pPr>
        <w:jc w:val="center"/>
        <w:ind w:left="4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9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in net (loss) income of subsidiary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r>
      <w:tr>
        <w:trPr>
          <w:trHeight w:val="25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r>
      <w:tr>
        <w:trPr>
          <w:trHeight w:val="196"/>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income per share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4920" w:type="dxa"/>
            <w:vAlign w:val="bottom"/>
          </w:tcPr>
          <w:p>
            <w:pPr>
              <w:ind w:left="20"/>
              <w:spacing w:after="0" w:line="201" w:lineRule="exact"/>
              <w:rPr>
                <w:sz w:val="20"/>
                <w:szCs w:val="20"/>
                <w:color w:val="auto"/>
              </w:rPr>
            </w:pPr>
            <w:r>
              <w:rPr>
                <w:rFonts w:ascii="Arial" w:cs="Arial" w:eastAsia="Arial" w:hAnsi="Arial"/>
                <w:sz w:val="18"/>
                <w:szCs w:val="18"/>
                <w:color w:val="auto"/>
              </w:rPr>
              <w:t>Net (loss) income per share attributable to common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stockholders – basic and diluted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11"/>
        </w:trPr>
        <w:tc>
          <w:tcPr>
            <w:tcW w:w="492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Weighted-average common shares outstanding – basic and</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113,245,421</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110,644,366</w:t>
            </w: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101,606,966</w:t>
            </w:r>
          </w:p>
        </w:tc>
      </w:tr>
      <w:tr>
        <w:trPr>
          <w:trHeight w:val="197"/>
        </w:trPr>
        <w:tc>
          <w:tcPr>
            <w:tcW w:w="4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113,245,421</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110,644,366</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102,602,738</w:t>
            </w:r>
          </w:p>
        </w:tc>
      </w:tr>
      <w:tr>
        <w:trPr>
          <w:trHeight w:val="20"/>
        </w:trPr>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Year Ended</w:t>
      </w:r>
    </w:p>
    <w:p>
      <w:pPr>
        <w:jc w:val="center"/>
        <w:ind w:left="5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(5,694)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Equity in other comprehensive (loss) income of subsidiary</w:t>
            </w:r>
          </w:p>
        </w:tc>
        <w:tc>
          <w:tcPr>
            <w:tcW w:w="2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(3,903)</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(1,984)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2,825</w:t>
            </w: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(9,597)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18,808</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w:t>
      </w:r>
    </w:p>
    <w:p>
      <w:pPr>
        <w:jc w:val="center"/>
        <w:ind w:left="57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7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(62,348)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15,983</w:t>
            </w:r>
          </w:p>
        </w:tc>
      </w:tr>
      <w:tr>
        <w:trPr>
          <w:trHeight w:val="202"/>
        </w:trPr>
        <w:tc>
          <w:tcPr>
            <w:tcW w:w="57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Adjustments to reconcile net (loss) income to net cash provided by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in net loss (income) of subsidiary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(15,983)</w:t>
            </w:r>
          </w:p>
        </w:tc>
      </w:tr>
      <w:tr>
        <w:trPr>
          <w:trHeight w:val="20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from subsidiary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Investment in subsidiary</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(117,626)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(65,553)</w:t>
            </w:r>
          </w:p>
        </w:tc>
      </w:tr>
      <w:tr>
        <w:trPr>
          <w:trHeight w:val="209"/>
        </w:trPr>
        <w:tc>
          <w:tcPr>
            <w:tcW w:w="5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(117,626)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(65,553)</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5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Proceeds from initial public offering, net of underwriting discounts,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and offering costs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399,264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257,663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65,553</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(280,701)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(281,638)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(23,038)</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117,626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65,553</w:t>
            </w: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of Registrant (Parent Company Only)</w:t>
      </w:r>
    </w:p>
    <w:p>
      <w:pPr>
        <w:spacing w:after="0" w:line="225" w:lineRule="exact"/>
        <w:rPr>
          <w:sz w:val="20"/>
          <w:szCs w:val="20"/>
          <w:color w:val="auto"/>
        </w:rPr>
      </w:pPr>
    </w:p>
    <w:p>
      <w:pPr>
        <w:ind w:left="700" w:hanging="650"/>
        <w:spacing w:after="0"/>
        <w:tabs>
          <w:tab w:leader="none" w:pos="7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These condensed parent company-only financial statements have been prepared in accordance with Rule 12-04, Schedule I of Regulation S-X. Latham Group, Inc. has no material assets or standalone operations other than its ownership in its consolidated subsidiaries. Under the terms of the New Credit Agreement entered into by the Latham Pool Products, a wholly owned subsidiary of LIMC, which itself is a wholly owned subsidiary of Latham Group, Inc., Latham Pool Products is restricted from making dividend payments, loans or advances to Latham Group, Inc., unless certain conditions are met. As of December 31, 2022 and 2021, substantially all of the consolidated net assets of Latham Pool Products are considered restricted net assets as defined in Rule 4-08(e)(3) of Regulation S-X.</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Latham Group, Inc. is able to transfer assets from Latham Pool Products in order to pay certain tax liabilities.</w:t>
      </w:r>
    </w:p>
    <w:p>
      <w:pPr>
        <w:spacing w:after="0" w:line="237"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These condensed parent company financial statements have been prepared using the same accounting principles and policies described in the notes to the condensed financial statements, with the only exception being that the parent company accounts for its subsidiary using the equity method.</w:t>
      </w:r>
    </w:p>
    <w:p>
      <w:pPr>
        <w:spacing w:after="0" w:line="180"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During the year ended December 31, 2022, the Company repurchased and concurrently retired 4,483,620 shares of the Company’s common stock for an aggregate amount of $23.0 million, pursuant to the Repurchase Program.</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January 11, 2022, the Company completed an offering of 13,800,000 shares of common stock, par value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$0.0001 per share, including the exercise in full by the underwriters of their option to purchase up to 1,800,000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shares of common stock, at a public offering price of $19.50 per share. The Company received proceeds of $257.7 million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this offering, net of $11.4 million of underwriting fees. The proceeds of $257.7 million were used to purchase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13,800,000 shares of common stock from certain of the Company’s stockholders, primarily investment funds managed by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Sponsor and Wynnchurch Capital, L.P., and also a small percentage of shares of common stock owned by some of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directors and executive officers.</w:t>
      </w:r>
    </w:p>
    <w:p>
      <w:pPr>
        <w:spacing w:after="0" w:line="211"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5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On October 14, 2020 and October 20, 2020, existing shareholders purchased an aggregate of 21,666,653 shares of Latham Group, Inc.’s common stock for an aggregate of $64.9 million. In addition, during the year ended December 31, 2020, the Company issued 205,197 shares of common stock for an aggregate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upon their evaluation, our Chief Executive Officer and Chief Financial Officer concluded that our disclosure controls and procedures were effective at a reasonable assurance level as of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87"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conducted an evaluation of the effectiveness of our internal control over financial reporting based on the framework established in “Internal Control-Integrated Framework (2013)”, issued by the Committee of Sponsoring Organizations of the Treadway Commission (COSO). Based on this evaluation, management concluded that our internal control over financial reporting was effective as of December 31, 2022.</w:t>
      </w:r>
    </w:p>
    <w:p>
      <w:pPr>
        <w:spacing w:after="0" w:line="176"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following an exemption established by the JOBS Act for “emerging growth companies.”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Form of Management Incentive Bonus Plan</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On March 1, 2023, the compensation committee (the “compensation committee”) of our board of directors approved a new form of our annual, performance-based Management Incentive Bonus Plan (“MIB”) that is applicable to our executive officers and certain other key employees, which is attached hereto as Exhibit 10.17 and is incorporated herein by reference. The new form of MIB initially is applicable for the annual performance period ending as of December 31,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Form of Equity Award Agreements</w:t>
      </w:r>
    </w:p>
    <w:p>
      <w:pPr>
        <w:spacing w:after="0" w:line="22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On March 1, 2023, the compensation committee approved an updated Form of Restricted Stock Unit Award Agreement and a new Form of Stock Appreciation Right Award Agreement for grants of RSUs and stock appreciation rights (“SARs”) under the Latham Group, Inc. 2021 Omnibus Incentive Plan, which are attached hereto as Exhibits 10.14 and 10.15, respectively, and are incorporated herein by reference. The new forms of equity award agreements were used for the annual equity awards to executive officers on March 1,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On February 21, 2023, the compensation committee ratified the Non-Employee Director Compensation Policy without change, which is attached hereto as Exhibit 10.16 and is incorporated herein by reference.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2023 Annual Meeting of Stockholders, which will be filed with the SEC pursuant to Regulation 14A not later than 120 days after the end of the 2022 fiscal year, and is herein incorporated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Code of Conduct and Business Ethics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We have adopted a Code of Conduct and Ethics, which is applicable to all directors, officers, and employees, including our Chief Executive Officer and Chief Financial Officer. Our Code of Conduct and Business Ethics is posted on our Investor Relations website at https://ir.lathampool.com/ on the Governance page of the website. To the extent required by SEC rules, we intend to disclose any amendments to our code of conduct and ethics, and any waiver of a provision of the code with respect to our principal executive officer, principal financial officer, principal accounting officer or controller, or persons performing similar functions, on our web site referred to above within four business days following any such amendment or waiver, or within any other period that may be required under SEC rules from time to time.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2023 Annual Meeting of Stockholders, which will be filed with the SEC pursuant to Regulation 14A not later than 120 days after the end of the 2022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2023 Annual Meeting of Stockholders, which will be filed with the SEC pursuant to Regulation 14A not later than 120 days after the end of the 2022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2023 Annual Meeting of Stockholders, which will be filed with the SEC pursuant to Regulation 14A not later than 120 days after the end of the 2022 fiscal year, and is herein incorporated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included in our definitive Proxy Statement pertaining to our 2023 Annual Meeting of Stockholders, which will be filed with the SEC pursuant to Regulation 14A not later than 120 days after the end of the 2022 fiscal year, and is herein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Company’s financial statements are included in Part II, Item 8,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Supplementary Data.</w:t>
      </w:r>
    </w:p>
    <w:p>
      <w:pPr>
        <w:spacing w:after="0" w:line="170" w:lineRule="exact"/>
        <w:rPr>
          <w:rFonts w:ascii="Arial" w:cs="Arial" w:eastAsia="Arial" w:hAnsi="Arial"/>
          <w:sz w:val="18"/>
          <w:szCs w:val="18"/>
          <w:color w:val="auto"/>
        </w:rPr>
      </w:pPr>
    </w:p>
    <w:p>
      <w:pPr>
        <w:ind w:left="1040" w:right="199" w:hanging="315"/>
        <w:spacing w:after="0" w:line="263"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Schedules. </w:t>
      </w:r>
      <w:r>
        <w:rPr>
          <w:rFonts w:ascii="Arial" w:cs="Arial" w:eastAsia="Arial" w:hAnsi="Arial"/>
          <w:sz w:val="18"/>
          <w:szCs w:val="18"/>
          <w:color w:val="auto"/>
        </w:rPr>
        <w:t>All schedules are omitted since they are not applicable, not required,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set forth therein is included under Part II, Item 8, Financial Statements and Supplementary Data.</w:t>
      </w:r>
    </w:p>
    <w:p>
      <w:pPr>
        <w:spacing w:after="0" w:line="183" w:lineRule="exact"/>
        <w:rPr>
          <w:rFonts w:ascii="Arial" w:cs="Arial" w:eastAsia="Arial" w:hAnsi="Arial"/>
          <w:sz w:val="18"/>
          <w:szCs w:val="18"/>
          <w:color w:val="auto"/>
        </w:rPr>
      </w:pPr>
    </w:p>
    <w:p>
      <w:pPr>
        <w:ind w:left="1040" w:right="279" w:hanging="315"/>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listed in the Exhibit Index immediately below are filed as part of this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360" w:type="dxa"/>
            <w:vAlign w:val="bottom"/>
            <w:gridSpan w:val="2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427"/>
        </w:trPr>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20"/>
          </w:tcPr>
          <w:p>
            <w:pPr>
              <w:ind w:left="680"/>
              <w:spacing w:after="0"/>
              <w:rPr>
                <w:sz w:val="20"/>
                <w:szCs w:val="20"/>
                <w:color w:val="auto"/>
              </w:rPr>
            </w:pPr>
            <w:r>
              <w:rPr>
                <w:rFonts w:ascii="Arial" w:cs="Arial" w:eastAsia="Arial" w:hAnsi="Arial"/>
                <w:sz w:val="18"/>
                <w:szCs w:val="18"/>
                <w:b w:val="1"/>
                <w:bCs w:val="1"/>
                <w:color w:val="auto"/>
              </w:rPr>
              <w:t>Exhibit Description</w:t>
            </w:r>
          </w:p>
        </w:tc>
      </w:tr>
      <w:tr>
        <w:trPr>
          <w:trHeight w:val="209"/>
        </w:trPr>
        <w:tc>
          <w:tcPr>
            <w:tcW w:w="1000" w:type="dxa"/>
            <w:vAlign w:val="bottom"/>
          </w:tcPr>
          <w:p>
            <w:pPr>
              <w:ind w:left="120"/>
              <w:spacing w:after="0"/>
              <w:rPr>
                <w:sz w:val="20"/>
                <w:szCs w:val="20"/>
                <w:color w:val="auto"/>
              </w:rPr>
            </w:pPr>
            <w:r>
              <w:rPr>
                <w:rFonts w:ascii="Arial" w:cs="Arial" w:eastAsia="Arial" w:hAnsi="Arial"/>
                <w:sz w:val="18"/>
                <w:szCs w:val="18"/>
                <w:color w:val="auto"/>
              </w:rPr>
              <w:t>2.1#</w:t>
            </w:r>
          </w:p>
        </w:tc>
        <w:tc>
          <w:tcPr>
            <w:tcW w:w="7900" w:type="dxa"/>
            <w:vAlign w:val="bottom"/>
            <w:gridSpan w:val="24"/>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Merger Agreement by and between Latham Group, Inc. and Latham Investment Holdings, L.P. (incorporated</w:t>
              </w:r>
            </w:hyperlink>
          </w:p>
        </w:tc>
      </w:tr>
      <w:tr>
        <w:trPr>
          <w:trHeight w:val="196"/>
        </w:trPr>
        <w:tc>
          <w:tcPr>
            <w:tcW w:w="100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by reference to Exhibit 2.1 to Latham Group, Inc.’s Quarterly Report on Form 10-Q filed with the SEC on</w:t>
              </w:r>
            </w:hyperlink>
          </w:p>
        </w:tc>
        <w:tc>
          <w:tcPr>
            <w:tcW w:w="180" w:type="dxa"/>
            <w:vAlign w:val="bottom"/>
            <w:tcBorders>
              <w:top w:val="single" w:sz="8" w:color="0000EE"/>
            </w:tcBorders>
            <w:gridSpan w:val="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June 3, 2021 (File No. 001-40358))</w:t>
              </w:r>
            </w:hyperlink>
          </w:p>
        </w:tc>
        <w:tc>
          <w:tcPr>
            <w:tcW w:w="5360" w:type="dxa"/>
            <w:vAlign w:val="bottom"/>
            <w:gridSpan w:val="20"/>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3.1</w:t>
            </w:r>
          </w:p>
        </w:tc>
        <w:tc>
          <w:tcPr>
            <w:tcW w:w="7480" w:type="dxa"/>
            <w:vAlign w:val="bottom"/>
            <w:tcBorders>
              <w:bottom w:val="single" w:sz="8" w:color="0000EE"/>
            </w:tcBorders>
            <w:gridSpan w:val="11"/>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Amended and Restated Certificate of Incorporation of Latham Group, Inc. (incorporated by reference to</w:t>
              </w:r>
            </w:hyperlink>
          </w:p>
        </w:tc>
        <w:tc>
          <w:tcPr>
            <w:tcW w:w="4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Exhibit 3.1 to Latham Group, Inc.’s Quarterly Report on Form 10-Q filed with the SEC on June 3, 2021 (File</w:t>
              </w:r>
            </w:hyperlink>
          </w:p>
        </w:tc>
      </w:tr>
      <w:tr>
        <w:trPr>
          <w:trHeight w:val="196"/>
        </w:trPr>
        <w:tc>
          <w:tcPr>
            <w:tcW w:w="100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No. 001-40358))</w:t>
              </w:r>
            </w:hyperlink>
          </w:p>
        </w:tc>
        <w:tc>
          <w:tcPr>
            <w:tcW w:w="6640" w:type="dxa"/>
            <w:vAlign w:val="bottom"/>
            <w:tcBorders>
              <w:top w:val="single" w:sz="8" w:color="0000EE"/>
            </w:tcBorders>
            <w:gridSpan w:val="2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3.2</w:t>
            </w:r>
          </w:p>
        </w:tc>
        <w:tc>
          <w:tcPr>
            <w:tcW w:w="7660" w:type="dxa"/>
            <w:vAlign w:val="bottom"/>
            <w:tcBorders>
              <w:bottom w:val="single" w:sz="8" w:color="0000EE"/>
            </w:tcBorders>
            <w:gridSpan w:val="15"/>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Amended and Restated Bylaws of Latham Group, Inc. (incorporated by reference to Exhibit 3.2 to Latham</w:t>
              </w:r>
            </w:hyperlink>
          </w:p>
        </w:tc>
        <w:tc>
          <w:tcPr>
            <w:tcW w:w="240" w:type="dxa"/>
            <w:vAlign w:val="bottom"/>
            <w:gridSpan w:val="9"/>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Group, Inc.’s Quarterly Report on Form 10-Q filed with the SEC on June 3, 2021 (File No. 001-40358))</w:t>
              </w:r>
            </w:hyperlink>
          </w:p>
        </w:tc>
        <w:tc>
          <w:tcPr>
            <w:tcW w:w="420" w:type="dxa"/>
            <w:vAlign w:val="bottom"/>
            <w:gridSpan w:val="13"/>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4.1</w:t>
            </w:r>
          </w:p>
        </w:tc>
        <w:tc>
          <w:tcPr>
            <w:tcW w:w="7900" w:type="dxa"/>
            <w:vAlign w:val="bottom"/>
            <w:tcBorders>
              <w:bottom w:val="single" w:sz="8" w:color="0000EE"/>
            </w:tcBorders>
            <w:gridSpan w:val="24"/>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Description of the Registrant’s Securities Registered Pursuant to Section 12 of the Securities Exchange Act of</w:t>
              </w:r>
            </w:hyperlink>
          </w:p>
        </w:tc>
      </w:tr>
      <w:tr>
        <w:trPr>
          <w:trHeight w:val="196"/>
        </w:trPr>
        <w:tc>
          <w:tcPr>
            <w:tcW w:w="1000" w:type="dxa"/>
            <w:vAlign w:val="bottom"/>
          </w:tcPr>
          <w:p>
            <w:pPr>
              <w:spacing w:after="0"/>
              <w:rPr>
                <w:sz w:val="17"/>
                <w:szCs w:val="17"/>
                <w:color w:val="auto"/>
              </w:rPr>
            </w:pPr>
          </w:p>
        </w:tc>
        <w:tc>
          <w:tcPr>
            <w:tcW w:w="76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1934 (incorporated by reference to Exhibit 4.1 to Latham Group, Inc’s Annual Report on Form 10-K filed</w:t>
              </w:r>
            </w:hyperlink>
          </w:p>
        </w:tc>
        <w:tc>
          <w:tcPr>
            <w:tcW w:w="280" w:type="dxa"/>
            <w:vAlign w:val="bottom"/>
            <w:gridSpan w:val="11"/>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with the SEC on March 10, 2022 (File No. 001-40358)).</w:t>
              </w:r>
            </w:hyperlink>
          </w:p>
        </w:tc>
        <w:tc>
          <w:tcPr>
            <w:tcW w:w="3860" w:type="dxa"/>
            <w:vAlign w:val="bottom"/>
            <w:gridSpan w:val="19"/>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10.1#</w:t>
            </w:r>
          </w:p>
        </w:tc>
        <w:tc>
          <w:tcPr>
            <w:tcW w:w="7780" w:type="dxa"/>
            <w:vAlign w:val="bottom"/>
            <w:tcBorders>
              <w:bottom w:val="single" w:sz="8" w:color="0000EE"/>
            </w:tcBorders>
            <w:gridSpan w:val="20"/>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Credit and Guaranty Agreement, dated as of February 23, 2022, among Latham Pool Products, Inc., Latham</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7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International Manufacturing Corp., the other guarantors party thereto, the lenders and letter of credit issuers</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party thereto and Barclays Bank PLC, as administrative agent (incorporated by reference to Exhibit 10.1 to</w:t>
              </w:r>
            </w:hyperlink>
          </w:p>
        </w:tc>
      </w:tr>
      <w:tr>
        <w:trPr>
          <w:trHeight w:val="196"/>
        </w:trPr>
        <w:tc>
          <w:tcPr>
            <w:tcW w:w="100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Latham Group, Inc.’s Current Report on Form 8-K filed with the SEC on February 23, 2022 (File No. 001-</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40358)</w:t>
              </w:r>
              <w:r>
                <w:rPr>
                  <w:rFonts w:ascii="Arial" w:cs="Arial" w:eastAsia="Arial" w:hAnsi="Arial"/>
                  <w:sz w:val="18"/>
                  <w:szCs w:val="18"/>
                  <w:u w:val="single" w:color="auto"/>
                  <w:color w:val="0000EE"/>
                  <w:w w:val="86"/>
                </w:rPr>
                <w:t>)</w:t>
              </w:r>
              <w:r>
                <w:rPr>
                  <w:rFonts w:ascii="Arial" w:cs="Arial" w:eastAsia="Arial" w:hAnsi="Arial"/>
                  <w:sz w:val="18"/>
                  <w:szCs w:val="18"/>
                  <w:color w:val="0000EE"/>
                  <w:w w:val="86"/>
                </w:rPr>
                <w:t>.</w:t>
              </w:r>
            </w:hyperlink>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10.2</w:t>
            </w:r>
          </w:p>
        </w:tc>
        <w:tc>
          <w:tcPr>
            <w:tcW w:w="7900" w:type="dxa"/>
            <w:vAlign w:val="bottom"/>
            <w:gridSpan w:val="24"/>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Stockholders Agreement by and among Latham Group, Inc. and the stockholders party thereto, dated as of</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April 27, 2021 (incorporated by reference to Exhibit 10.1 to Latham Group, Inc.’s Quarterly Report on Form</w:t>
              </w:r>
            </w:hyperlink>
          </w:p>
        </w:tc>
      </w:tr>
      <w:tr>
        <w:trPr>
          <w:trHeight w:val="196"/>
        </w:trPr>
        <w:tc>
          <w:tcPr>
            <w:tcW w:w="1000" w:type="dxa"/>
            <w:vAlign w:val="bottom"/>
          </w:tcPr>
          <w:p>
            <w:pPr>
              <w:spacing w:after="0"/>
              <w:rPr>
                <w:sz w:val="17"/>
                <w:szCs w:val="17"/>
                <w:color w:val="auto"/>
              </w:rPr>
            </w:pPr>
          </w:p>
        </w:tc>
        <w:tc>
          <w:tcPr>
            <w:tcW w:w="78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10-Q filed with the SEC on August 5, 2021 (File No. 001-40358))</w:t>
              </w:r>
            </w:hyperlink>
          </w:p>
        </w:tc>
        <w:tc>
          <w:tcPr>
            <w:tcW w:w="100" w:type="dxa"/>
            <w:vAlign w:val="bottom"/>
            <w:gridSpan w:val="3"/>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10.3</w:t>
            </w:r>
          </w:p>
        </w:tc>
        <w:tc>
          <w:tcPr>
            <w:tcW w:w="7720" w:type="dxa"/>
            <w:vAlign w:val="bottom"/>
            <w:tcBorders>
              <w:bottom w:val="single" w:sz="8" w:color="0000EE"/>
            </w:tcBorders>
            <w:gridSpan w:val="17"/>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Registration Rights Agreement by and among Latham Group, Inc. and the stockholders party thereto, dated</w:t>
              </w:r>
            </w:hyperlink>
          </w:p>
        </w:tc>
        <w:tc>
          <w:tcPr>
            <w:tcW w:w="1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as of April 27, 2021 (incorporated by reference to Exhibit 10.2 to Latham Group, Inc.’s Quarterly Report on</w:t>
              </w:r>
            </w:hyperlink>
          </w:p>
        </w:tc>
      </w:tr>
      <w:tr>
        <w:trPr>
          <w:trHeight w:val="196"/>
        </w:trPr>
        <w:tc>
          <w:tcPr>
            <w:tcW w:w="10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Form 10-Q filed with the SEC on August 5, 2021 (File No. 001-40358)))</w:t>
              </w:r>
            </w:hyperlink>
          </w:p>
        </w:tc>
        <w:tc>
          <w:tcPr>
            <w:tcW w:w="2520" w:type="dxa"/>
            <w:vAlign w:val="bottom"/>
            <w:tcBorders>
              <w:top w:val="single" w:sz="8" w:color="0000EE"/>
            </w:tcBorders>
            <w:gridSpan w:val="10"/>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10.4</w:t>
            </w:r>
          </w:p>
        </w:tc>
        <w:tc>
          <w:tcPr>
            <w:tcW w:w="7900" w:type="dxa"/>
            <w:vAlign w:val="bottom"/>
            <w:gridSpan w:val="24"/>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Form of Indemnification Agreement by and among the Latham Group, Inc. and each of its directors and</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executive officers (incorporated by reference to Exhibit 10.3 to Latham Group, Inc.’s Quarterly Report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Form 10-Q filed with the SEC on August 5, 2021 (File No. 001-40358))</w:t>
              </w:r>
            </w:hyperlink>
          </w:p>
        </w:tc>
        <w:tc>
          <w:tcPr>
            <w:tcW w:w="2720" w:type="dxa"/>
            <w:vAlign w:val="bottom"/>
            <w:gridSpan w:val="16"/>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Arial" w:cs="Arial" w:eastAsia="Arial" w:hAnsi="Arial"/>
                <w:sz w:val="18"/>
                <w:szCs w:val="18"/>
                <w:color w:val="auto"/>
              </w:rPr>
              <w:t>10.5†</w:t>
            </w:r>
          </w:p>
        </w:tc>
        <w:tc>
          <w:tcPr>
            <w:tcW w:w="7780" w:type="dxa"/>
            <w:vAlign w:val="bottom"/>
            <w:tcBorders>
              <w:bottom w:val="single" w:sz="8" w:color="0000EE"/>
            </w:tcBorders>
            <w:gridSpan w:val="20"/>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Employment Agreement by and between Scott Rajeski and Latham Pool Products, Inc., dated December 17,</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2018 (incorporated by reference to Exhibit 10.8 to Latham Group, Inc.’s Registration Statement on Form S-1</w:t>
              </w:r>
            </w:hyperlink>
          </w:p>
        </w:tc>
      </w:tr>
      <w:tr>
        <w:trPr>
          <w:trHeight w:val="196"/>
        </w:trPr>
        <w:tc>
          <w:tcPr>
            <w:tcW w:w="1000" w:type="dxa"/>
            <w:vAlign w:val="bottom"/>
          </w:tcPr>
          <w:p>
            <w:pPr>
              <w:spacing w:after="0"/>
              <w:rPr>
                <w:sz w:val="17"/>
                <w:szCs w:val="17"/>
                <w:color w:val="auto"/>
              </w:rPr>
            </w:pPr>
          </w:p>
        </w:tc>
        <w:tc>
          <w:tcPr>
            <w:tcW w:w="7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filed with the SEC on April 15, 2021 (File No. 333-254930))</w:t>
              </w:r>
            </w:hyperlink>
          </w:p>
        </w:tc>
        <w:tc>
          <w:tcPr>
            <w:tcW w:w="80" w:type="dxa"/>
            <w:vAlign w:val="bottom"/>
            <w:gridSpan w:val="2"/>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24"/>
          </w:tcPr>
          <w:p>
            <w:pPr>
              <w:ind w:left="500"/>
              <w:spacing w:after="0"/>
              <w:rPr>
                <w:sz w:val="20"/>
                <w:szCs w:val="20"/>
                <w:color w:val="auto"/>
              </w:rPr>
            </w:pPr>
            <w:r>
              <w:rPr>
                <w:rFonts w:ascii="Arial" w:cs="Arial" w:eastAsia="Arial" w:hAnsi="Arial"/>
                <w:sz w:val="18"/>
                <w:szCs w:val="18"/>
                <w:b w:val="1"/>
                <w:bCs w:val="1"/>
                <w:color w:val="auto"/>
              </w:rPr>
              <w:t>Exhibit Description</w:t>
            </w:r>
          </w:p>
        </w:tc>
      </w:tr>
      <w:tr>
        <w:trPr>
          <w:trHeight w:val="209"/>
        </w:trPr>
        <w:tc>
          <w:tcPr>
            <w:tcW w:w="980" w:type="dxa"/>
            <w:vAlign w:val="bottom"/>
          </w:tcPr>
          <w:p>
            <w:pPr>
              <w:ind w:left="120"/>
              <w:spacing w:after="0"/>
              <w:rPr>
                <w:sz w:val="20"/>
                <w:szCs w:val="20"/>
                <w:color w:val="auto"/>
              </w:rPr>
            </w:pPr>
            <w:r>
              <w:rPr>
                <w:rFonts w:ascii="Arial" w:cs="Arial" w:eastAsia="Arial" w:hAnsi="Arial"/>
                <w:sz w:val="18"/>
                <w:szCs w:val="18"/>
                <w:color w:val="auto"/>
              </w:rPr>
              <w:t>10.6†</w:t>
            </w:r>
          </w:p>
        </w:tc>
        <w:tc>
          <w:tcPr>
            <w:tcW w:w="7920" w:type="dxa"/>
            <w:vAlign w:val="bottom"/>
            <w:gridSpan w:val="31"/>
          </w:tcPr>
          <w:p>
            <w:pPr>
              <w:spacing w:after="0"/>
              <w:rPr>
                <w:rFonts w:ascii="Arial" w:cs="Arial" w:eastAsia="Arial" w:hAnsi="Arial"/>
                <w:sz w:val="18"/>
                <w:szCs w:val="18"/>
                <w:color w:val="0000EE"/>
              </w:rPr>
            </w:pPr>
            <w:hyperlink r:id="rId136">
              <w:r>
                <w:rPr>
                  <w:rFonts w:ascii="Arial" w:cs="Arial" w:eastAsia="Arial" w:hAnsi="Arial"/>
                  <w:sz w:val="18"/>
                  <w:szCs w:val="18"/>
                  <w:color w:val="0000EE"/>
                </w:rPr>
                <w:t>Offer Letter by and between Joel R. Culp and Latham Pool Products, Inc., dated January 18, 2019</w:t>
              </w:r>
            </w:hyperlink>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(incorporated by reference to Exhibit 10.11 to Latham Group, Inc.’s Registration Statement on Form S-1 filed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with the SEC on April 15, 2021 (File No. 333-254930))</w:t>
              </w:r>
            </w:hyperlink>
          </w:p>
        </w:tc>
        <w:tc>
          <w:tcPr>
            <w:tcW w:w="3900" w:type="dxa"/>
            <w:vAlign w:val="bottom"/>
            <w:gridSpan w:val="21"/>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10.7†</w:t>
            </w:r>
          </w:p>
        </w:tc>
        <w:tc>
          <w:tcPr>
            <w:tcW w:w="7640" w:type="dxa"/>
            <w:vAlign w:val="bottom"/>
            <w:tcBorders>
              <w:bottom w:val="single" w:sz="8" w:color="0000EE"/>
            </w:tcBorders>
            <w:gridSpan w:val="24"/>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Employment Agreement by and between Joel R. Culp and Latham Pool Products, Inc., dated February 11,</w:t>
              </w:r>
            </w:hyperlink>
          </w:p>
        </w:tc>
        <w:tc>
          <w:tcPr>
            <w:tcW w:w="28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2019 (incorporated by reference to Exhibit 10.12 to Latham Group, Inc.’s Registration Statement on Form S-</w:t>
              </w:r>
            </w:hyperlink>
          </w:p>
        </w:tc>
      </w:tr>
      <w:tr>
        <w:trPr>
          <w:trHeight w:val="196"/>
        </w:trPr>
        <w:tc>
          <w:tcPr>
            <w:tcW w:w="980" w:type="dxa"/>
            <w:vAlign w:val="bottom"/>
          </w:tcPr>
          <w:p>
            <w:pPr>
              <w:spacing w:after="0"/>
              <w:rPr>
                <w:sz w:val="17"/>
                <w:szCs w:val="17"/>
                <w:color w:val="auto"/>
              </w:rPr>
            </w:pPr>
          </w:p>
        </w:tc>
        <w:tc>
          <w:tcPr>
            <w:tcW w:w="7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1 filed with the SEC on April 15, 2021 (File No. 333-254930))</w:t>
              </w:r>
            </w:hyperlink>
          </w:p>
        </w:tc>
        <w:tc>
          <w:tcPr>
            <w:tcW w:w="6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10.8†</w:t>
            </w:r>
          </w:p>
        </w:tc>
        <w:tc>
          <w:tcPr>
            <w:tcW w:w="7920" w:type="dxa"/>
            <w:vAlign w:val="bottom"/>
            <w:gridSpan w:val="31"/>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Employment Agreement by and between Robert L. Masson II and Latham Pool Products, Inc., dated June 9,</w:t>
              </w:r>
            </w:hyperlink>
          </w:p>
        </w:tc>
      </w:tr>
      <w:tr>
        <w:trPr>
          <w:trHeight w:val="196"/>
        </w:trPr>
        <w:tc>
          <w:tcPr>
            <w:tcW w:w="980" w:type="dxa"/>
            <w:vAlign w:val="bottom"/>
          </w:tcPr>
          <w:p>
            <w:pPr>
              <w:spacing w:after="0"/>
              <w:rPr>
                <w:sz w:val="17"/>
                <w:szCs w:val="17"/>
                <w:color w:val="auto"/>
              </w:rPr>
            </w:pPr>
          </w:p>
        </w:tc>
        <w:tc>
          <w:tcPr>
            <w:tcW w:w="780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2022 (incorporated by reference to Exhibit 10.1 to Latham Group, Inc.’s Quarterly Report on Form 10-Q</w:t>
              </w:r>
            </w:hyperlink>
          </w:p>
        </w:tc>
        <w:tc>
          <w:tcPr>
            <w:tcW w:w="12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filed with the SEC on August 11, 2022 (File No. 001-40358))</w:t>
              </w:r>
            </w:hyperlink>
          </w:p>
        </w:tc>
        <w:tc>
          <w:tcPr>
            <w:tcW w:w="3100" w:type="dxa"/>
            <w:vAlign w:val="bottom"/>
            <w:tcBorders>
              <w:top w:val="single" w:sz="8" w:color="0000EE"/>
            </w:tcBorders>
            <w:gridSpan w:val="12"/>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10.9†</w:t>
            </w:r>
          </w:p>
        </w:tc>
        <w:tc>
          <w:tcPr>
            <w:tcW w:w="7920" w:type="dxa"/>
            <w:vAlign w:val="bottom"/>
            <w:gridSpan w:val="31"/>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Retirement Agreement by and between J. Mark Borseth and Latham Pool Products, Inc., dated June 12, 2022</w:t>
              </w:r>
            </w:hyperlink>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by reference to Exhibit 10.2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the SEC on August 11, 2022 (File No. 001-40358))</w:t>
              </w:r>
            </w:hyperlink>
          </w:p>
        </w:tc>
        <w:tc>
          <w:tcPr>
            <w:tcW w:w="418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10.10†</w:t>
            </w:r>
          </w:p>
        </w:tc>
        <w:tc>
          <w:tcPr>
            <w:tcW w:w="74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Latham Group, Inc. 2021 Omnibus Equity Incentive Plan (incorporated by reference to Exhibit 10.5 to</w:t>
              </w:r>
            </w:hyperlink>
          </w:p>
        </w:tc>
        <w:tc>
          <w:tcPr>
            <w:tcW w:w="52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w w:val="94"/>
              </w:rPr>
            </w:pPr>
            <w:hyperlink r:id="rId140">
              <w:r>
                <w:rPr>
                  <w:rFonts w:ascii="Arial" w:cs="Arial" w:eastAsia="Arial" w:hAnsi="Arial"/>
                  <w:sz w:val="18"/>
                  <w:szCs w:val="18"/>
                  <w:color w:val="0000EE"/>
                  <w:w w:val="94"/>
                </w:rPr>
                <w:t>Latham Group, Inc.’s Quarterly Report on Form 10-Q filed with the SEC on August 5, 2021 (File No. 001-</w:t>
              </w:r>
            </w:hyperlink>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40358)</w:t>
              </w:r>
              <w:r>
                <w:rPr>
                  <w:rFonts w:ascii="Arial" w:cs="Arial" w:eastAsia="Arial" w:hAnsi="Arial"/>
                  <w:sz w:val="18"/>
                  <w:szCs w:val="18"/>
                  <w:u w:val="single" w:color="auto"/>
                  <w:color w:val="0000EE"/>
                  <w:w w:val="90"/>
                </w:rPr>
                <w:t>)</w:t>
              </w:r>
            </w:hyperlink>
          </w:p>
        </w:tc>
        <w:tc>
          <w:tcPr>
            <w:tcW w:w="3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10.11†</w:t>
            </w:r>
          </w:p>
        </w:tc>
        <w:tc>
          <w:tcPr>
            <w:tcW w:w="7920" w:type="dxa"/>
            <w:vAlign w:val="bottom"/>
            <w:gridSpan w:val="31"/>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Form of Nonqualified Option Award Agreement under the 2021 Omnibus Equity Incentive Plan</w:t>
              </w:r>
            </w:hyperlink>
          </w:p>
        </w:tc>
      </w:tr>
      <w:tr>
        <w:trPr>
          <w:trHeight w:val="20"/>
        </w:trPr>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(incorporated by reference to Exhibit 10.6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10.12†</w:t>
            </w:r>
          </w:p>
        </w:tc>
        <w:tc>
          <w:tcPr>
            <w:tcW w:w="7920" w:type="dxa"/>
            <w:vAlign w:val="bottom"/>
            <w:gridSpan w:val="31"/>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Form of Restricted Stock Award Agreement under the 2021 Omnibus Equity Incentive Plan (incorporated by</w:t>
              </w:r>
            </w:hyperlink>
          </w:p>
        </w:tc>
      </w:tr>
      <w:tr>
        <w:trPr>
          <w:trHeight w:val="196"/>
        </w:trPr>
        <w:tc>
          <w:tcPr>
            <w:tcW w:w="98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reference to Exhibit 10.7 to Latham Group, Inc.’s Quarterly Report on Form 10-Q filed with the SEC on</w:t>
              </w:r>
            </w:hyperlink>
          </w:p>
        </w:tc>
        <w:tc>
          <w:tcPr>
            <w:tcW w:w="34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August 5, 2021 (File No. 001-40358))</w:t>
              </w:r>
            </w:hyperlink>
          </w:p>
        </w:tc>
      </w:tr>
      <w:tr>
        <w:trPr>
          <w:trHeight w:val="20"/>
        </w:trPr>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10.13†</w:t>
            </w:r>
          </w:p>
        </w:tc>
        <w:tc>
          <w:tcPr>
            <w:tcW w:w="7040" w:type="dxa"/>
            <w:vAlign w:val="bottom"/>
            <w:tcBorders>
              <w:bottom w:val="single" w:sz="8" w:color="0000EE"/>
            </w:tcBorders>
            <w:gridSpan w:val="18"/>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Restricted Stock Unit Award Agreement under the 2021 Omnibus Equity Incentive Plan</w:t>
              </w:r>
            </w:hyperlink>
          </w:p>
        </w:tc>
        <w:tc>
          <w:tcPr>
            <w:tcW w:w="88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(incorporated by reference to Exhibit 10.8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10.14†*</w:t>
            </w:r>
          </w:p>
        </w:tc>
        <w:tc>
          <w:tcPr>
            <w:tcW w:w="74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Form of Restricted Stock Unit Award Agreement under the 2021 Omnibus Equity Incentive Plan dated</w:t>
            </w:r>
          </w:p>
        </w:tc>
        <w:tc>
          <w:tcPr>
            <w:tcW w:w="50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March 2023</w:t>
            </w:r>
          </w:p>
        </w:tc>
        <w:tc>
          <w:tcPr>
            <w:tcW w:w="7040" w:type="dxa"/>
            <w:vAlign w:val="bottom"/>
            <w:gridSpan w:val="27"/>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10.15†*</w:t>
            </w:r>
          </w:p>
        </w:tc>
        <w:tc>
          <w:tcPr>
            <w:tcW w:w="7920" w:type="dxa"/>
            <w:vAlign w:val="bottom"/>
            <w:gridSpan w:val="31"/>
          </w:tcPr>
          <w:p>
            <w:pPr>
              <w:spacing w:after="0"/>
              <w:rPr>
                <w:sz w:val="20"/>
                <w:szCs w:val="20"/>
                <w:color w:val="auto"/>
              </w:rPr>
            </w:pPr>
            <w:r>
              <w:rPr>
                <w:rFonts w:ascii="Arial" w:cs="Arial" w:eastAsia="Arial" w:hAnsi="Arial"/>
                <w:sz w:val="18"/>
                <w:szCs w:val="18"/>
                <w:color w:val="0000EE"/>
                <w:w w:val="94"/>
              </w:rPr>
              <w:t>Form of Stock Appreciation Right Award Agreement under the 2021 Omnibus Equity Incentive Plan dated</w:t>
            </w:r>
          </w:p>
        </w:tc>
      </w:tr>
      <w:tr>
        <w:trPr>
          <w:trHeight w:val="196"/>
        </w:trPr>
        <w:tc>
          <w:tcPr>
            <w:tcW w:w="980" w:type="dxa"/>
            <w:vAlign w:val="bottom"/>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March 2023</w:t>
            </w:r>
          </w:p>
        </w:tc>
        <w:tc>
          <w:tcPr>
            <w:tcW w:w="6820" w:type="dxa"/>
            <w:vAlign w:val="bottom"/>
            <w:tcBorders>
              <w:top w:val="single" w:sz="8" w:color="0000EE"/>
            </w:tcBorders>
            <w:gridSpan w:val="21"/>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10.16†*</w:t>
            </w:r>
          </w:p>
        </w:tc>
        <w:tc>
          <w:tcPr>
            <w:tcW w:w="46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Latham Group, Inc. Non-Employee Director Compensation Plan</w:t>
            </w:r>
          </w:p>
        </w:tc>
        <w:tc>
          <w:tcPr>
            <w:tcW w:w="3260" w:type="dxa"/>
            <w:vAlign w:val="bottom"/>
            <w:gridSpan w:val="17"/>
          </w:tcPr>
          <w:p>
            <w:pPr>
              <w:spacing w:after="0"/>
              <w:rPr>
                <w:sz w:val="24"/>
                <w:szCs w:val="24"/>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10.17†*</w:t>
            </w:r>
          </w:p>
        </w:tc>
        <w:tc>
          <w:tcPr>
            <w:tcW w:w="46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Form of Latham Group, Inc. Management Incentive Bonus Plan</w:t>
            </w:r>
          </w:p>
        </w:tc>
        <w:tc>
          <w:tcPr>
            <w:tcW w:w="3300" w:type="dxa"/>
            <w:vAlign w:val="bottom"/>
            <w:gridSpan w:val="18"/>
          </w:tcPr>
          <w:p>
            <w:pPr>
              <w:spacing w:after="0"/>
              <w:rPr>
                <w:sz w:val="24"/>
                <w:szCs w:val="24"/>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21.1*</w:t>
            </w:r>
          </w:p>
        </w:tc>
        <w:tc>
          <w:tcPr>
            <w:tcW w:w="21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Subsidiaries of the registrant</w:t>
            </w:r>
          </w:p>
        </w:tc>
        <w:tc>
          <w:tcPr>
            <w:tcW w:w="5820" w:type="dxa"/>
            <w:vAlign w:val="bottom"/>
            <w:gridSpan w:val="25"/>
          </w:tcPr>
          <w:p>
            <w:pPr>
              <w:spacing w:after="0"/>
              <w:rPr>
                <w:sz w:val="24"/>
                <w:szCs w:val="24"/>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23.1*</w:t>
            </w:r>
          </w:p>
        </w:tc>
        <w:tc>
          <w:tcPr>
            <w:tcW w:w="5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Consent of Deloitte &amp; Touche LLP, independent registered public accounting firm</w:t>
            </w:r>
          </w:p>
        </w:tc>
        <w:tc>
          <w:tcPr>
            <w:tcW w:w="2000" w:type="dxa"/>
            <w:vAlign w:val="bottom"/>
            <w:gridSpan w:val="15"/>
          </w:tcPr>
          <w:p>
            <w:pPr>
              <w:spacing w:after="0"/>
              <w:rPr>
                <w:sz w:val="24"/>
                <w:szCs w:val="24"/>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31.1*</w:t>
            </w:r>
          </w:p>
        </w:tc>
        <w:tc>
          <w:tcPr>
            <w:tcW w:w="7920" w:type="dxa"/>
            <w:vAlign w:val="bottom"/>
            <w:gridSpan w:val="31"/>
          </w:tcPr>
          <w:p>
            <w:pPr>
              <w:spacing w:after="0"/>
              <w:rPr>
                <w:sz w:val="20"/>
                <w:szCs w:val="20"/>
                <w:color w:val="auto"/>
              </w:rPr>
            </w:pPr>
            <w:r>
              <w:rPr>
                <w:rFonts w:ascii="Arial" w:cs="Arial" w:eastAsia="Arial" w:hAnsi="Arial"/>
                <w:sz w:val="18"/>
                <w:szCs w:val="18"/>
                <w:color w:val="0000EE"/>
              </w:rPr>
              <w:t xml:space="preserve">Certification of CEO, pursuant to SEC Rule 13a-14(a) and 15d-14(a) </w:t>
            </w:r>
            <w:r>
              <w:rPr>
                <w:rFonts w:ascii="Arial" w:cs="Arial" w:eastAsia="Arial" w:hAnsi="Arial"/>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80" w:type="dxa"/>
            <w:vAlign w:val="bottom"/>
            <w:tcBorders>
              <w:right w:val="single" w:sz="8" w:color="0000EE"/>
            </w:tcBorders>
            <w:gridSpan w:val="5"/>
            <w:shd w:val="clear" w:color="auto" w:fill="0000EE"/>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4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31.2*</w:t>
            </w:r>
          </w:p>
        </w:tc>
        <w:tc>
          <w:tcPr>
            <w:tcW w:w="7920" w:type="dxa"/>
            <w:vAlign w:val="bottom"/>
            <w:gridSpan w:val="31"/>
          </w:tcPr>
          <w:p>
            <w:pPr>
              <w:spacing w:after="0"/>
              <w:rPr>
                <w:sz w:val="20"/>
                <w:szCs w:val="20"/>
                <w:color w:val="auto"/>
              </w:rPr>
            </w:pPr>
            <w:r>
              <w:rPr>
                <w:rFonts w:ascii="Arial" w:cs="Arial" w:eastAsia="Arial" w:hAnsi="Arial"/>
                <w:sz w:val="18"/>
                <w:szCs w:val="18"/>
                <w:color w:val="0000EE"/>
              </w:rPr>
              <w:t xml:space="preserve">Certification of CFO, pursuant to SEC Rule 13a-14(a) and 15d-14(a) </w:t>
            </w:r>
            <w:r>
              <w:rPr>
                <w:rFonts w:ascii="Arial" w:cs="Arial" w:eastAsia="Arial" w:hAnsi="Arial"/>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80" w:type="dxa"/>
            <w:vAlign w:val="bottom"/>
            <w:tcBorders>
              <w:right w:val="single" w:sz="8" w:color="0000EE"/>
            </w:tcBorders>
            <w:gridSpan w:val="5"/>
            <w:shd w:val="clear" w:color="auto" w:fill="0000EE"/>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32.1**</w:t>
            </w:r>
          </w:p>
        </w:tc>
        <w:tc>
          <w:tcPr>
            <w:tcW w:w="75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Certification by the CEO, pursuant to 18 U.S.C. Section 1350, as adopted pursuant to Section 906 of the</w:t>
            </w:r>
          </w:p>
        </w:tc>
        <w:tc>
          <w:tcPr>
            <w:tcW w:w="4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sz w:val="20"/>
                <w:szCs w:val="20"/>
                <w:color w:val="auto"/>
              </w:rPr>
            </w:pPr>
            <w:r>
              <w:rPr>
                <w:rFonts w:ascii="Arial" w:cs="Arial" w:eastAsia="Arial" w:hAnsi="Arial"/>
                <w:sz w:val="18"/>
                <w:szCs w:val="18"/>
                <w:color w:val="0000EE"/>
              </w:rPr>
              <w:t xml:space="preserve">Sarbanes-Oxley Act of 2002 </w:t>
            </w:r>
            <w:r>
              <w:rPr>
                <w:rFonts w:ascii="Arial" w:cs="Arial" w:eastAsia="Arial" w:hAnsi="Arial"/>
                <w:sz w:val="18"/>
                <w:szCs w:val="18"/>
                <w:color w:val="000000"/>
              </w:rPr>
              <w:t>(furnished herewith)</w:t>
            </w:r>
          </w:p>
        </w:tc>
      </w:tr>
      <w:tr>
        <w:trPr>
          <w:trHeight w:val="20"/>
        </w:trPr>
        <w:tc>
          <w:tcPr>
            <w:tcW w:w="980" w:type="dxa"/>
            <w:vAlign w:val="bottom"/>
          </w:tcPr>
          <w:p>
            <w:pPr>
              <w:spacing w:after="0" w:line="20" w:lineRule="exact"/>
              <w:rPr>
                <w:sz w:val="1"/>
                <w:szCs w:val="1"/>
                <w:color w:val="auto"/>
              </w:rPr>
            </w:pPr>
          </w:p>
        </w:tc>
        <w:tc>
          <w:tcPr>
            <w:tcW w:w="2080" w:type="dxa"/>
            <w:vAlign w:val="bottom"/>
            <w:tcBorders>
              <w:right w:val="single" w:sz="8" w:color="0000EE"/>
            </w:tcBorders>
            <w:gridSpan w:val="5"/>
            <w:shd w:val="clear" w:color="auto" w:fill="0000EE"/>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32.2**</w:t>
            </w:r>
          </w:p>
        </w:tc>
        <w:tc>
          <w:tcPr>
            <w:tcW w:w="75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0"/>
              </w:rPr>
              <w:t>Certification by the CFO, pursuant to 18 U.S.C. Section 1350, as adopted pursuant to Section 906 of the</w:t>
            </w:r>
          </w:p>
        </w:tc>
        <w:tc>
          <w:tcPr>
            <w:tcW w:w="42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1"/>
          </w:tcPr>
          <w:p>
            <w:pPr>
              <w:spacing w:after="0" w:line="196" w:lineRule="exact"/>
              <w:rPr>
                <w:sz w:val="20"/>
                <w:szCs w:val="20"/>
                <w:color w:val="auto"/>
              </w:rPr>
            </w:pPr>
            <w:r>
              <w:rPr>
                <w:rFonts w:ascii="Arial" w:cs="Arial" w:eastAsia="Arial" w:hAnsi="Arial"/>
                <w:sz w:val="18"/>
                <w:szCs w:val="18"/>
                <w:color w:val="0000EE"/>
              </w:rPr>
              <w:t xml:space="preserve">Sarbanes-Oxley Act of 2002 </w:t>
            </w:r>
            <w:r>
              <w:rPr>
                <w:rFonts w:ascii="Arial" w:cs="Arial" w:eastAsia="Arial" w:hAnsi="Arial"/>
                <w:sz w:val="18"/>
                <w:szCs w:val="18"/>
                <w:color w:val="000000"/>
              </w:rPr>
              <w:t>(furnished herewith)</w:t>
            </w:r>
          </w:p>
        </w:tc>
      </w:tr>
      <w:tr>
        <w:trPr>
          <w:trHeight w:val="345"/>
        </w:trPr>
        <w:tc>
          <w:tcPr>
            <w:tcW w:w="9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20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w w:val="96"/>
              </w:rPr>
              <w:t>iXBRL Instance Document</w:t>
            </w:r>
          </w:p>
        </w:tc>
        <w:tc>
          <w:tcPr>
            <w:tcW w:w="5840" w:type="dxa"/>
            <w:vAlign w:val="bottom"/>
            <w:gridSpan w:val="26"/>
          </w:tcPr>
          <w:p>
            <w:pPr>
              <w:spacing w:after="0"/>
              <w:rPr>
                <w:sz w:val="24"/>
                <w:szCs w:val="24"/>
                <w:color w:val="auto"/>
              </w:rPr>
            </w:pP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7920" w:type="dxa"/>
            <w:vAlign w:val="bottom"/>
            <w:gridSpan w:val="31"/>
          </w:tcPr>
          <w:p>
            <w:pPr>
              <w:spacing w:after="0"/>
              <w:rPr>
                <w:sz w:val="20"/>
                <w:szCs w:val="20"/>
                <w:color w:val="auto"/>
              </w:rPr>
            </w:pPr>
            <w:r>
              <w:rPr>
                <w:rFonts w:ascii="Arial" w:cs="Arial" w:eastAsia="Arial" w:hAnsi="Arial"/>
                <w:sz w:val="18"/>
                <w:szCs w:val="18"/>
                <w:color w:val="auto"/>
              </w:rPr>
              <w:t>iXBRL Taxonomy Extension Schema Document</w:t>
            </w: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7920" w:type="dxa"/>
            <w:vAlign w:val="bottom"/>
            <w:gridSpan w:val="31"/>
          </w:tcPr>
          <w:p>
            <w:pPr>
              <w:spacing w:after="0"/>
              <w:rPr>
                <w:sz w:val="20"/>
                <w:szCs w:val="20"/>
                <w:color w:val="auto"/>
              </w:rPr>
            </w:pPr>
            <w:r>
              <w:rPr>
                <w:rFonts w:ascii="Arial" w:cs="Arial" w:eastAsia="Arial" w:hAnsi="Arial"/>
                <w:sz w:val="18"/>
                <w:szCs w:val="18"/>
                <w:color w:val="auto"/>
              </w:rPr>
              <w:t>iXBRL Taxonomy Extension Calculation Linkbase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20320</wp:posOffset>
            </wp:positionV>
            <wp:extent cx="6254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19"/>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31750</wp:posOffset>
            </wp:positionV>
            <wp:extent cx="4946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560" w:space="720"/>
            <w:col w:w="4739"/>
          </w:cols>
          <w:pgMar w:left="1440" w:top="517" w:right="1440"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101.DEF* iXBRL Taxonomy Extension Definition Linkbase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101.LAB* iXBRL Taxonomy Extension Label Linkbase Document</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101.PRE*  iXBRL Taxonomy Extension Presentation Linkbase</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 and contained in Exhibit 101)</w:t>
      </w:r>
    </w:p>
    <w:p>
      <w:pPr>
        <w:spacing w:after="0" w:line="379" w:lineRule="exact"/>
        <w:rPr>
          <w:sz w:val="20"/>
          <w:szCs w:val="20"/>
          <w:color w:val="auto"/>
        </w:rPr>
      </w:pPr>
    </w:p>
    <w:p>
      <w:pPr>
        <w:ind w:left="60" w:right="5759" w:hanging="10"/>
        <w:spacing w:after="0" w:line="230" w:lineRule="auto"/>
        <w:tabs>
          <w:tab w:leader="none" w:pos="168"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 Filed herewith.</w:t>
      </w:r>
    </w:p>
    <w:p>
      <w:pPr>
        <w:ind w:left="60"/>
        <w:spacing w:after="0" w:line="221" w:lineRule="auto"/>
        <w:rPr>
          <w:rFonts w:ascii="Arial" w:cs="Arial" w:eastAsia="Arial" w:hAnsi="Arial"/>
          <w:sz w:val="14"/>
          <w:szCs w:val="14"/>
          <w:color w:val="auto"/>
        </w:rPr>
      </w:pPr>
      <w:r>
        <w:rPr>
          <w:rFonts w:ascii="Arial" w:cs="Arial" w:eastAsia="Arial" w:hAnsi="Arial"/>
          <w:sz w:val="14"/>
          <w:szCs w:val="14"/>
          <w:color w:val="auto"/>
        </w:rPr>
        <w:t># Portions of this exhibit have been omitted pursuant to Item 601(a)(5) of Regulation S-K.</w:t>
      </w:r>
    </w:p>
    <w:p>
      <w:pPr>
        <w:ind w:left="300" w:right="539" w:hanging="243"/>
        <w:spacing w:after="0" w:line="237" w:lineRule="auto"/>
        <w:rPr>
          <w:rFonts w:ascii="Arial" w:cs="Arial" w:eastAsia="Arial" w:hAnsi="Arial"/>
          <w:sz w:val="14"/>
          <w:szCs w:val="14"/>
          <w:color w:val="auto"/>
        </w:rPr>
      </w:pPr>
      <w:r>
        <w:rPr>
          <w:rFonts w:ascii="Arial" w:cs="Arial" w:eastAsia="Arial" w:hAnsi="Arial"/>
          <w:sz w:val="14"/>
          <w:szCs w:val="14"/>
          <w:color w:val="auto"/>
        </w:rPr>
        <w:t>** A signed original of the written statement required by Section 906 has been provided to the Company and will be retained by the Company and forwarded to the SEC or its staff upon request.</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18"/>
          <w:szCs w:val="18"/>
          <w:color w:val="auto"/>
        </w:rPr>
        <w:t>Date</w:t>
        <w:tab/>
        <w:t>March 7, 2023</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 Scott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8200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Scott Rajeski</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130"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4"/>
                <w:szCs w:val="14"/>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5"/>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M. Rajeski</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President;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Scott M. Rajeski</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Executive Officer)</w:t>
            </w: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L. Masson II</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2"/>
              </w:rPr>
              <w:t>Robert L. Masson II</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Financial Officer)</w:t>
            </w: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Suraj Kunchala</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Vice President and Controller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Suraj Kunchala</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Accounting Officer)</w:t>
            </w: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M. Pruellage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5"/>
              </w:rPr>
              <w:t>William M. Pruellage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Dane Derbyshire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Dane Derbyshire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Mark P. Laven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1"/>
              </w:rPr>
              <w:t>Mark P. Laven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E. Cline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James E. Cline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D. Evans</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0"/>
              </w:rPr>
              <w:t>Robert D. Evans</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Alexander L. Hawkinson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93"/>
              </w:rPr>
              <w:t>Alexander L. Hawkinson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Suzan Morno-Wade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7, 2023</w:t>
            </w:r>
          </w:p>
        </w:tc>
      </w:tr>
      <w:tr>
        <w:trPr>
          <w:trHeight w:val="224"/>
        </w:trPr>
        <w:tc>
          <w:tcPr>
            <w:tcW w:w="2520" w:type="dxa"/>
            <w:vAlign w:val="bottom"/>
          </w:tcPr>
          <w:p>
            <w:pPr>
              <w:jc w:val="center"/>
              <w:spacing w:after="0"/>
              <w:rPr>
                <w:sz w:val="20"/>
                <w:szCs w:val="20"/>
                <w:color w:val="auto"/>
              </w:rPr>
            </w:pPr>
            <w:r>
              <w:rPr>
                <w:rFonts w:ascii="Arial" w:cs="Arial" w:eastAsia="Arial" w:hAnsi="Arial"/>
                <w:sz w:val="18"/>
                <w:szCs w:val="18"/>
                <w:color w:val="auto"/>
                <w:w w:val="89"/>
              </w:rPr>
              <w:t>Suzan Morno-Wade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7780"/>
        <w:spacing w:after="0"/>
        <w:rPr>
          <w:sz w:val="20"/>
          <w:szCs w:val="20"/>
          <w:color w:val="auto"/>
        </w:rPr>
      </w:pPr>
      <w:r>
        <w:rPr>
          <w:rFonts w:ascii="Arial" w:cs="Arial" w:eastAsia="Arial" w:hAnsi="Arial"/>
          <w:sz w:val="17"/>
          <w:szCs w:val="17"/>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OMNIBUS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1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7"/>
          <w:szCs w:val="17"/>
          <w:color w:val="auto"/>
        </w:rPr>
        <w:t>THIS RESTRICTED STOCK UNIT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[__________], 20[__]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Latham Group, Inc., a Delaware corporation (the</w:t>
      </w: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4"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WHEREAS, the Company has adopted the Plan, pursuant to which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may be granted; and</w:t>
      </w:r>
    </w:p>
    <w:p>
      <w:pPr>
        <w:spacing w:after="0" w:line="170" w:lineRule="exact"/>
        <w:rPr>
          <w:sz w:val="20"/>
          <w:szCs w:val="20"/>
          <w:color w:val="auto"/>
        </w:rPr>
      </w:pPr>
    </w:p>
    <w:p>
      <w:pPr>
        <w:jc w:val="both"/>
        <w:ind w:left="200" w:right="219" w:firstLine="648"/>
        <w:spacing w:after="0" w:line="342" w:lineRule="auto"/>
        <w:rPr>
          <w:sz w:val="20"/>
          <w:szCs w:val="20"/>
          <w:color w:val="auto"/>
        </w:rPr>
      </w:pPr>
      <w:r>
        <w:rPr>
          <w:rFonts w:ascii="Arial" w:cs="Arial" w:eastAsia="Arial" w:hAnsi="Arial"/>
          <w:sz w:val="16"/>
          <w:szCs w:val="16"/>
          <w:color w:val="auto"/>
        </w:rPr>
        <w:t>WHEREAS, the Committee has determined that it is in the best interests of the Company and its stockholders to grant the RSUs provided for herein to the Participant on the terms and subject to the conditions set forth herein; and</w:t>
      </w:r>
    </w:p>
    <w:p>
      <w:pPr>
        <w:spacing w:after="0" w:line="124"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840" w:hanging="307"/>
        <w:spacing w:after="0"/>
        <w:tabs>
          <w:tab w:leader="none" w:pos="8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Stock Units.</w:t>
      </w:r>
    </w:p>
    <w:p>
      <w:pPr>
        <w:spacing w:after="0" w:line="229" w:lineRule="exact"/>
        <w:rPr>
          <w:rFonts w:ascii="Arial" w:cs="Arial" w:eastAsia="Arial" w:hAnsi="Arial"/>
          <w:sz w:val="18"/>
          <w:szCs w:val="18"/>
          <w:b w:val="1"/>
          <w:bCs w:val="1"/>
          <w:color w:val="auto"/>
        </w:rPr>
      </w:pPr>
    </w:p>
    <w:p>
      <w:pPr>
        <w:jc w:val="both"/>
        <w:ind w:left="1180" w:right="219" w:hanging="323"/>
        <w:spacing w:after="0" w:line="259" w:lineRule="auto"/>
        <w:tabs>
          <w:tab w:leader="none" w:pos="11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86" w:lineRule="exact"/>
        <w:rPr>
          <w:rFonts w:ascii="Arial" w:cs="Arial" w:eastAsia="Arial" w:hAnsi="Arial"/>
          <w:sz w:val="18"/>
          <w:szCs w:val="18"/>
          <w:color w:val="auto"/>
        </w:rPr>
      </w:pPr>
    </w:p>
    <w:p>
      <w:pPr>
        <w:jc w:val="both"/>
        <w:ind w:left="1180" w:right="219" w:hanging="323"/>
        <w:spacing w:after="0" w:line="270" w:lineRule="auto"/>
        <w:tabs>
          <w:tab w:leader="none" w:pos="118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6" w:lineRule="exact"/>
        <w:rPr>
          <w:rFonts w:ascii="Arial" w:cs="Arial" w:eastAsia="Arial" w:hAnsi="Arial"/>
          <w:sz w:val="17"/>
          <w:szCs w:val="17"/>
          <w:color w:val="auto"/>
        </w:rPr>
      </w:pPr>
    </w:p>
    <w:p>
      <w:pPr>
        <w:ind w:left="840" w:hanging="307"/>
        <w:spacing w:after="0"/>
        <w:tabs>
          <w:tab w:leader="none" w:pos="8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Vesting; Settlement.</w:t>
      </w:r>
    </w:p>
    <w:p>
      <w:pPr>
        <w:spacing w:after="0" w:line="229" w:lineRule="exact"/>
        <w:rPr>
          <w:rFonts w:ascii="Arial" w:cs="Arial" w:eastAsia="Arial" w:hAnsi="Arial"/>
          <w:sz w:val="18"/>
          <w:szCs w:val="18"/>
          <w:b w:val="1"/>
          <w:bCs w:val="1"/>
          <w:color w:val="auto"/>
        </w:rPr>
      </w:pPr>
    </w:p>
    <w:p>
      <w:pPr>
        <w:jc w:val="both"/>
        <w:ind w:left="1180" w:right="239" w:hanging="323"/>
        <w:spacing w:after="0" w:line="257" w:lineRule="auto"/>
        <w:tabs>
          <w:tab w:leader="none" w:pos="1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Except as may otherwise be provided herein, subject to the Participant’s continued employment with, or engagement to provide services to, the Company and any of its Affiliates, the RSUs shall vest as follows: [_____] (any date on which RSUs vest, a “</w:t>
      </w:r>
      <w:r>
        <w:rPr>
          <w:rFonts w:ascii="Arial" w:cs="Arial" w:eastAsia="Arial" w:hAnsi="Arial"/>
          <w:sz w:val="18"/>
          <w:szCs w:val="18"/>
          <w:u w:val="single" w:color="auto"/>
          <w:color w:val="auto"/>
        </w:rPr>
        <w:t>Vesting Date</w:t>
      </w:r>
      <w:r>
        <w:rPr>
          <w:rFonts w:ascii="Arial" w:cs="Arial" w:eastAsia="Arial" w:hAnsi="Arial"/>
          <w:sz w:val="18"/>
          <w:szCs w:val="18"/>
          <w:color w:val="auto"/>
        </w:rPr>
        <w:t>”). Upon vesting, the RSUs shall no longer be subject to the transfer restrictions pursuant to Section 14(b) of the Plan or cancellation pursuant to Section 4 hereof.</w:t>
      </w:r>
    </w:p>
    <w:p>
      <w:pPr>
        <w:spacing w:after="0" w:line="187" w:lineRule="exact"/>
        <w:rPr>
          <w:rFonts w:ascii="Arial" w:cs="Arial" w:eastAsia="Arial" w:hAnsi="Arial"/>
          <w:sz w:val="18"/>
          <w:szCs w:val="18"/>
          <w:color w:val="auto"/>
        </w:rPr>
      </w:pPr>
    </w:p>
    <w:p>
      <w:pPr>
        <w:jc w:val="both"/>
        <w:ind w:left="1180" w:right="219" w:hanging="323"/>
        <w:spacing w:after="0" w:line="259" w:lineRule="auto"/>
        <w:tabs>
          <w:tab w:leader="none" w:pos="11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RSU shall be settled within 10 days following the Vesting Date in shares of Common Stock. The Company shall issue or deliver to the Participant in book entry notation or, if applicable, stock certificate form, the number of shares of Common Stock the Participant is entitled to receive under the terms of this Agreement.</w:t>
      </w:r>
    </w:p>
    <w:p>
      <w:pPr>
        <w:spacing w:after="0" w:line="182" w:lineRule="exact"/>
        <w:rPr>
          <w:rFonts w:ascii="Arial" w:cs="Arial" w:eastAsia="Arial" w:hAnsi="Arial"/>
          <w:sz w:val="18"/>
          <w:szCs w:val="18"/>
          <w:color w:val="auto"/>
        </w:rPr>
      </w:pPr>
    </w:p>
    <w:p>
      <w:pPr>
        <w:ind w:left="840" w:right="139" w:hanging="307"/>
        <w:spacing w:after="0" w:line="312" w:lineRule="auto"/>
        <w:tabs>
          <w:tab w:leader="none" w:pos="8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Common Stock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 shall be credited, as of the payment date for such Dividend, with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jc w:val="both"/>
        <w:ind w:left="840" w:right="139"/>
        <w:spacing w:after="0" w:line="255" w:lineRule="auto"/>
        <w:rPr>
          <w:sz w:val="20"/>
          <w:szCs w:val="20"/>
          <w:color w:val="auto"/>
        </w:rPr>
      </w:pPr>
      <w:r>
        <w:rPr>
          <w:rFonts w:ascii="Arial" w:cs="Arial" w:eastAsia="Arial" w:hAnsi="Arial"/>
          <w:sz w:val="18"/>
          <w:szCs w:val="18"/>
          <w:color w:val="auto"/>
        </w:rPr>
        <w:t>number of RSUs (each, an “</w:t>
      </w:r>
      <w:r>
        <w:rPr>
          <w:rFonts w:ascii="Arial" w:cs="Arial" w:eastAsia="Arial" w:hAnsi="Arial"/>
          <w:sz w:val="18"/>
          <w:szCs w:val="18"/>
          <w:u w:val="single" w:color="auto"/>
          <w:color w:val="auto"/>
        </w:rPr>
        <w:t>Additional RSU</w:t>
      </w:r>
      <w:r>
        <w:rPr>
          <w:rFonts w:ascii="Arial" w:cs="Arial" w:eastAsia="Arial" w:hAnsi="Arial"/>
          <w:sz w:val="18"/>
          <w:szCs w:val="18"/>
          <w:color w:val="auto"/>
        </w:rPr>
        <w:t>”) equal to the quotient obtained by dividing (x) the product of (i) the number of RSUs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88" w:lineRule="exact"/>
        <w:rPr>
          <w:sz w:val="20"/>
          <w:szCs w:val="20"/>
          <w:color w:val="auto"/>
        </w:rPr>
      </w:pPr>
    </w:p>
    <w:p>
      <w:pPr>
        <w:jc w:val="both"/>
        <w:ind w:left="840" w:right="139" w:hanging="307"/>
        <w:spacing w:after="0" w:line="289" w:lineRule="auto"/>
        <w:tabs>
          <w:tab w:leader="none" w:pos="8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Services. </w:t>
      </w:r>
      <w:r>
        <w:rPr>
          <w:rFonts w:ascii="Arial" w:cs="Arial" w:eastAsia="Arial" w:hAnsi="Arial"/>
          <w:sz w:val="17"/>
          <w:szCs w:val="17"/>
          <w:color w:val="auto"/>
        </w:rPr>
        <w:t>If the Participant’s employment with, or engagement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the Company and its Affiliates terminates for any reason, all unvested RSUs shall be canceled immediately and the Participant shall not be entitled to receive any payments with respect thereto.</w:t>
      </w:r>
    </w:p>
    <w:p>
      <w:pPr>
        <w:spacing w:after="0" w:line="157" w:lineRule="exact"/>
        <w:rPr>
          <w:rFonts w:ascii="Arial" w:cs="Arial" w:eastAsia="Arial" w:hAnsi="Arial"/>
          <w:sz w:val="17"/>
          <w:szCs w:val="17"/>
          <w:b w:val="1"/>
          <w:bCs w:val="1"/>
          <w:color w:val="auto"/>
        </w:rPr>
      </w:pPr>
    </w:p>
    <w:p>
      <w:pPr>
        <w:jc w:val="both"/>
        <w:ind w:left="840" w:right="139" w:hanging="307"/>
        <w:spacing w:after="0" w:line="255" w:lineRule="auto"/>
        <w:tabs>
          <w:tab w:leader="none" w:pos="8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88" w:lineRule="exact"/>
        <w:rPr>
          <w:rFonts w:ascii="Arial" w:cs="Arial" w:eastAsia="Arial" w:hAnsi="Arial"/>
          <w:sz w:val="18"/>
          <w:szCs w:val="18"/>
          <w:b w:val="1"/>
          <w:bCs w:val="1"/>
          <w:color w:val="auto"/>
        </w:rPr>
      </w:pPr>
    </w:p>
    <w:p>
      <w:pPr>
        <w:ind w:left="840" w:hanging="307"/>
        <w:spacing w:after="0"/>
        <w:tabs>
          <w:tab w:leader="none" w:pos="8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p>
    <w:p>
      <w:pPr>
        <w:spacing w:after="0" w:line="229" w:lineRule="exact"/>
        <w:rPr>
          <w:rFonts w:ascii="Arial" w:cs="Arial" w:eastAsia="Arial" w:hAnsi="Arial"/>
          <w:sz w:val="18"/>
          <w:szCs w:val="18"/>
          <w:b w:val="1"/>
          <w:bCs w:val="1"/>
          <w:color w:val="auto"/>
        </w:rPr>
      </w:pPr>
    </w:p>
    <w:p>
      <w:pPr>
        <w:jc w:val="both"/>
        <w:ind w:left="1180" w:right="239" w:hanging="323"/>
        <w:spacing w:after="0" w:line="254" w:lineRule="auto"/>
        <w:tabs>
          <w:tab w:leader="none" w:pos="11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94" w:lineRule="exact"/>
        <w:rPr>
          <w:rFonts w:ascii="Arial" w:cs="Arial" w:eastAsia="Arial" w:hAnsi="Arial"/>
          <w:sz w:val="18"/>
          <w:szCs w:val="18"/>
          <w:color w:val="auto"/>
        </w:rPr>
      </w:pPr>
    </w:p>
    <w:p>
      <w:pPr>
        <w:jc w:val="both"/>
        <w:ind w:left="1180" w:right="219" w:hanging="323"/>
        <w:spacing w:after="0" w:line="269" w:lineRule="auto"/>
        <w:tabs>
          <w:tab w:leader="none" w:pos="118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174" w:lineRule="exact"/>
        <w:rPr>
          <w:rFonts w:ascii="Arial" w:cs="Arial" w:eastAsia="Arial" w:hAnsi="Arial"/>
          <w:sz w:val="17"/>
          <w:szCs w:val="17"/>
          <w:color w:val="auto"/>
        </w:rPr>
      </w:pPr>
    </w:p>
    <w:p>
      <w:pPr>
        <w:jc w:val="both"/>
        <w:ind w:left="840" w:right="139" w:hanging="307"/>
        <w:spacing w:after="0" w:line="268" w:lineRule="auto"/>
        <w:tabs>
          <w:tab w:leader="none" w:pos="8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RSU</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 if 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if the Participant violates the covenants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488315</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16" w:name="page117"/>
    <w:bookmarkEnd w:id="116"/>
    <w:p>
      <w:pPr>
        <w:jc w:val="both"/>
        <w:ind w:left="840" w:right="139"/>
        <w:spacing w:after="0" w:line="275" w:lineRule="auto"/>
        <w:rPr>
          <w:sz w:val="20"/>
          <w:szCs w:val="20"/>
          <w:color w:val="auto"/>
        </w:rPr>
      </w:pPr>
      <w:r>
        <w:rPr>
          <w:rFonts w:ascii="Arial" w:cs="Arial" w:eastAsia="Arial" w:hAnsi="Arial"/>
          <w:sz w:val="17"/>
          <w:szCs w:val="17"/>
          <w:color w:val="auto"/>
        </w:rPr>
        <w:t>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2" w:lineRule="exact"/>
        <w:rPr>
          <w:sz w:val="20"/>
          <w:szCs w:val="20"/>
          <w:color w:val="auto"/>
        </w:rPr>
      </w:pPr>
    </w:p>
    <w:p>
      <w:pPr>
        <w:ind w:left="840" w:hanging="307"/>
        <w:spacing w:after="0"/>
        <w:tabs>
          <w:tab w:leader="none" w:pos="8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left="1180" w:right="219" w:hanging="323"/>
        <w:spacing w:after="0" w:line="259"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incorporated herein and forms part of this Agreement.</w:t>
      </w:r>
    </w:p>
    <w:p>
      <w:pPr>
        <w:spacing w:after="0" w:line="186" w:lineRule="exact"/>
        <w:rPr>
          <w:rFonts w:ascii="Arial" w:cs="Arial" w:eastAsia="Arial" w:hAnsi="Arial"/>
          <w:sz w:val="18"/>
          <w:szCs w:val="18"/>
          <w:color w:val="auto"/>
        </w:rPr>
      </w:pPr>
    </w:p>
    <w:p>
      <w:pPr>
        <w:jc w:val="both"/>
        <w:ind w:left="1180" w:right="219" w:hanging="323"/>
        <w:spacing w:after="0" w:line="254"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event that the Participant violates any of the restrictive covenants referred to in this Section 8, in addition to any other remedy that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90" w:lineRule="exact"/>
        <w:rPr>
          <w:rFonts w:ascii="Arial" w:cs="Arial" w:eastAsia="Arial" w:hAnsi="Arial"/>
          <w:sz w:val="18"/>
          <w:szCs w:val="18"/>
          <w:color w:val="auto"/>
        </w:rPr>
      </w:pPr>
    </w:p>
    <w:p>
      <w:pPr>
        <w:ind w:left="840" w:hanging="307"/>
        <w:spacing w:after="0"/>
        <w:tabs>
          <w:tab w:leader="none" w:pos="8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left="1180" w:right="219" w:hanging="323"/>
        <w:spacing w:after="0" w:line="296" w:lineRule="auto"/>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RSUs may not be assigned, alienated, pledged, attached, sold or otherwise transferred or encumbered (a “</w:t>
      </w:r>
      <w:r>
        <w:rPr>
          <w:rFonts w:ascii="Arial" w:cs="Arial" w:eastAsia="Arial" w:hAnsi="Arial"/>
          <w:sz w:val="16"/>
          <w:szCs w:val="16"/>
          <w:u w:val="single" w:color="auto"/>
          <w:color w:val="auto"/>
        </w:rPr>
        <w:t>Transfer</w:t>
      </w:r>
      <w:r>
        <w:rPr>
          <w:rFonts w:ascii="Arial" w:cs="Arial" w:eastAsia="Arial" w:hAnsi="Arial"/>
          <w:sz w:val="16"/>
          <w:szCs w:val="16"/>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61" w:lineRule="exact"/>
        <w:rPr>
          <w:rFonts w:ascii="Arial" w:cs="Arial" w:eastAsia="Arial" w:hAnsi="Arial"/>
          <w:sz w:val="16"/>
          <w:szCs w:val="16"/>
          <w:color w:val="auto"/>
        </w:rPr>
      </w:pPr>
    </w:p>
    <w:p>
      <w:pPr>
        <w:jc w:val="both"/>
        <w:ind w:left="1180" w:right="219" w:hanging="323"/>
        <w:spacing w:after="0" w:line="275" w:lineRule="auto"/>
        <w:tabs>
          <w:tab w:leader="none" w:pos="1180"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6" w:lineRule="exact"/>
        <w:rPr>
          <w:rFonts w:ascii="Arial" w:cs="Arial" w:eastAsia="Arial" w:hAnsi="Arial"/>
          <w:sz w:val="17"/>
          <w:szCs w:val="17"/>
          <w:color w:val="auto"/>
        </w:rPr>
      </w:pPr>
    </w:p>
    <w:p>
      <w:pPr>
        <w:jc w:val="both"/>
        <w:ind w:left="1180" w:right="219" w:hanging="323"/>
        <w:spacing w:after="0" w:line="287" w:lineRule="auto"/>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1" w:lineRule="exact"/>
        <w:rPr>
          <w:rFonts w:ascii="Arial" w:cs="Arial" w:eastAsia="Arial" w:hAnsi="Arial"/>
          <w:sz w:val="16"/>
          <w:szCs w:val="16"/>
          <w:color w:val="auto"/>
        </w:rPr>
      </w:pPr>
    </w:p>
    <w:p>
      <w:pPr>
        <w:jc w:val="both"/>
        <w:ind w:left="1180" w:right="239" w:hanging="323"/>
        <w:spacing w:after="0" w:line="259" w:lineRule="auto"/>
        <w:tabs>
          <w:tab w:leader="none" w:pos="118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General Assets</w:t>
      </w:r>
      <w:r>
        <w:rPr>
          <w:rFonts w:ascii="Arial" w:cs="Arial" w:eastAsia="Arial" w:hAnsi="Arial"/>
          <w:sz w:val="18"/>
          <w:szCs w:val="18"/>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6" w:lineRule="exact"/>
        <w:rPr>
          <w:rFonts w:ascii="Arial" w:cs="Arial" w:eastAsia="Arial" w:hAnsi="Arial"/>
          <w:sz w:val="18"/>
          <w:szCs w:val="18"/>
          <w:color w:val="auto"/>
        </w:rPr>
      </w:pPr>
    </w:p>
    <w:p>
      <w:pPr>
        <w:jc w:val="both"/>
        <w:ind w:left="1180" w:right="239" w:hanging="323"/>
        <w:spacing w:after="0" w:line="286" w:lineRule="auto"/>
        <w:tabs>
          <w:tab w:leader="none" w:pos="1180"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17" w:name="page118"/>
    <w:bookmarkEnd w:id="117"/>
    <w:p>
      <w:pPr>
        <w:jc w:val="both"/>
        <w:ind w:left="1180" w:right="219"/>
        <w:spacing w:after="0" w:line="259" w:lineRule="auto"/>
        <w:rPr>
          <w:sz w:val="20"/>
          <w:szCs w:val="20"/>
          <w:color w:val="auto"/>
        </w:rPr>
      </w:pPr>
      <w:r>
        <w:rPr>
          <w:rFonts w:ascii="Arial" w:cs="Arial" w:eastAsia="Arial" w:hAnsi="Arial"/>
          <w:sz w:val="18"/>
          <w:szCs w:val="18"/>
          <w:color w:val="auto"/>
        </w:rPr>
        <w:t>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87" w:lineRule="exact"/>
        <w:rPr>
          <w:sz w:val="20"/>
          <w:szCs w:val="20"/>
          <w:color w:val="auto"/>
        </w:rPr>
      </w:pPr>
    </w:p>
    <w:p>
      <w:pPr>
        <w:jc w:val="both"/>
        <w:ind w:left="1180" w:right="239" w:hanging="323"/>
        <w:spacing w:after="0" w:line="263"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left="1180" w:right="219" w:hanging="323"/>
        <w:spacing w:after="0" w:line="25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Rights to Employment or Service</w:t>
      </w:r>
      <w:r>
        <w:rPr>
          <w:rFonts w:ascii="Arial" w:cs="Arial" w:eastAsia="Arial" w:hAnsi="Arial"/>
          <w:sz w:val="18"/>
          <w:szCs w:val="18"/>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7" w:lineRule="exact"/>
        <w:rPr>
          <w:rFonts w:ascii="Arial" w:cs="Arial" w:eastAsia="Arial" w:hAnsi="Arial"/>
          <w:sz w:val="18"/>
          <w:szCs w:val="18"/>
          <w:color w:val="auto"/>
        </w:rPr>
      </w:pPr>
    </w:p>
    <w:p>
      <w:pPr>
        <w:jc w:val="both"/>
        <w:ind w:left="1180" w:right="219" w:hanging="323"/>
        <w:spacing w:after="0" w:line="311" w:lineRule="auto"/>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lieu of issuing a fraction of a share of Common Stock resulting from an adjustment of the RSUs pursuant to Section 11 of the Plan or otherwise, the Company shall be entitled to pay to the Participant an amount in cash equal to the Fair Market Value of such fractional share.</w:t>
      </w:r>
    </w:p>
    <w:p>
      <w:pPr>
        <w:spacing w:after="0" w:line="148" w:lineRule="exact"/>
        <w:rPr>
          <w:rFonts w:ascii="Arial" w:cs="Arial" w:eastAsia="Arial" w:hAnsi="Arial"/>
          <w:sz w:val="16"/>
          <w:szCs w:val="16"/>
          <w:color w:val="auto"/>
        </w:rPr>
      </w:pPr>
    </w:p>
    <w:p>
      <w:pPr>
        <w:jc w:val="both"/>
        <w:ind w:left="1180" w:right="219" w:hanging="323"/>
        <w:spacing w:after="0" w:line="263"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83" w:lineRule="exact"/>
        <w:rPr>
          <w:rFonts w:ascii="Arial" w:cs="Arial" w:eastAsia="Arial" w:hAnsi="Arial"/>
          <w:sz w:val="18"/>
          <w:szCs w:val="18"/>
          <w:color w:val="auto"/>
        </w:rPr>
      </w:pPr>
    </w:p>
    <w:p>
      <w:pPr>
        <w:jc w:val="both"/>
        <w:ind w:left="1180" w:right="219" w:hanging="323"/>
        <w:spacing w:after="0" w:line="263"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3" w:lineRule="exact"/>
        <w:rPr>
          <w:rFonts w:ascii="Arial" w:cs="Arial" w:eastAsia="Arial" w:hAnsi="Arial"/>
          <w:sz w:val="18"/>
          <w:szCs w:val="18"/>
          <w:color w:val="auto"/>
        </w:rPr>
      </w:pPr>
    </w:p>
    <w:p>
      <w:pPr>
        <w:jc w:val="both"/>
        <w:ind w:left="1180" w:right="219" w:hanging="323"/>
        <w:spacing w:after="0" w:line="270" w:lineRule="auto"/>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Exhibit A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80" w:lineRule="exact"/>
        <w:rPr>
          <w:rFonts w:ascii="Arial" w:cs="Arial" w:eastAsia="Arial" w:hAnsi="Arial"/>
          <w:sz w:val="17"/>
          <w:szCs w:val="17"/>
          <w:color w:val="auto"/>
        </w:rPr>
      </w:pPr>
    </w:p>
    <w:p>
      <w:pPr>
        <w:jc w:val="both"/>
        <w:ind w:left="1180" w:right="219" w:hanging="323"/>
        <w:spacing w:after="0" w:line="259"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6" w:lineRule="exact"/>
        <w:rPr>
          <w:rFonts w:ascii="Arial" w:cs="Arial" w:eastAsia="Arial" w:hAnsi="Arial"/>
          <w:sz w:val="18"/>
          <w:szCs w:val="18"/>
          <w:color w:val="auto"/>
        </w:rPr>
      </w:pPr>
    </w:p>
    <w:p>
      <w:pPr>
        <w:jc w:val="both"/>
        <w:ind w:left="2160" w:right="219" w:hanging="655"/>
        <w:spacing w:after="0" w:line="286" w:lineRule="auto"/>
        <w:tabs>
          <w:tab w:leader="none" w:pos="216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Dispute Resolution; Consent to Jurisdiction</w:t>
      </w:r>
      <w:r>
        <w:rPr>
          <w:rFonts w:ascii="Arial" w:cs="Arial" w:eastAsia="Arial" w:hAnsi="Arial"/>
          <w:sz w:val="16"/>
          <w:szCs w:val="16"/>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711200</wp:posOffset>
            </wp:positionV>
            <wp:extent cx="54521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18" w:name="page119"/>
    <w:bookmarkEnd w:id="118"/>
    <w:p>
      <w:pPr>
        <w:jc w:val="both"/>
        <w:ind w:left="2160" w:right="219" w:hanging="655"/>
        <w:spacing w:after="0" w:line="253" w:lineRule="auto"/>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18"/>
          <w:szCs w:val="18"/>
          <w:color w:val="auto"/>
        </w:rPr>
      </w:pPr>
    </w:p>
    <w:p>
      <w:pPr>
        <w:ind w:left="1180" w:right="239" w:hanging="323"/>
        <w:spacing w:after="0" w:line="308" w:lineRule="auto"/>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w:t>
      </w:r>
    </w:p>
    <w:p>
      <w:pPr>
        <w:spacing w:after="0" w:line="146" w:lineRule="exact"/>
        <w:rPr>
          <w:rFonts w:ascii="Arial" w:cs="Arial" w:eastAsia="Arial" w:hAnsi="Arial"/>
          <w:sz w:val="17"/>
          <w:szCs w:val="17"/>
          <w:color w:val="auto"/>
        </w:rPr>
      </w:pPr>
    </w:p>
    <w:p>
      <w:pPr>
        <w:jc w:val="both"/>
        <w:ind w:left="1180" w:right="219" w:hanging="323"/>
        <w:spacing w:after="0" w:line="279" w:lineRule="auto"/>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7"/>
          <w:szCs w:val="17"/>
          <w:color w:val="auto"/>
        </w:rPr>
      </w:pPr>
    </w:p>
    <w:p>
      <w:pPr>
        <w:jc w:val="both"/>
        <w:ind w:left="1180" w:right="219" w:hanging="323"/>
        <w:spacing w:after="0" w:line="273" w:lineRule="auto"/>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7" w:lineRule="exact"/>
        <w:rPr>
          <w:rFonts w:ascii="Arial" w:cs="Arial" w:eastAsia="Arial" w:hAnsi="Arial"/>
          <w:sz w:val="17"/>
          <w:szCs w:val="17"/>
          <w:color w:val="auto"/>
        </w:rPr>
      </w:pPr>
    </w:p>
    <w:p>
      <w:pPr>
        <w:jc w:val="both"/>
        <w:ind w:left="1180" w:right="219" w:hanging="323"/>
        <w:spacing w:after="0" w:line="25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Electronic Participation in Plan</w:t>
      </w:r>
      <w:r>
        <w:rPr>
          <w:rFonts w:ascii="Arial" w:cs="Arial" w:eastAsia="Arial" w:hAnsi="Arial"/>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786130</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19" w:name="page120"/>
    <w:bookmarkEnd w:id="119"/>
    <w:p>
      <w:pPr>
        <w:ind w:left="200" w:right="239" w:firstLine="881"/>
        <w:spacing w:after="0" w:line="277" w:lineRule="auto"/>
        <w:rPr>
          <w:sz w:val="20"/>
          <w:szCs w:val="20"/>
          <w:color w:val="auto"/>
        </w:rPr>
      </w:pPr>
      <w:r>
        <w:rPr>
          <w:rFonts w:ascii="Arial" w:cs="Arial" w:eastAsia="Arial" w:hAnsi="Arial"/>
          <w:sz w:val="18"/>
          <w:szCs w:val="18"/>
          <w:color w:val="auto"/>
        </w:rPr>
        <w:t>IN WITNESS WHEREOF, this Restricted Stock Unit Award Agreement has been executed by the Company and the Participant as of the day first written above.</w:t>
      </w: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LATHAM GROUP, INC.</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26231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5998210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-130175</wp:posOffset>
            </wp:positionV>
            <wp:extent cx="2802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0" w:name="page121"/>
    <w:bookmarkEnd w:id="120"/>
    <w:p>
      <w:pPr>
        <w:ind w:left="2220"/>
        <w:spacing w:after="0"/>
        <w:rPr>
          <w:sz w:val="20"/>
          <w:szCs w:val="20"/>
          <w:color w:val="auto"/>
        </w:rPr>
      </w:pPr>
      <w:r>
        <w:rPr>
          <w:rFonts w:ascii="Arial" w:cs="Arial" w:eastAsia="Arial" w:hAnsi="Arial"/>
          <w:sz w:val="16"/>
          <w:szCs w:val="16"/>
          <w:color w:val="auto"/>
        </w:rPr>
        <w:t>[Signature Page to [______________] 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663575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both"/>
        <w:ind w:left="540" w:right="219" w:hanging="331"/>
        <w:spacing w:after="0" w:line="31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Participant’s employment with, or other engagement to provide services to, the Company or any of its Affiliates and for a period of twenty-four (24) months thereafter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Participant shall not, either directly or indirectly, for himself or herself or on behalf of or in conjunction with any other Person:</w:t>
      </w:r>
    </w:p>
    <w:p>
      <w:pPr>
        <w:spacing w:after="0" w:line="148" w:lineRule="exact"/>
        <w:rPr>
          <w:rFonts w:ascii="Arial" w:cs="Arial" w:eastAsia="Arial" w:hAnsi="Arial"/>
          <w:sz w:val="16"/>
          <w:szCs w:val="16"/>
          <w:color w:val="auto"/>
        </w:rPr>
      </w:pPr>
    </w:p>
    <w:p>
      <w:pPr>
        <w:jc w:val="both"/>
        <w:ind w:left="1540" w:right="239" w:hanging="332"/>
        <w:spacing w:after="0" w:line="263"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3" w:lineRule="exact"/>
        <w:rPr>
          <w:rFonts w:ascii="Arial" w:cs="Arial" w:eastAsia="Arial" w:hAnsi="Arial"/>
          <w:sz w:val="18"/>
          <w:szCs w:val="18"/>
          <w:color w:val="auto"/>
        </w:rPr>
      </w:pPr>
    </w:p>
    <w:p>
      <w:pPr>
        <w:jc w:val="both"/>
        <w:ind w:left="1540" w:right="239" w:hanging="332"/>
        <w:spacing w:after="0" w:line="275" w:lineRule="auto"/>
        <w:tabs>
          <w:tab w:leader="none" w:pos="15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(5) year period preceding the termination of Participant’s employment.</w:t>
      </w:r>
    </w:p>
    <w:p>
      <w:pPr>
        <w:spacing w:after="0" w:line="176" w:lineRule="exact"/>
        <w:rPr>
          <w:rFonts w:ascii="Arial" w:cs="Arial" w:eastAsia="Arial" w:hAnsi="Arial"/>
          <w:sz w:val="17"/>
          <w:szCs w:val="17"/>
          <w:color w:val="auto"/>
        </w:rPr>
      </w:pPr>
    </w:p>
    <w:p>
      <w:pPr>
        <w:jc w:val="both"/>
        <w:ind w:left="540" w:right="219" w:hanging="331"/>
        <w:spacing w:after="0" w:line="289"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66" w:lineRule="exact"/>
        <w:rPr>
          <w:rFonts w:ascii="Arial" w:cs="Arial" w:eastAsia="Arial" w:hAnsi="Arial"/>
          <w:sz w:val="16"/>
          <w:szCs w:val="16"/>
          <w:color w:val="auto"/>
        </w:rPr>
      </w:pPr>
    </w:p>
    <w:p>
      <w:pPr>
        <w:jc w:val="both"/>
        <w:ind w:left="540" w:right="219" w:hanging="331"/>
        <w:spacing w:after="0" w:line="286"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 or on the Participant’s behalf or (y) information that the Participant can demonstrate to have had rightfully in the Participant’s possession prior to the date on which the Participant first provided services to any Latham Company.</w:t>
      </w:r>
    </w:p>
    <w:p>
      <w:pPr>
        <w:spacing w:after="0" w:line="170" w:lineRule="exact"/>
        <w:rPr>
          <w:rFonts w:ascii="Arial" w:cs="Arial" w:eastAsia="Arial" w:hAnsi="Arial"/>
          <w:sz w:val="16"/>
          <w:szCs w:val="16"/>
          <w:color w:val="auto"/>
        </w:rPr>
      </w:pPr>
    </w:p>
    <w:p>
      <w:pPr>
        <w:jc w:val="both"/>
        <w:ind w:left="540" w:right="219" w:hanging="331"/>
        <w:spacing w:after="0" w:line="25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86" w:lineRule="exact"/>
        <w:rPr>
          <w:rFonts w:ascii="Arial" w:cs="Arial" w:eastAsia="Arial" w:hAnsi="Arial"/>
          <w:sz w:val="18"/>
          <w:szCs w:val="18"/>
          <w:color w:val="auto"/>
        </w:rPr>
      </w:pPr>
    </w:p>
    <w:p>
      <w:pPr>
        <w:ind w:left="540" w:hanging="331"/>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40" w:right="219" w:hanging="332"/>
        <w:spacing w:after="0" w:line="275" w:lineRule="auto"/>
        <w:tabs>
          <w:tab w:leader="none" w:pos="15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2" w:name="page123"/>
    <w:bookmarkEnd w:id="122"/>
    <w:p>
      <w:pPr>
        <w:jc w:val="both"/>
        <w:ind w:left="1540" w:right="219"/>
        <w:spacing w:after="0" w:line="279" w:lineRule="auto"/>
        <w:rPr>
          <w:sz w:val="20"/>
          <w:szCs w:val="20"/>
          <w:color w:val="auto"/>
        </w:rPr>
      </w:pPr>
      <w:r>
        <w:rPr>
          <w:rFonts w:ascii="Arial" w:cs="Arial" w:eastAsia="Arial" w:hAnsi="Arial"/>
          <w:sz w:val="17"/>
          <w:szCs w:val="17"/>
          <w:color w:val="auto"/>
        </w:rPr>
        <w:t>equityholder information; pricing, cost, or profit factors; quality programs; annual budget and long-range business plans; marketing plans and methods; contracts and bids; business ideas and methods, store concepts, inventions, innovations, developments, graphic designs, website designs, patterns, specifications, procedures, databases and personnel.</w:t>
      </w:r>
    </w:p>
    <w:p>
      <w:pPr>
        <w:spacing w:after="0" w:line="171" w:lineRule="exact"/>
        <w:rPr>
          <w:sz w:val="20"/>
          <w:szCs w:val="20"/>
          <w:color w:val="auto"/>
        </w:rPr>
      </w:pPr>
    </w:p>
    <w:p>
      <w:pPr>
        <w:jc w:val="both"/>
        <w:ind w:left="1540" w:right="219" w:hanging="332"/>
        <w:spacing w:after="0" w:line="311" w:lineRule="auto"/>
        <w:tabs>
          <w:tab w:leader="none" w:pos="15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Latham Companies</w:t>
      </w:r>
      <w:r>
        <w:rPr>
          <w:rFonts w:ascii="Arial" w:cs="Arial" w:eastAsia="Arial" w:hAnsi="Arial"/>
          <w:sz w:val="16"/>
          <w:szCs w:val="16"/>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48" w:lineRule="exact"/>
        <w:rPr>
          <w:rFonts w:ascii="Arial" w:cs="Arial" w:eastAsia="Arial" w:hAnsi="Arial"/>
          <w:sz w:val="16"/>
          <w:szCs w:val="16"/>
          <w:color w:val="auto"/>
        </w:rPr>
      </w:pPr>
    </w:p>
    <w:p>
      <w:pPr>
        <w:jc w:val="both"/>
        <w:ind w:left="1540" w:right="219" w:hanging="332"/>
        <w:spacing w:after="0" w:line="271" w:lineRule="auto"/>
        <w:tabs>
          <w:tab w:leader="none" w:pos="15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w:t>
      </w:r>
      <w:r>
        <w:rPr>
          <w:rFonts w:ascii="Arial" w:cs="Arial" w:eastAsia="Arial" w:hAnsi="Arial"/>
          <w:sz w:val="17"/>
          <w:szCs w:val="17"/>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8" w:lineRule="exact"/>
        <w:rPr>
          <w:rFonts w:ascii="Arial" w:cs="Arial" w:eastAsia="Arial" w:hAnsi="Arial"/>
          <w:sz w:val="17"/>
          <w:szCs w:val="17"/>
          <w:color w:val="auto"/>
        </w:rPr>
      </w:pPr>
    </w:p>
    <w:p>
      <w:pPr>
        <w:jc w:val="both"/>
        <w:ind w:left="540" w:right="219" w:hanging="331"/>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Prior to accepting any offer of employment during the Restricted Period, the Participant shall inform such employers of all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within two (2) business days of accepting an offer of employment with another employer, shall notify the Company of the name and address of the new employer and the title of the position accepted.</w:t>
      </w:r>
    </w:p>
    <w:p>
      <w:pPr>
        <w:spacing w:after="0" w:line="186" w:lineRule="exact"/>
        <w:rPr>
          <w:rFonts w:ascii="Arial" w:cs="Arial" w:eastAsia="Arial" w:hAnsi="Arial"/>
          <w:sz w:val="18"/>
          <w:szCs w:val="18"/>
          <w:color w:val="auto"/>
        </w:rPr>
      </w:pPr>
    </w:p>
    <w:p>
      <w:pPr>
        <w:jc w:val="both"/>
        <w:ind w:left="540" w:right="219" w:hanging="331"/>
        <w:spacing w:after="0" w:line="255"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severable and separate, and the unenforceability of any specific covenant shall not affect the provisions of any other covenant. If any provision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92" w:lineRule="exact"/>
        <w:rPr>
          <w:rFonts w:ascii="Arial" w:cs="Arial" w:eastAsia="Arial" w:hAnsi="Arial"/>
          <w:sz w:val="18"/>
          <w:szCs w:val="18"/>
          <w:color w:val="auto"/>
        </w:rPr>
      </w:pPr>
    </w:p>
    <w:p>
      <w:pPr>
        <w:jc w:val="both"/>
        <w:ind w:left="540" w:right="219" w:hanging="331"/>
        <w:spacing w:after="0" w:line="259"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All of the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construed as an agreement independent of any other provisions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existence of any claim or cause of action the Participant may have against any Latham Company, whether predicated on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otherwise, shall not constitute a defense to the enforcement by any Latham Company of such covenants.</w:t>
      </w:r>
    </w:p>
    <w:p>
      <w:pPr>
        <w:spacing w:after="0" w:line="186" w:lineRule="exact"/>
        <w:rPr>
          <w:rFonts w:ascii="Arial" w:cs="Arial" w:eastAsia="Arial" w:hAnsi="Arial"/>
          <w:sz w:val="18"/>
          <w:szCs w:val="18"/>
          <w:color w:val="auto"/>
        </w:rPr>
      </w:pPr>
    </w:p>
    <w:p>
      <w:pPr>
        <w:jc w:val="both"/>
        <w:ind w:left="540" w:right="219" w:hanging="331"/>
        <w:spacing w:after="0" w:line="286"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65" w:lineRule="exact"/>
        <w:rPr>
          <w:rFonts w:ascii="Arial" w:cs="Arial" w:eastAsia="Arial" w:hAnsi="Arial"/>
          <w:sz w:val="17"/>
          <w:szCs w:val="17"/>
          <w:color w:val="auto"/>
        </w:rPr>
      </w:pPr>
    </w:p>
    <w:p>
      <w:pPr>
        <w:jc w:val="both"/>
        <w:ind w:left="1540" w:right="219" w:hanging="332"/>
        <w:spacing w:after="0" w:line="287" w:lineRule="auto"/>
        <w:tabs>
          <w:tab w:leader="none" w:pos="15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All disputes between or among any Persons arising out of or in any way connected with this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1" w:lineRule="exact"/>
        <w:rPr>
          <w:rFonts w:ascii="Arial" w:cs="Arial" w:eastAsia="Arial" w:hAnsi="Arial"/>
          <w:sz w:val="16"/>
          <w:szCs w:val="16"/>
          <w:color w:val="auto"/>
        </w:rPr>
      </w:pPr>
    </w:p>
    <w:p>
      <w:pPr>
        <w:jc w:val="both"/>
        <w:ind w:left="1540" w:right="219" w:hanging="332"/>
        <w:spacing w:after="0" w:line="301" w:lineRule="auto"/>
        <w:tabs>
          <w:tab w:leader="none" w:pos="15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Each party hereto hereby waives, to the fullest extent permitted by applicable law, any right it may have to a trial by jury in any legal proceeding directly or indirectly arising out of or relating to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the transactions contemplated (whether based on contract, tort or any other theory). Each party hereto (A) certifies that no representative, agent or attorney of any other party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468630</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3" w:name="page124"/>
    <w:bookmarkEnd w:id="123"/>
    <w:p>
      <w:pPr>
        <w:jc w:val="both"/>
        <w:ind w:left="1540" w:right="219"/>
        <w:spacing w:after="0" w:line="259" w:lineRule="auto"/>
        <w:rPr>
          <w:sz w:val="20"/>
          <w:szCs w:val="20"/>
          <w:color w:val="auto"/>
        </w:rPr>
      </w:pPr>
      <w:r>
        <w:rPr>
          <w:rFonts w:ascii="Arial" w:cs="Arial" w:eastAsia="Arial" w:hAnsi="Arial"/>
          <w:sz w:val="18"/>
          <w:szCs w:val="18"/>
          <w:color w:val="auto"/>
        </w:rPr>
        <w:t>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7" w:lineRule="exact"/>
        <w:rPr>
          <w:sz w:val="20"/>
          <w:szCs w:val="20"/>
          <w:color w:val="auto"/>
        </w:rPr>
      </w:pPr>
    </w:p>
    <w:p>
      <w:pPr>
        <w:jc w:val="both"/>
        <w:ind w:left="540" w:right="219" w:hanging="331"/>
        <w:spacing w:after="0" w:line="259"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Participant has carefully read and considered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having done so, agrees that the restrictive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641985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4" w:name="page125"/>
    <w:bookmarkEnd w:id="124"/>
    <w:p>
      <w:pPr>
        <w:jc w:val="right"/>
        <w:ind w:right="219"/>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OMNIBUS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APPRECIATION RIGHT AWARD AGREEMENT</w:t>
      </w:r>
    </w:p>
    <w:p>
      <w:pPr>
        <w:spacing w:after="0" w:line="211"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7"/>
          <w:szCs w:val="17"/>
          <w:color w:val="auto"/>
        </w:rPr>
        <w:t>THIS STOCK APPRECIATION RIGHT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[__________], 20[__]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Latham Group, Inc., a Delaware corporation (the</w:t>
      </w: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4"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color w:val="auto"/>
        </w:rPr>
        <w:t>WHEREAS, the Company has adopted the Plan, pursuant to which stock appreciation rights (the “</w:t>
      </w:r>
      <w:r>
        <w:rPr>
          <w:rFonts w:ascii="Arial" w:cs="Arial" w:eastAsia="Arial" w:hAnsi="Arial"/>
          <w:sz w:val="18"/>
          <w:szCs w:val="18"/>
          <w:u w:val="single" w:color="auto"/>
          <w:color w:val="auto"/>
        </w:rPr>
        <w:t>SARs</w:t>
      </w:r>
      <w:r>
        <w:rPr>
          <w:rFonts w:ascii="Arial" w:cs="Arial" w:eastAsia="Arial" w:hAnsi="Arial"/>
          <w:sz w:val="18"/>
          <w:szCs w:val="18"/>
          <w:color w:val="auto"/>
        </w:rPr>
        <w:t>”) may be granted; and</w:t>
      </w:r>
    </w:p>
    <w:p>
      <w:pPr>
        <w:spacing w:after="0" w:line="170" w:lineRule="exact"/>
        <w:rPr>
          <w:sz w:val="20"/>
          <w:szCs w:val="20"/>
          <w:color w:val="auto"/>
        </w:rPr>
      </w:pPr>
    </w:p>
    <w:p>
      <w:pPr>
        <w:jc w:val="both"/>
        <w:ind w:left="200" w:right="219" w:firstLine="648"/>
        <w:spacing w:after="0" w:line="342" w:lineRule="auto"/>
        <w:rPr>
          <w:sz w:val="20"/>
          <w:szCs w:val="20"/>
          <w:color w:val="auto"/>
        </w:rPr>
      </w:pPr>
      <w:r>
        <w:rPr>
          <w:rFonts w:ascii="Arial" w:cs="Arial" w:eastAsia="Arial" w:hAnsi="Arial"/>
          <w:sz w:val="16"/>
          <w:szCs w:val="16"/>
          <w:color w:val="auto"/>
        </w:rPr>
        <w:t>WHEREAS, the Committee has determined that it is in the best interests of the Company and its stockholders to grant the SARs provided for herein to the Participant on the terms and subject to the conditions set forth herein; and</w:t>
      </w:r>
    </w:p>
    <w:p>
      <w:pPr>
        <w:spacing w:after="0" w:line="124"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840" w:hanging="280"/>
        <w:spacing w:after="0"/>
        <w:tabs>
          <w:tab w:leader="none" w:pos="8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Stock Appreciation Rights.</w:t>
      </w:r>
    </w:p>
    <w:p>
      <w:pPr>
        <w:spacing w:after="0" w:line="229" w:lineRule="exact"/>
        <w:rPr>
          <w:rFonts w:ascii="Arial" w:cs="Arial" w:eastAsia="Arial" w:hAnsi="Arial"/>
          <w:sz w:val="18"/>
          <w:szCs w:val="18"/>
          <w:b w:val="1"/>
          <w:bCs w:val="1"/>
          <w:color w:val="auto"/>
        </w:rPr>
      </w:pPr>
    </w:p>
    <w:p>
      <w:pPr>
        <w:jc w:val="both"/>
        <w:ind w:left="1180" w:right="219" w:hanging="323"/>
        <w:spacing w:after="0" w:line="289" w:lineRule="auto"/>
        <w:tabs>
          <w:tab w:leader="none" w:pos="113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to the Participant a total of [_____] SARs with a Strike Price of $[___], on the terms and subject to the conditions set forth in this Agreement and as otherwise provided in the Plan, pursuant to which the Participant shall be eligible to receive a number of shares of Common Stock with a Fair Market Value, determined on the date of exercise, equal to the product of (i) the aggregate number of vested SARs exercised multiplied by (ii) the excess of (A) the Fair Market Value of a share of Common Stock, determined on the date of exercise, over (B) the Strike Price specified above, subject to Participant’s fulfillment of the vesting and other conditions set forth in this Agreement. The SARs may only be settled in shares of Common Stock and shall vest in accordance with Section 2. The SARs subject to this Agreement are not being issued in tandem with an Option.</w:t>
      </w:r>
    </w:p>
    <w:p>
      <w:pPr>
        <w:spacing w:after="0" w:line="166" w:lineRule="exact"/>
        <w:rPr>
          <w:rFonts w:ascii="Arial" w:cs="Arial" w:eastAsia="Arial" w:hAnsi="Arial"/>
          <w:sz w:val="16"/>
          <w:szCs w:val="16"/>
          <w:color w:val="auto"/>
        </w:rPr>
      </w:pPr>
    </w:p>
    <w:p>
      <w:pPr>
        <w:jc w:val="both"/>
        <w:ind w:left="1180" w:right="219" w:hanging="323"/>
        <w:spacing w:after="0" w:line="284" w:lineRule="auto"/>
        <w:tabs>
          <w:tab w:leader="none" w:pos="113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w:t>
      </w:r>
      <w:r>
        <w:rPr>
          <w:rFonts w:ascii="Arial" w:cs="Arial" w:eastAsia="Arial" w:hAnsi="Arial"/>
          <w:sz w:val="16"/>
          <w:szCs w:val="16"/>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and provisions of the Plan.</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 2023 AWARDS ONLY, IF DATE OF GRANT IS PRIOR TO ANNUAL STOCKHOLDERS MEETING</w:t>
      </w:r>
      <w:r>
        <w:rPr>
          <w:rFonts w:ascii="Arial" w:cs="Arial" w:eastAsia="Arial" w:hAnsi="Arial"/>
          <w:sz w:val="16"/>
          <w:szCs w:val="16"/>
          <w:color w:val="auto"/>
        </w:rPr>
        <w:t>:</w:t>
      </w:r>
    </w:p>
    <w:p>
      <w:pPr>
        <w:spacing w:after="0" w:line="32" w:lineRule="exact"/>
        <w:rPr>
          <w:sz w:val="20"/>
          <w:szCs w:val="20"/>
          <w:color w:val="auto"/>
        </w:rPr>
      </w:pPr>
    </w:p>
    <w:p>
      <w:pPr>
        <w:jc w:val="both"/>
        <w:ind w:left="1180" w:right="219" w:hanging="323"/>
        <w:spacing w:after="0" w:line="286" w:lineRule="auto"/>
        <w:tabs>
          <w:tab w:leader="none" w:pos="11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Subject to Stockholder Approval</w:t>
      </w:r>
      <w:r>
        <w:rPr>
          <w:rFonts w:ascii="Arial" w:cs="Arial" w:eastAsia="Arial" w:hAnsi="Arial"/>
          <w:sz w:val="16"/>
          <w:szCs w:val="16"/>
          <w:color w:val="auto"/>
        </w:rPr>
        <w:t>. As of the Date of Grant, the Plan does not have sufficient shares of Common Stock reserved for issuance in the Share Pool as would be necessary under the terms of this Agreement and similar agreements with other specified participants in the Plan. The Company is seeking stockholder approval at its 2023 annual meeting of stockholders to increase the Share Pool by an amount sufficient to permit the issuance of the shares of Common Stock contemplated by this Agreement and similar agreements with other specified participants in the Plan. The Participant understands that the shares of Common Stock contemplated by this Agreement cannot be issued and the Participant agrees to not exercise these SARs until such time as the Company’s stockholders approve an increase in the Share Pool in such amount to permit the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jc w:val="both"/>
        <w:ind w:left="1180" w:right="219"/>
        <w:spacing w:after="0" w:line="255" w:lineRule="auto"/>
        <w:rPr>
          <w:sz w:val="20"/>
          <w:szCs w:val="20"/>
          <w:color w:val="auto"/>
        </w:rPr>
      </w:pPr>
      <w:r>
        <w:rPr>
          <w:rFonts w:ascii="Arial" w:cs="Arial" w:eastAsia="Arial" w:hAnsi="Arial"/>
          <w:sz w:val="18"/>
          <w:szCs w:val="18"/>
          <w:color w:val="auto"/>
        </w:rPr>
        <w:t>contemplated hereunder, and under such similar agreements with other participants, to be validly issued under the applicable registration statement on Form S-8. In the event the required stockholder approval is not obtained for any reason, this Agreement shall be null and void and the Participant shall have no interest or rights of any kind with respect to the SARs or shares of Common Stock underlying this Agreement, or to any future Awards under the Plan unless pursuant to a new Award agreement with the Company.]</w:t>
      </w:r>
    </w:p>
    <w:p>
      <w:pPr>
        <w:spacing w:after="0" w:line="188" w:lineRule="exact"/>
        <w:rPr>
          <w:sz w:val="20"/>
          <w:szCs w:val="20"/>
          <w:color w:val="auto"/>
        </w:rPr>
      </w:pPr>
    </w:p>
    <w:p>
      <w:pPr>
        <w:jc w:val="both"/>
        <w:ind w:left="840" w:right="179" w:hanging="280"/>
        <w:spacing w:after="0" w:line="298" w:lineRule="auto"/>
        <w:tabs>
          <w:tab w:leader="none" w:pos="8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Except as may otherwise be provided herein, subject to the Participant’s 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or engagement to provide services to, the Company or any of its Affiliates, the SARs shall vest and become exercisable in equal installments on each of the first [●] anniversaries of the Date of Grant (each 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The resulting aggregate number of vested SARs will be rounded to the nearest whole number, provided that the Participant may not vest in more than the number of SARs set forth in Section 1(a).</w:t>
      </w:r>
    </w:p>
    <w:p>
      <w:pPr>
        <w:spacing w:after="0" w:line="153" w:lineRule="exact"/>
        <w:rPr>
          <w:rFonts w:ascii="Arial" w:cs="Arial" w:eastAsia="Arial" w:hAnsi="Arial"/>
          <w:sz w:val="16"/>
          <w:szCs w:val="16"/>
          <w:b w:val="1"/>
          <w:bCs w:val="1"/>
          <w:color w:val="auto"/>
        </w:rPr>
      </w:pPr>
    </w:p>
    <w:p>
      <w:pPr>
        <w:jc w:val="both"/>
        <w:ind w:left="840" w:right="179" w:hanging="280"/>
        <w:spacing w:after="0" w:line="261" w:lineRule="auto"/>
        <w:tabs>
          <w:tab w:leader="none" w:pos="8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Services</w:t>
      </w:r>
      <w:r>
        <w:rPr>
          <w:rFonts w:ascii="Arial" w:cs="Arial" w:eastAsia="Arial" w:hAnsi="Arial"/>
          <w:sz w:val="18"/>
          <w:szCs w:val="18"/>
          <w:color w:val="auto"/>
        </w:rPr>
        <w:t>. If the Participant’s employment with, or engagement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and its Affiliates terminates for any reason, the unvested portion of the SARs shall be canceled immediately and the Participant shall immediately forfeit without any consideration any rights to the shares of Common Stock subject to such unvested portion.</w:t>
      </w:r>
    </w:p>
    <w:p>
      <w:pPr>
        <w:spacing w:after="0" w:line="179" w:lineRule="exact"/>
        <w:rPr>
          <w:rFonts w:ascii="Arial" w:cs="Arial" w:eastAsia="Arial" w:hAnsi="Arial"/>
          <w:sz w:val="18"/>
          <w:szCs w:val="18"/>
          <w:b w:val="1"/>
          <w:bCs w:val="1"/>
          <w:color w:val="auto"/>
        </w:rPr>
      </w:pPr>
    </w:p>
    <w:p>
      <w:pPr>
        <w:ind w:left="840" w:hanging="280"/>
        <w:spacing w:after="0"/>
        <w:tabs>
          <w:tab w:leader="none" w:pos="8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w:t>
      </w:r>
    </w:p>
    <w:p>
      <w:pPr>
        <w:spacing w:after="0" w:line="229" w:lineRule="exact"/>
        <w:rPr>
          <w:rFonts w:ascii="Arial" w:cs="Arial" w:eastAsia="Arial" w:hAnsi="Arial"/>
          <w:sz w:val="18"/>
          <w:szCs w:val="18"/>
          <w:b w:val="1"/>
          <w:bCs w:val="1"/>
          <w:color w:val="auto"/>
        </w:rPr>
      </w:pPr>
    </w:p>
    <w:p>
      <w:pPr>
        <w:jc w:val="both"/>
        <w:ind w:left="1500" w:right="219" w:hanging="319"/>
        <w:spacing w:after="0" w:line="268" w:lineRule="auto"/>
        <w:tabs>
          <w:tab w:leader="none" w:pos="145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no event shall all or any portion of the SARs be exercisable after the tenth annual anniversary of the Date of Grant (such ten-year period, the “</w:t>
      </w:r>
      <w:r>
        <w:rPr>
          <w:rFonts w:ascii="Arial" w:cs="Arial" w:eastAsia="Arial" w:hAnsi="Arial"/>
          <w:sz w:val="17"/>
          <w:szCs w:val="17"/>
          <w:u w:val="single" w:color="auto"/>
          <w:color w:val="auto"/>
        </w:rPr>
        <w:t>SAR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SAR Period would expire at a time when trading in the shares of Common Stock is prohibited by the Company’s securities trading policy (or Company-imposed “blackout period”), the SAR Period shall be automatically extended until the 30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following the expiration of such prohibition (but not to the extent that any such extension would otherwise violate Section 409A of the Code).</w:t>
      </w:r>
    </w:p>
    <w:p>
      <w:pPr>
        <w:spacing w:after="0" w:line="176" w:lineRule="exact"/>
        <w:rPr>
          <w:rFonts w:ascii="Arial" w:cs="Arial" w:eastAsia="Arial" w:hAnsi="Arial"/>
          <w:sz w:val="17"/>
          <w:szCs w:val="17"/>
          <w:color w:val="auto"/>
        </w:rPr>
      </w:pPr>
    </w:p>
    <w:p>
      <w:pPr>
        <w:jc w:val="both"/>
        <w:ind w:left="1500" w:right="219" w:hanging="319"/>
        <w:spacing w:after="0" w:line="287" w:lineRule="auto"/>
        <w:tabs>
          <w:tab w:leader="none" w:pos="14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If, prior to the end of the SAR Period, the Participant’s employment with, or engagement to provide services to, the Company and all Affiliates is terminated without Cause or by the Participant for any reason, then the SARs shall expire on the earlier of the last day of the SAR Period or the date that is 90 days after the date of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Participant’s employment or engagement to provide services to the Company and its Affiliates is terminated and the Participant is subsequently rehired, reappointed or reengaged by the Company or any Affiliate within 90 days following such termination and prior to the expiration of the SARs, the Participant shall not be considered to have undergone a termination of employment or service, as applicable (including under Section 3), and therefore the unvested and vested SARs shall continue in the ordinary course under this Agreement. In the event of a termination described in this subsection (b), the SARs shall remain exercisable by the Participant until its expiration only to the extent that the SARs were exercisable at the time of such termination.</w:t>
      </w:r>
    </w:p>
    <w:p>
      <w:pPr>
        <w:spacing w:after="0" w:line="167" w:lineRule="exact"/>
        <w:rPr>
          <w:rFonts w:ascii="Arial" w:cs="Arial" w:eastAsia="Arial" w:hAnsi="Arial"/>
          <w:sz w:val="16"/>
          <w:szCs w:val="16"/>
          <w:color w:val="auto"/>
        </w:rPr>
      </w:pPr>
    </w:p>
    <w:p>
      <w:pPr>
        <w:jc w:val="both"/>
        <w:ind w:left="1500" w:right="219" w:hanging="319"/>
        <w:spacing w:after="0" w:line="270" w:lineRule="auto"/>
        <w:tabs>
          <w:tab w:leader="none" w:pos="14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(i) the Participant’s employment with, or engagement to provide services to, the Company is terminated prior to the end of the SAR Period on account of his Disability, (ii) the Participant dies while still in the employ or engagement of the Company or an Affiliate or (iii) the Participant dies following a termination described in subsection (b) above but prior to the expiration of the SARs, the SARs shall expire on the earlier of the last day of the Option Period or the date that is one year after the date of death or termination on account of Disability of the Participant, as applicable. In such event, the SARs shall remain exercisable by the Participant or Participant’s beneficiary, as applicable, until its expiration only to the extent that the SARs were exercisable by the Participant at the time of such event.</w:t>
      </w:r>
    </w:p>
    <w:p>
      <w:pPr>
        <w:spacing w:after="0" w:line="180" w:lineRule="exact"/>
        <w:rPr>
          <w:rFonts w:ascii="Arial" w:cs="Arial" w:eastAsia="Arial" w:hAnsi="Arial"/>
          <w:sz w:val="17"/>
          <w:szCs w:val="17"/>
          <w:color w:val="auto"/>
        </w:rPr>
      </w:pPr>
    </w:p>
    <w:p>
      <w:pPr>
        <w:jc w:val="both"/>
        <w:ind w:left="1500" w:right="219" w:hanging="319"/>
        <w:spacing w:after="0" w:line="263" w:lineRule="auto"/>
        <w:tabs>
          <w:tab w:leader="none" w:pos="145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Participant ceases employment with or engagement to provide services to the Company or any Affiliates due to a termination for Cause, the SARs (whether vested or unvested) shall expire immediately upon such termination.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6" w:name="page127"/>
    <w:bookmarkEnd w:id="126"/>
    <w:p>
      <w:pPr>
        <w:jc w:val="both"/>
        <w:ind w:left="840" w:right="179" w:hanging="280"/>
        <w:spacing w:after="0" w:line="285" w:lineRule="auto"/>
        <w:tabs>
          <w:tab w:leader="none" w:pos="84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Method of Exercise and Form of Payment. </w:t>
      </w:r>
      <w:r>
        <w:rPr>
          <w:rFonts w:ascii="Arial" w:cs="Arial" w:eastAsia="Arial" w:hAnsi="Arial"/>
          <w:sz w:val="16"/>
          <w:szCs w:val="16"/>
          <w:color w:val="auto"/>
        </w:rPr>
        <w:t>No shares of Common Stock shall be delivered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exercise of the SARs until payment in full to the Company of the Strike Price and an amount equal to any U.S. federal, state, local and non-U.S. income and employment taxes required to be withheld. The SARs may be exercised by delivery of written or electronic notice of exercise to the Company or its designee (including a third-party-administrator) in accordance with the terms hereof. The Strike Price and all applicable required withholding taxes shall be payable (i) in cash, check, cash equivalent and/or in shares of Common Stock valued at the Fair Market Value at the time the SARs are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shares of Common Stock are not subject to any pledge or other security interest; or (ii) by such other method as the Committee may permit, including without limitation: (A) in other property having a Fair Market Value equal to the Strike Price and all applicable required withholding taxes or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SARs and to deliver promptly to the Company an amount equal to the Strike Price and all applicable required withholding taxes; or (C) by means of a “net exercise” procedure effected by withholding the number of shares of Common Stock otherwise deliverable in respect of the SARs that are needed to pay for the Strike Price and all applicable required withholding taxes. Any fractional shares of Common Stock resulting from the application of this Section 5 shall be settled in cash.</w:t>
      </w:r>
    </w:p>
    <w:p>
      <w:pPr>
        <w:spacing w:after="0" w:line="168" w:lineRule="exact"/>
        <w:rPr>
          <w:rFonts w:ascii="Arial" w:cs="Arial" w:eastAsia="Arial" w:hAnsi="Arial"/>
          <w:sz w:val="16"/>
          <w:szCs w:val="16"/>
          <w:b w:val="1"/>
          <w:bCs w:val="1"/>
          <w:color w:val="auto"/>
        </w:rPr>
      </w:pPr>
    </w:p>
    <w:p>
      <w:pPr>
        <w:jc w:val="both"/>
        <w:ind w:left="840" w:right="179" w:hanging="280"/>
        <w:spacing w:after="0" w:line="258" w:lineRule="auto"/>
        <w:tabs>
          <w:tab w:leader="none" w:pos="8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Shares of Common Stock</w:t>
      </w:r>
      <w:r>
        <w:rPr>
          <w:rFonts w:ascii="Arial" w:cs="Arial" w:eastAsia="Arial" w:hAnsi="Arial"/>
          <w:sz w:val="18"/>
          <w:szCs w:val="18"/>
          <w:color w:val="auto"/>
        </w:rPr>
        <w:t>. Upon exercise of the SARs, the Participant will receive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in accordance with Section 1(a). The Company shall issue or deliver to the Participant in book entry notation or, if applicable, stock certificate form, the number of shares of Common Stock the Participant is entitled to receive under the terms of this Agreement as soon as practicable; and, when possible, in the same calendar year.</w:t>
      </w:r>
    </w:p>
    <w:p>
      <w:pPr>
        <w:spacing w:after="0" w:line="183" w:lineRule="exact"/>
        <w:rPr>
          <w:rFonts w:ascii="Arial" w:cs="Arial" w:eastAsia="Arial" w:hAnsi="Arial"/>
          <w:sz w:val="18"/>
          <w:szCs w:val="18"/>
          <w:b w:val="1"/>
          <w:bCs w:val="1"/>
          <w:color w:val="auto"/>
        </w:rPr>
      </w:pPr>
    </w:p>
    <w:p>
      <w:pPr>
        <w:jc w:val="both"/>
        <w:ind w:left="840" w:right="179" w:hanging="280"/>
        <w:spacing w:after="0" w:line="273" w:lineRule="auto"/>
        <w:tabs>
          <w:tab w:leader="none" w:pos="84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the SARs unless, until and to the extent that (i) the SARs shall have been exercised pursuant to its terms, (ii) the Company shall have issued and delivered to the Participant the shares of Common Stock and (iii) the Participant’s name shall have been entered as a stockholder of record with respect to such shares of Common Stock on the books of the Company. The Company shall cause the actions described in clauses (ii) and (iii) of the preceding sentence to occur promptly following settlement as contemplated by this Agreement, subject to compliance with applicable laws.</w:t>
      </w:r>
    </w:p>
    <w:p>
      <w:pPr>
        <w:spacing w:after="0" w:line="171" w:lineRule="exact"/>
        <w:rPr>
          <w:rFonts w:ascii="Arial" w:cs="Arial" w:eastAsia="Arial" w:hAnsi="Arial"/>
          <w:sz w:val="17"/>
          <w:szCs w:val="17"/>
          <w:b w:val="1"/>
          <w:bCs w:val="1"/>
          <w:color w:val="auto"/>
        </w:rPr>
      </w:pPr>
    </w:p>
    <w:p>
      <w:pPr>
        <w:ind w:left="840" w:hanging="280"/>
        <w:spacing w:after="0"/>
        <w:tabs>
          <w:tab w:leader="none" w:pos="8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8"/>
          <w:szCs w:val="18"/>
          <w:b w:val="1"/>
          <w:bCs w:val="1"/>
          <w:color w:val="auto"/>
        </w:rPr>
        <w:t>ompliance with Legal Requirements.</w:t>
      </w:r>
    </w:p>
    <w:p>
      <w:pPr>
        <w:spacing w:after="0" w:line="229" w:lineRule="exact"/>
        <w:rPr>
          <w:rFonts w:ascii="Arial" w:cs="Arial" w:eastAsia="Arial" w:hAnsi="Arial"/>
          <w:sz w:val="18"/>
          <w:szCs w:val="18"/>
          <w:b w:val="1"/>
          <w:bCs w:val="1"/>
          <w:color w:val="auto"/>
        </w:rPr>
      </w:pPr>
    </w:p>
    <w:p>
      <w:pPr>
        <w:jc w:val="both"/>
        <w:ind w:left="1180" w:right="219" w:hanging="323"/>
        <w:spacing w:after="0" w:line="254" w:lineRule="auto"/>
        <w:tabs>
          <w:tab w:leader="none" w:pos="113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exercise and settlement of the SARs,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94" w:lineRule="exact"/>
        <w:rPr>
          <w:rFonts w:ascii="Arial" w:cs="Arial" w:eastAsia="Arial" w:hAnsi="Arial"/>
          <w:sz w:val="18"/>
          <w:szCs w:val="18"/>
          <w:color w:val="auto"/>
        </w:rPr>
      </w:pPr>
    </w:p>
    <w:p>
      <w:pPr>
        <w:jc w:val="both"/>
        <w:ind w:left="1180" w:right="219" w:firstLine="649"/>
        <w:spacing w:after="0" w:line="288" w:lineRule="auto"/>
        <w:tabs>
          <w:tab w:leader="none" w:pos="2102" w:val="left"/>
        </w:tabs>
        <w:numPr>
          <w:ilvl w:val="2"/>
          <w:numId w:val="7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exercise and settlement of the SARs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SARs, settlement of the SARs or any payment or transfer of the SARs,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7" w:name="page128"/>
    <w:bookmarkEnd w:id="127"/>
    <w:p>
      <w:pPr>
        <w:ind w:left="1180" w:right="219"/>
        <w:spacing w:after="0" w:line="308" w:lineRule="auto"/>
        <w:rPr>
          <w:sz w:val="20"/>
          <w:szCs w:val="20"/>
          <w:color w:val="auto"/>
        </w:rPr>
      </w:pPr>
      <w:r>
        <w:rPr>
          <w:rFonts w:ascii="Arial" w:cs="Arial" w:eastAsia="Arial" w:hAnsi="Arial"/>
          <w:sz w:val="17"/>
          <w:szCs w:val="17"/>
          <w:color w:val="auto"/>
        </w:rPr>
        <w:t>obligations by withholding shares of Common Stock that would otherwise be deliverable to the Participant upon settlement of the SARs with a Fair Market Value equal to such withholding liability.</w:t>
      </w:r>
    </w:p>
    <w:p>
      <w:pPr>
        <w:spacing w:after="0" w:line="142" w:lineRule="exact"/>
        <w:rPr>
          <w:sz w:val="20"/>
          <w:szCs w:val="20"/>
          <w:color w:val="auto"/>
        </w:rPr>
      </w:pPr>
    </w:p>
    <w:p>
      <w:pPr>
        <w:jc w:val="both"/>
        <w:ind w:left="840" w:right="179" w:hanging="280"/>
        <w:spacing w:after="0" w:line="267" w:lineRule="auto"/>
        <w:tabs>
          <w:tab w:leader="none" w:pos="8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SARs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award if 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if the Participant violates the covenants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exercise and settlement of the SARs, the sale or other transfer of the SARs, or the sale of shares of Common Stock acquired in respect of the SARs, and must promptly repay such amounts to the Company. If the Participant receives any amount in excess of what the Participant should have received under the terms of the SARs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SARs shall be subject (including on a retroactive basis) to clawback, forfeiture or similar requirements (and such requirements shall be deemed incorporated by reference into this Agreement).</w:t>
      </w:r>
    </w:p>
    <w:p>
      <w:pPr>
        <w:spacing w:after="0" w:line="337" w:lineRule="exact"/>
        <w:rPr>
          <w:sz w:val="20"/>
          <w:szCs w:val="20"/>
          <w:color w:val="auto"/>
        </w:rPr>
      </w:pPr>
    </w:p>
    <w:p>
      <w:pPr>
        <w:ind w:left="840" w:hanging="334"/>
        <w:spacing w:after="0"/>
        <w:tabs>
          <w:tab w:leader="none" w:pos="8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left="1180" w:right="219" w:hanging="323"/>
        <w:spacing w:after="0" w:line="259" w:lineRule="auto"/>
        <w:tabs>
          <w:tab w:leader="none" w:pos="113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incorporated herein and forms part of this Agreement.</w:t>
      </w:r>
    </w:p>
    <w:p>
      <w:pPr>
        <w:spacing w:after="0" w:line="186" w:lineRule="exact"/>
        <w:rPr>
          <w:rFonts w:ascii="Arial" w:cs="Arial" w:eastAsia="Arial" w:hAnsi="Arial"/>
          <w:sz w:val="18"/>
          <w:szCs w:val="18"/>
          <w:color w:val="auto"/>
        </w:rPr>
      </w:pPr>
    </w:p>
    <w:p>
      <w:pPr>
        <w:jc w:val="both"/>
        <w:ind w:left="1180" w:right="219" w:hanging="323"/>
        <w:spacing w:after="0" w:line="254" w:lineRule="auto"/>
        <w:tabs>
          <w:tab w:leader="none" w:pos="113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that the Participant violates any of the restrictive covenants referred to in this Section 10, in addition to any other remedy that may be available at law or in equity, the SARs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90" w:lineRule="exact"/>
        <w:rPr>
          <w:rFonts w:ascii="Arial" w:cs="Arial" w:eastAsia="Arial" w:hAnsi="Arial"/>
          <w:sz w:val="18"/>
          <w:szCs w:val="18"/>
          <w:color w:val="auto"/>
        </w:rPr>
      </w:pPr>
    </w:p>
    <w:p>
      <w:pPr>
        <w:ind w:left="840" w:hanging="334"/>
        <w:spacing w:after="0"/>
        <w:tabs>
          <w:tab w:leader="none" w:pos="8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left="1180" w:right="219" w:hanging="323"/>
        <w:spacing w:after="0" w:line="296" w:lineRule="auto"/>
        <w:tabs>
          <w:tab w:leader="none" w:pos="113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SARs may not be assigned, alienated, pledged, attached, sold or otherwise transferred or encumbered (a “</w:t>
      </w:r>
      <w:r>
        <w:rPr>
          <w:rFonts w:ascii="Arial" w:cs="Arial" w:eastAsia="Arial" w:hAnsi="Arial"/>
          <w:sz w:val="16"/>
          <w:szCs w:val="16"/>
          <w:u w:val="single" w:color="auto"/>
          <w:color w:val="auto"/>
        </w:rPr>
        <w:t>Transfer</w:t>
      </w:r>
      <w:r>
        <w:rPr>
          <w:rFonts w:ascii="Arial" w:cs="Arial" w:eastAsia="Arial" w:hAnsi="Arial"/>
          <w:sz w:val="16"/>
          <w:szCs w:val="16"/>
          <w:color w:val="auto"/>
        </w:rPr>
        <w:t>”) by the Participant other than by will or by the laws of descent and distribution, pursuant to a qualified domestic relations order or as otherwise permitted under Section 14(b) of the Plan. Any attempted Transfer of the SARs contrary to the provisions hereof, and the levy of any execution, attachment or similar process upon the SARs, shall be null and void and without effect.</w:t>
      </w:r>
    </w:p>
    <w:p>
      <w:pPr>
        <w:spacing w:after="0" w:line="161" w:lineRule="exact"/>
        <w:rPr>
          <w:rFonts w:ascii="Arial" w:cs="Arial" w:eastAsia="Arial" w:hAnsi="Arial"/>
          <w:sz w:val="16"/>
          <w:szCs w:val="16"/>
          <w:color w:val="auto"/>
        </w:rPr>
      </w:pPr>
    </w:p>
    <w:p>
      <w:pPr>
        <w:jc w:val="both"/>
        <w:ind w:left="1180" w:right="219" w:hanging="323"/>
        <w:spacing w:after="0" w:line="275" w:lineRule="auto"/>
        <w:tabs>
          <w:tab w:leader="none" w:pos="113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6" w:lineRule="exact"/>
        <w:rPr>
          <w:rFonts w:ascii="Arial" w:cs="Arial" w:eastAsia="Arial" w:hAnsi="Arial"/>
          <w:sz w:val="17"/>
          <w:szCs w:val="17"/>
          <w:color w:val="auto"/>
        </w:rPr>
      </w:pPr>
    </w:p>
    <w:p>
      <w:pPr>
        <w:ind w:left="1180" w:right="219" w:hanging="323"/>
        <w:spacing w:after="0" w:line="308" w:lineRule="auto"/>
        <w:tabs>
          <w:tab w:leader="none" w:pos="112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SARs are not intended to be subject to Section 409A of the Code. Notwithstanding the foregoing or any provision of the Plan or this Agreement, if any provision of the Plan or this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8" w:name="page129"/>
    <w:bookmarkEnd w:id="128"/>
    <w:p>
      <w:pPr>
        <w:jc w:val="both"/>
        <w:ind w:left="1180" w:right="219"/>
        <w:spacing w:after="0" w:line="270" w:lineRule="auto"/>
        <w:rPr>
          <w:sz w:val="20"/>
          <w:szCs w:val="20"/>
          <w:color w:val="auto"/>
        </w:rPr>
      </w:pPr>
      <w:r>
        <w:rPr>
          <w:rFonts w:ascii="Arial" w:cs="Arial" w:eastAsia="Arial" w:hAnsi="Arial"/>
          <w:sz w:val="17"/>
          <w:szCs w:val="17"/>
          <w:color w:val="auto"/>
        </w:rPr>
        <w:t>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11(c) does not create an obligation on the part of the Company to modify the Plan or this Agreement and does not guarantee that the SARs will not be subject to interest and penalties under Section 409A.</w:t>
      </w:r>
    </w:p>
    <w:p>
      <w:pPr>
        <w:spacing w:after="0" w:line="181" w:lineRule="exact"/>
        <w:rPr>
          <w:sz w:val="20"/>
          <w:szCs w:val="20"/>
          <w:color w:val="auto"/>
        </w:rPr>
      </w:pPr>
    </w:p>
    <w:p>
      <w:pPr>
        <w:jc w:val="both"/>
        <w:ind w:left="1180" w:right="219" w:hanging="323"/>
        <w:spacing w:after="0" w:line="293" w:lineRule="auto"/>
        <w:tabs>
          <w:tab w:leader="none" w:pos="113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64" w:lineRule="exact"/>
        <w:rPr>
          <w:rFonts w:ascii="Arial" w:cs="Arial" w:eastAsia="Arial" w:hAnsi="Arial"/>
          <w:sz w:val="16"/>
          <w:szCs w:val="16"/>
          <w:color w:val="auto"/>
        </w:rPr>
      </w:pPr>
    </w:p>
    <w:p>
      <w:pPr>
        <w:jc w:val="both"/>
        <w:ind w:left="1180" w:right="219" w:hanging="323"/>
        <w:spacing w:after="0" w:line="263"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ind w:left="1180" w:right="219" w:hanging="323"/>
        <w:spacing w:after="0" w:line="25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Rights to Employment or Service</w:t>
      </w:r>
      <w:r>
        <w:rPr>
          <w:rFonts w:ascii="Arial" w:cs="Arial" w:eastAsia="Arial" w:hAnsi="Arial"/>
          <w:sz w:val="18"/>
          <w:szCs w:val="18"/>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7" w:lineRule="exact"/>
        <w:rPr>
          <w:rFonts w:ascii="Arial" w:cs="Arial" w:eastAsia="Arial" w:hAnsi="Arial"/>
          <w:sz w:val="18"/>
          <w:szCs w:val="18"/>
          <w:color w:val="auto"/>
        </w:rPr>
      </w:pPr>
    </w:p>
    <w:p>
      <w:pPr>
        <w:jc w:val="both"/>
        <w:ind w:left="1180" w:right="219" w:hanging="323"/>
        <w:spacing w:after="0" w:line="311" w:lineRule="auto"/>
        <w:tabs>
          <w:tab w:leader="none" w:pos="113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In lieu of issuing a fraction of a share of Common Stock resulting from an adjustment of the SARs pursuant to Section 11 of the Plan or otherwise, the Company shall be entitled to pay to the Participant an amount in cash equal to the Fair Market Value of such fractional share.</w:t>
      </w:r>
    </w:p>
    <w:p>
      <w:pPr>
        <w:spacing w:after="0" w:line="148" w:lineRule="exact"/>
        <w:rPr>
          <w:rFonts w:ascii="Arial" w:cs="Arial" w:eastAsia="Arial" w:hAnsi="Arial"/>
          <w:sz w:val="16"/>
          <w:szCs w:val="16"/>
          <w:color w:val="auto"/>
        </w:rPr>
      </w:pPr>
    </w:p>
    <w:p>
      <w:pPr>
        <w:jc w:val="both"/>
        <w:ind w:left="1180" w:right="219" w:hanging="323"/>
        <w:spacing w:after="0" w:line="263"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83" w:lineRule="exact"/>
        <w:rPr>
          <w:rFonts w:ascii="Arial" w:cs="Arial" w:eastAsia="Arial" w:hAnsi="Arial"/>
          <w:sz w:val="18"/>
          <w:szCs w:val="18"/>
          <w:color w:val="auto"/>
        </w:rPr>
      </w:pPr>
    </w:p>
    <w:p>
      <w:pPr>
        <w:ind w:left="1180" w:right="219" w:hanging="323"/>
        <w:spacing w:after="0" w:line="263" w:lineRule="auto"/>
        <w:tabs>
          <w:tab w:leader="none" w:pos="107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3" w:lineRule="exact"/>
        <w:rPr>
          <w:rFonts w:ascii="Arial" w:cs="Arial" w:eastAsia="Arial" w:hAnsi="Arial"/>
          <w:sz w:val="18"/>
          <w:szCs w:val="18"/>
          <w:color w:val="auto"/>
        </w:rPr>
      </w:pPr>
    </w:p>
    <w:p>
      <w:pPr>
        <w:ind w:left="1180" w:right="219" w:hanging="323"/>
        <w:spacing w:after="0" w:line="270" w:lineRule="auto"/>
        <w:tabs>
          <w:tab w:leader="none" w:pos="107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80" w:lineRule="exact"/>
        <w:rPr>
          <w:rFonts w:ascii="Arial" w:cs="Arial" w:eastAsia="Arial" w:hAnsi="Arial"/>
          <w:sz w:val="17"/>
          <w:szCs w:val="17"/>
          <w:color w:val="auto"/>
        </w:rPr>
      </w:pPr>
    </w:p>
    <w:p>
      <w:pPr>
        <w:jc w:val="both"/>
        <w:ind w:left="1180" w:right="219" w:hanging="323"/>
        <w:spacing w:after="0" w:line="259"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9" w:name="page130"/>
    <w:bookmarkEnd w:id="129"/>
    <w:p>
      <w:pPr>
        <w:ind w:left="2160" w:right="219" w:hanging="655"/>
        <w:spacing w:after="0" w:line="268" w:lineRule="auto"/>
        <w:tabs>
          <w:tab w:leader="none" w:pos="205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SARs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Arial" w:cs="Arial" w:eastAsia="Arial" w:hAnsi="Arial"/>
          <w:sz w:val="17"/>
          <w:szCs w:val="17"/>
          <w:color w:val="auto"/>
        </w:rPr>
      </w:pPr>
    </w:p>
    <w:p>
      <w:pPr>
        <w:ind w:left="2160" w:right="219" w:hanging="655"/>
        <w:spacing w:after="0" w:line="253" w:lineRule="auto"/>
        <w:tabs>
          <w:tab w:leader="none" w:pos="20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18"/>
          <w:szCs w:val="18"/>
          <w:color w:val="auto"/>
        </w:rPr>
      </w:pPr>
    </w:p>
    <w:p>
      <w:pPr>
        <w:ind w:left="1180" w:right="239" w:hanging="323"/>
        <w:spacing w:after="0" w:line="308" w:lineRule="auto"/>
        <w:tabs>
          <w:tab w:leader="none" w:pos="107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 Headings</w:t>
      </w:r>
      <w:r>
        <w:rPr>
          <w:rFonts w:ascii="Arial" w:cs="Arial" w:eastAsia="Arial" w:hAnsi="Arial"/>
          <w:sz w:val="17"/>
          <w:szCs w:val="17"/>
          <w:color w:val="auto"/>
        </w:rPr>
        <w:t>. The headings of the Sections hereof are provided for convenience only and are not to serve as a basis for interpretation or construction, and shall not constitute a part, of this Agreement.</w:t>
      </w:r>
    </w:p>
    <w:p>
      <w:pPr>
        <w:spacing w:after="0" w:line="146" w:lineRule="exact"/>
        <w:rPr>
          <w:rFonts w:ascii="Arial" w:cs="Arial" w:eastAsia="Arial" w:hAnsi="Arial"/>
          <w:sz w:val="17"/>
          <w:szCs w:val="17"/>
          <w:color w:val="auto"/>
        </w:rPr>
      </w:pPr>
    </w:p>
    <w:p>
      <w:pPr>
        <w:jc w:val="both"/>
        <w:ind w:left="1180" w:right="219" w:hanging="323"/>
        <w:spacing w:after="0" w:line="279" w:lineRule="auto"/>
        <w:tabs>
          <w:tab w:leader="none" w:pos="118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7"/>
          <w:szCs w:val="17"/>
          <w:color w:val="auto"/>
        </w:rPr>
      </w:pPr>
    </w:p>
    <w:p>
      <w:pPr>
        <w:jc w:val="both"/>
        <w:ind w:left="1180" w:right="219" w:hanging="323"/>
        <w:spacing w:after="0" w:line="273" w:lineRule="auto"/>
        <w:tabs>
          <w:tab w:leader="none" w:pos="113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7" w:lineRule="exact"/>
        <w:rPr>
          <w:rFonts w:ascii="Arial" w:cs="Arial" w:eastAsia="Arial" w:hAnsi="Arial"/>
          <w:sz w:val="17"/>
          <w:szCs w:val="17"/>
          <w:color w:val="auto"/>
        </w:rPr>
      </w:pPr>
    </w:p>
    <w:p>
      <w:pPr>
        <w:jc w:val="both"/>
        <w:ind w:left="1180" w:right="219" w:hanging="323"/>
        <w:spacing w:after="0" w:line="257" w:lineRule="auto"/>
        <w:tabs>
          <w:tab w:leader="none" w:pos="113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Electronic Participation in Plan</w:t>
      </w:r>
      <w:r>
        <w:rPr>
          <w:rFonts w:ascii="Arial" w:cs="Arial" w:eastAsia="Arial" w:hAnsi="Arial"/>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0" w:name="page131"/>
    <w:bookmarkEnd w:id="130"/>
    <w:p>
      <w:pPr>
        <w:ind w:left="200" w:right="219" w:firstLine="881"/>
        <w:spacing w:after="0" w:line="277" w:lineRule="auto"/>
        <w:rPr>
          <w:sz w:val="20"/>
          <w:szCs w:val="20"/>
          <w:color w:val="auto"/>
        </w:rPr>
      </w:pPr>
      <w:r>
        <w:rPr>
          <w:rFonts w:ascii="Arial" w:cs="Arial" w:eastAsia="Arial" w:hAnsi="Arial"/>
          <w:sz w:val="18"/>
          <w:szCs w:val="18"/>
          <w:color w:val="auto"/>
        </w:rPr>
        <w:t>IN WITNESS WHEREOF, this Stock Appreciation Right Award Agreement has been executed by the Company and the Participant as of the day first written above.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LATHAM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14605</wp:posOffset>
            </wp:positionV>
            <wp:extent cx="26231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-130175</wp:posOffset>
            </wp:positionV>
            <wp:extent cx="2802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1" w:name="page132"/>
    <w:bookmarkEnd w:id="131"/>
    <w:p>
      <w:pPr>
        <w:ind w:left="1480"/>
        <w:spacing w:after="0"/>
        <w:rPr>
          <w:sz w:val="20"/>
          <w:szCs w:val="20"/>
          <w:color w:val="auto"/>
        </w:rPr>
      </w:pPr>
      <w:r>
        <w:rPr>
          <w:rFonts w:ascii="Arial" w:cs="Arial" w:eastAsia="Arial" w:hAnsi="Arial"/>
          <w:sz w:val="18"/>
          <w:szCs w:val="18"/>
          <w:color w:val="auto"/>
        </w:rPr>
        <w:t>[Signature Page to [______________] Stock Appreciation Right Award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both"/>
        <w:ind w:left="540" w:right="219" w:hanging="331"/>
        <w:spacing w:after="0" w:line="311"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Participant’s employment with, or other engagement to provide services to, the Company or any of its Affiliates and for a period of twenty-four (24) months thereafter (the “</w:t>
      </w:r>
      <w:r>
        <w:rPr>
          <w:rFonts w:ascii="Arial" w:cs="Arial" w:eastAsia="Arial" w:hAnsi="Arial"/>
          <w:sz w:val="16"/>
          <w:szCs w:val="16"/>
          <w:u w:val="single" w:color="auto"/>
          <w:color w:val="auto"/>
        </w:rPr>
        <w:t>Restricted Period</w:t>
      </w:r>
      <w:r>
        <w:rPr>
          <w:rFonts w:ascii="Arial" w:cs="Arial" w:eastAsia="Arial" w:hAnsi="Arial"/>
          <w:sz w:val="16"/>
          <w:szCs w:val="16"/>
          <w:color w:val="auto"/>
        </w:rPr>
        <w:t>”), the Participant shall not, either directly or indirectly, for himself or herself or on behalf of or in conjunction with any other Person:</w:t>
      </w:r>
    </w:p>
    <w:p>
      <w:pPr>
        <w:spacing w:after="0" w:line="148" w:lineRule="exact"/>
        <w:rPr>
          <w:rFonts w:ascii="Arial" w:cs="Arial" w:eastAsia="Arial" w:hAnsi="Arial"/>
          <w:sz w:val="16"/>
          <w:szCs w:val="16"/>
          <w:color w:val="auto"/>
        </w:rPr>
      </w:pPr>
    </w:p>
    <w:p>
      <w:pPr>
        <w:jc w:val="both"/>
        <w:ind w:left="1540" w:right="239" w:hanging="332"/>
        <w:spacing w:after="0" w:line="263"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3" w:lineRule="exact"/>
        <w:rPr>
          <w:rFonts w:ascii="Arial" w:cs="Arial" w:eastAsia="Arial" w:hAnsi="Arial"/>
          <w:sz w:val="18"/>
          <w:szCs w:val="18"/>
          <w:color w:val="auto"/>
        </w:rPr>
      </w:pPr>
    </w:p>
    <w:p>
      <w:pPr>
        <w:jc w:val="both"/>
        <w:ind w:left="1540" w:right="239" w:hanging="332"/>
        <w:spacing w:after="0" w:line="275" w:lineRule="auto"/>
        <w:tabs>
          <w:tab w:leader="none" w:pos="15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(5) year period preceding the termination of Participant’s employment.</w:t>
      </w:r>
    </w:p>
    <w:p>
      <w:pPr>
        <w:spacing w:after="0" w:line="176" w:lineRule="exact"/>
        <w:rPr>
          <w:rFonts w:ascii="Arial" w:cs="Arial" w:eastAsia="Arial" w:hAnsi="Arial"/>
          <w:sz w:val="17"/>
          <w:szCs w:val="17"/>
          <w:color w:val="auto"/>
        </w:rPr>
      </w:pPr>
    </w:p>
    <w:p>
      <w:pPr>
        <w:jc w:val="both"/>
        <w:ind w:left="540" w:right="219" w:hanging="331"/>
        <w:spacing w:after="0" w:line="289"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66" w:lineRule="exact"/>
        <w:rPr>
          <w:rFonts w:ascii="Arial" w:cs="Arial" w:eastAsia="Arial" w:hAnsi="Arial"/>
          <w:sz w:val="16"/>
          <w:szCs w:val="16"/>
          <w:color w:val="auto"/>
        </w:rPr>
      </w:pPr>
    </w:p>
    <w:p>
      <w:pPr>
        <w:jc w:val="both"/>
        <w:ind w:left="540" w:right="219" w:hanging="331"/>
        <w:spacing w:after="0" w:line="286"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 or on the Participant’s behalf or (y) information that the Participant can demonstrate to have had rightfully in the Participant’s possession prior to the date on which the Participant first provided services to any Latham Company.</w:t>
      </w:r>
    </w:p>
    <w:p>
      <w:pPr>
        <w:spacing w:after="0" w:line="170" w:lineRule="exact"/>
        <w:rPr>
          <w:rFonts w:ascii="Arial" w:cs="Arial" w:eastAsia="Arial" w:hAnsi="Arial"/>
          <w:sz w:val="16"/>
          <w:szCs w:val="16"/>
          <w:color w:val="auto"/>
        </w:rPr>
      </w:pPr>
    </w:p>
    <w:p>
      <w:pPr>
        <w:jc w:val="both"/>
        <w:ind w:left="540" w:right="219" w:hanging="331"/>
        <w:spacing w:after="0" w:line="259"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86" w:lineRule="exact"/>
        <w:rPr>
          <w:rFonts w:ascii="Arial" w:cs="Arial" w:eastAsia="Arial" w:hAnsi="Arial"/>
          <w:sz w:val="18"/>
          <w:szCs w:val="18"/>
          <w:color w:val="auto"/>
        </w:rPr>
      </w:pPr>
    </w:p>
    <w:p>
      <w:pPr>
        <w:ind w:left="540" w:hanging="331"/>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540" w:right="219" w:hanging="332"/>
        <w:spacing w:after="0" w:line="286" w:lineRule="auto"/>
        <w:tabs>
          <w:tab w:leader="none" w:pos="15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486410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2" w:name="page133"/>
    <w:bookmarkEnd w:id="132"/>
    <w:p>
      <w:pPr>
        <w:jc w:val="both"/>
        <w:ind w:left="1540" w:right="219"/>
        <w:spacing w:after="0" w:line="273" w:lineRule="auto"/>
        <w:rPr>
          <w:sz w:val="20"/>
          <w:szCs w:val="20"/>
          <w:color w:val="auto"/>
        </w:rPr>
      </w:pPr>
      <w:r>
        <w:rPr>
          <w:rFonts w:ascii="Arial" w:cs="Arial" w:eastAsia="Arial" w:hAnsi="Arial"/>
          <w:sz w:val="17"/>
          <w:szCs w:val="17"/>
          <w:color w:val="auto"/>
        </w:rPr>
        <w:t>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business ideas and methods, store concepts, inventions, innovations, developments, graphic designs, website designs, patterns, specifications, procedures, databases and personnel.</w:t>
      </w:r>
    </w:p>
    <w:p>
      <w:pPr>
        <w:spacing w:after="0" w:line="178" w:lineRule="exact"/>
        <w:rPr>
          <w:sz w:val="20"/>
          <w:szCs w:val="20"/>
          <w:color w:val="auto"/>
        </w:rPr>
      </w:pPr>
    </w:p>
    <w:p>
      <w:pPr>
        <w:jc w:val="both"/>
        <w:ind w:left="1540" w:right="219" w:hanging="332"/>
        <w:spacing w:after="0" w:line="311" w:lineRule="auto"/>
        <w:tabs>
          <w:tab w:leader="none" w:pos="1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Latham Companies</w:t>
      </w:r>
      <w:r>
        <w:rPr>
          <w:rFonts w:ascii="Arial" w:cs="Arial" w:eastAsia="Arial" w:hAnsi="Arial"/>
          <w:sz w:val="16"/>
          <w:szCs w:val="16"/>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48" w:lineRule="exact"/>
        <w:rPr>
          <w:rFonts w:ascii="Arial" w:cs="Arial" w:eastAsia="Arial" w:hAnsi="Arial"/>
          <w:sz w:val="16"/>
          <w:szCs w:val="16"/>
          <w:color w:val="auto"/>
        </w:rPr>
      </w:pPr>
    </w:p>
    <w:p>
      <w:pPr>
        <w:jc w:val="both"/>
        <w:ind w:left="1540" w:right="219" w:hanging="332"/>
        <w:spacing w:after="0" w:line="271" w:lineRule="auto"/>
        <w:tabs>
          <w:tab w:leader="none" w:pos="15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w:t>
      </w:r>
      <w:r>
        <w:rPr>
          <w:rFonts w:ascii="Arial" w:cs="Arial" w:eastAsia="Arial" w:hAnsi="Arial"/>
          <w:sz w:val="17"/>
          <w:szCs w:val="17"/>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8" w:lineRule="exact"/>
        <w:rPr>
          <w:rFonts w:ascii="Arial" w:cs="Arial" w:eastAsia="Arial" w:hAnsi="Arial"/>
          <w:sz w:val="17"/>
          <w:szCs w:val="17"/>
          <w:color w:val="auto"/>
        </w:rPr>
      </w:pPr>
    </w:p>
    <w:p>
      <w:pPr>
        <w:jc w:val="both"/>
        <w:ind w:left="540" w:right="219" w:hanging="331"/>
        <w:spacing w:after="0" w:line="259"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Prior to accepting any offer of employment during the Restricted Period, the Participant shall inform such employers of all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within two (2) business days of accepting an offer of employment with another employer, shall notify the Company of the name and address of the new employer and the title of the position accepted.</w:t>
      </w:r>
    </w:p>
    <w:p>
      <w:pPr>
        <w:spacing w:after="0" w:line="186" w:lineRule="exact"/>
        <w:rPr>
          <w:rFonts w:ascii="Arial" w:cs="Arial" w:eastAsia="Arial" w:hAnsi="Arial"/>
          <w:sz w:val="18"/>
          <w:szCs w:val="18"/>
          <w:color w:val="auto"/>
        </w:rPr>
      </w:pPr>
    </w:p>
    <w:p>
      <w:pPr>
        <w:jc w:val="both"/>
        <w:ind w:left="540" w:right="219" w:hanging="331"/>
        <w:spacing w:after="0" w:line="255"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severable and separate, and the unenforceability of any specific covenant shall not affect the provisions of any other covenant. If any provision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92" w:lineRule="exact"/>
        <w:rPr>
          <w:rFonts w:ascii="Arial" w:cs="Arial" w:eastAsia="Arial" w:hAnsi="Arial"/>
          <w:sz w:val="18"/>
          <w:szCs w:val="18"/>
          <w:color w:val="auto"/>
        </w:rPr>
      </w:pPr>
    </w:p>
    <w:p>
      <w:pPr>
        <w:jc w:val="both"/>
        <w:ind w:left="540" w:right="219" w:hanging="331"/>
        <w:spacing w:after="0" w:line="259"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All of the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construed as an agreement independent of any other provisions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existence of any claim or cause of action the Participant may have against any Latham Company, whether predicated on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otherwise, shall not constitute a defense to the enforcement by any Latham Company of such covenants.</w:t>
      </w:r>
    </w:p>
    <w:p>
      <w:pPr>
        <w:spacing w:after="0" w:line="186" w:lineRule="exact"/>
        <w:rPr>
          <w:rFonts w:ascii="Arial" w:cs="Arial" w:eastAsia="Arial" w:hAnsi="Arial"/>
          <w:sz w:val="18"/>
          <w:szCs w:val="18"/>
          <w:color w:val="auto"/>
        </w:rPr>
      </w:pPr>
    </w:p>
    <w:p>
      <w:pPr>
        <w:jc w:val="both"/>
        <w:ind w:left="540" w:right="219" w:hanging="331"/>
        <w:spacing w:after="0" w:line="286"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65" w:lineRule="exact"/>
        <w:rPr>
          <w:rFonts w:ascii="Arial" w:cs="Arial" w:eastAsia="Arial" w:hAnsi="Arial"/>
          <w:sz w:val="17"/>
          <w:szCs w:val="17"/>
          <w:color w:val="auto"/>
        </w:rPr>
      </w:pPr>
    </w:p>
    <w:p>
      <w:pPr>
        <w:jc w:val="both"/>
        <w:ind w:left="1540" w:right="219" w:hanging="332"/>
        <w:spacing w:after="0" w:line="287"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All disputes between or among any Persons arising out of or in any way connected with this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1" w:lineRule="exact"/>
        <w:rPr>
          <w:rFonts w:ascii="Arial" w:cs="Arial" w:eastAsia="Arial" w:hAnsi="Arial"/>
          <w:sz w:val="16"/>
          <w:szCs w:val="16"/>
          <w:color w:val="auto"/>
        </w:rPr>
      </w:pPr>
    </w:p>
    <w:p>
      <w:pPr>
        <w:ind w:left="1540" w:right="239" w:hanging="332"/>
        <w:spacing w:after="0" w:line="342" w:lineRule="auto"/>
        <w:tabs>
          <w:tab w:leader="none" w:pos="15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party hereto hereby waives, to the fullest extent permitted by applicable law, any right it may have to a trial by jury in any legal proceeding directly or indirectly arising out of or relating to this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3" w:name="page134"/>
    <w:bookmarkEnd w:id="133"/>
    <w:p>
      <w:pPr>
        <w:jc w:val="both"/>
        <w:ind w:left="1540" w:right="219"/>
        <w:spacing w:after="0" w:line="255"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left="540" w:right="219" w:hanging="331"/>
        <w:spacing w:after="0" w:line="259"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Participant has carefully read and considered the provisions of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having done so, agrees that the restrictive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511810</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4" w:name="page135"/>
    <w:bookmarkEnd w:id="134"/>
    <w:p>
      <w:pPr>
        <w:jc w:val="right"/>
        <w:ind w:right="219"/>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-93345</wp:posOffset>
            </wp:positionV>
            <wp:extent cx="1457325" cy="52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14573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April 12, 2021)</w:t>
      </w:r>
    </w:p>
    <w:p>
      <w:pPr>
        <w:spacing w:after="0" w:line="224" w:lineRule="exact"/>
        <w:rPr>
          <w:sz w:val="20"/>
          <w:szCs w:val="20"/>
          <w:color w:val="auto"/>
        </w:rPr>
      </w:pPr>
    </w:p>
    <w:p>
      <w:pPr>
        <w:ind w:left="200" w:right="499"/>
        <w:spacing w:after="0" w:line="292" w:lineRule="auto"/>
        <w:rPr>
          <w:sz w:val="20"/>
          <w:szCs w:val="20"/>
          <w:color w:val="auto"/>
        </w:rPr>
      </w:pPr>
      <w:r>
        <w:rPr>
          <w:rFonts w:ascii="Arial" w:cs="Arial" w:eastAsia="Arial" w:hAnsi="Arial"/>
          <w:sz w:val="17"/>
          <w:szCs w:val="17"/>
          <w:color w:val="auto"/>
        </w:rPr>
        <w:t>Each “non-employee director” of Latham Group, Inc. (the “Company”) will be entitled to receive the following compensation (directors that are (i) employees of the Company or any of its subsidiaries or (ii) directors that are employed by or affiliated with our Sponsors (Pamplona Capital Management, LLC and Wynnchurch Capital, L.P.) shall not be entitled to the compensation listed below or any additional compensation in respect of their service as a member of the Company’s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-633730</wp:posOffset>
            </wp:positionV>
            <wp:extent cx="444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4445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-50800</wp:posOffset>
            </wp:positionV>
            <wp:extent cx="279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33" w:lineRule="exact"/>
        <w:rPr>
          <w:sz w:val="20"/>
          <w:szCs w:val="20"/>
          <w:color w:val="auto"/>
        </w:rPr>
      </w:pPr>
    </w:p>
    <w:p>
      <w:pPr>
        <w:ind w:left="840" w:hanging="294"/>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Cash Retainer: $75,000; to be paid in quarterly installments.</w:t>
      </w:r>
    </w:p>
    <w:p>
      <w:pPr>
        <w:spacing w:after="0" w:line="225" w:lineRule="exact"/>
        <w:rPr>
          <w:rFonts w:ascii="Arial" w:cs="Arial" w:eastAsia="Arial" w:hAnsi="Arial"/>
          <w:sz w:val="18"/>
          <w:szCs w:val="18"/>
          <w:color w:val="auto"/>
        </w:rPr>
      </w:pPr>
    </w:p>
    <w:p>
      <w:pPr>
        <w:ind w:left="840" w:right="459" w:hanging="294"/>
        <w:spacing w:after="0" w:line="296" w:lineRule="auto"/>
        <w:tabs>
          <w:tab w:leader="none" w:pos="8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Annual Equity Grant: $75,000. The number of shares granted will be equal to $75,000 divided by the fair market value of the underlying stock on the date of grant. The Annual Equity Grant will be shares of restricted stock or restricted stock units and such shares will vest and the restrictions will lapse on the first anniversary of the date of grant, unless the director is removed for cause or resigns prior to such date.</w:t>
      </w:r>
    </w:p>
    <w:p>
      <w:pPr>
        <w:spacing w:after="0" w:line="158" w:lineRule="exact"/>
        <w:rPr>
          <w:rFonts w:ascii="Arial" w:cs="Arial" w:eastAsia="Arial" w:hAnsi="Arial"/>
          <w:sz w:val="16"/>
          <w:szCs w:val="16"/>
          <w:color w:val="auto"/>
        </w:rPr>
      </w:pPr>
    </w:p>
    <w:p>
      <w:pPr>
        <w:ind w:left="840" w:hanging="294"/>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Chairman of the Board: (COB):</w:t>
      </w:r>
    </w:p>
    <w:p>
      <w:pPr>
        <w:spacing w:after="0" w:line="225" w:lineRule="exact"/>
        <w:rPr>
          <w:rFonts w:ascii="Arial" w:cs="Arial" w:eastAsia="Arial" w:hAnsi="Arial"/>
          <w:sz w:val="18"/>
          <w:szCs w:val="18"/>
          <w:color w:val="auto"/>
        </w:rPr>
      </w:pPr>
    </w:p>
    <w:p>
      <w:pPr>
        <w:ind w:left="1500" w:hanging="292"/>
        <w:spacing w:after="0"/>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Annual COB Cash Retainer $50,000; to be paid in quarterly instalments.</w:t>
      </w:r>
    </w:p>
    <w:p>
      <w:pPr>
        <w:spacing w:after="0" w:line="225" w:lineRule="exact"/>
        <w:rPr>
          <w:rFonts w:ascii="Arial" w:cs="Arial" w:eastAsia="Arial" w:hAnsi="Arial"/>
          <w:sz w:val="18"/>
          <w:szCs w:val="18"/>
          <w:color w:val="auto"/>
        </w:rPr>
      </w:pPr>
    </w:p>
    <w:p>
      <w:pPr>
        <w:ind w:left="1500" w:right="219" w:hanging="306"/>
        <w:spacing w:after="0" w:line="253"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Annual COB Equity Grant $50,000. The number of shares granted will be equal to $50,000 divided by the fair market value of the underlying stock on the date of grant. The Annual COB Equity Grant will be shares of restricted stock or restricted stock units and such shares will vest and the restrictions will lapse on the first anniversary of the date of grant, unless the COB is removed for cause or resigns prior to such date.</w:t>
      </w:r>
    </w:p>
    <w:p>
      <w:pPr>
        <w:spacing w:after="0" w:line="191" w:lineRule="exact"/>
        <w:rPr>
          <w:rFonts w:ascii="Arial" w:cs="Arial" w:eastAsia="Arial" w:hAnsi="Arial"/>
          <w:sz w:val="18"/>
          <w:szCs w:val="18"/>
          <w:color w:val="auto"/>
        </w:rPr>
      </w:pPr>
    </w:p>
    <w:p>
      <w:pPr>
        <w:ind w:left="840" w:hanging="294"/>
        <w:spacing w:after="0"/>
        <w:tabs>
          <w:tab w:leader="none" w:pos="8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Audit Committee: Retainer for Chairperson of the Audit Committee: $20,000; paid in quarterly installments.</w:t>
      </w:r>
    </w:p>
    <w:p>
      <w:pPr>
        <w:spacing w:after="0" w:line="248" w:lineRule="exact"/>
        <w:rPr>
          <w:rFonts w:ascii="Arial" w:cs="Arial" w:eastAsia="Arial" w:hAnsi="Arial"/>
          <w:sz w:val="16"/>
          <w:szCs w:val="16"/>
          <w:color w:val="auto"/>
        </w:rPr>
      </w:pPr>
    </w:p>
    <w:p>
      <w:pPr>
        <w:ind w:left="840" w:right="399" w:hanging="294"/>
        <w:spacing w:after="0" w:line="277"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Compensation Committee: Retainer for the Chairperson of the Compensation Committee: $15,000; paid in quarterly installments.</w:t>
      </w:r>
    </w:p>
    <w:p>
      <w:pPr>
        <w:spacing w:after="0" w:line="170" w:lineRule="exact"/>
        <w:rPr>
          <w:rFonts w:ascii="Arial" w:cs="Arial" w:eastAsia="Arial" w:hAnsi="Arial"/>
          <w:sz w:val="18"/>
          <w:szCs w:val="18"/>
          <w:color w:val="auto"/>
        </w:rPr>
      </w:pPr>
    </w:p>
    <w:p>
      <w:pPr>
        <w:ind w:left="840" w:hanging="294"/>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Nominating and Corporate Governance Committee: Retainer for the Chairperson of the Nominating and</w:t>
      </w:r>
    </w:p>
    <w:p>
      <w:pPr>
        <w:spacing w:after="0" w:line="34"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Corporate Governance Committee: $10,000; paid in quarterly installments.</w:t>
      </w:r>
    </w:p>
    <w:p>
      <w:pPr>
        <w:spacing w:after="0" w:line="210" w:lineRule="exact"/>
        <w:rPr>
          <w:rFonts w:ascii="Arial" w:cs="Arial" w:eastAsia="Arial" w:hAnsi="Arial"/>
          <w:sz w:val="17"/>
          <w:szCs w:val="17"/>
          <w:color w:val="auto"/>
        </w:rPr>
      </w:pPr>
    </w:p>
    <w:p>
      <w:pPr>
        <w:ind w:left="840" w:right="339" w:hanging="294"/>
        <w:spacing w:after="0" w:line="277"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Payments: All payments which are made in installments are subject to the director’s continued service on the Board on the date such installment is required to be paid.</w:t>
      </w:r>
    </w:p>
    <w:p>
      <w:pPr>
        <w:spacing w:after="0" w:line="170" w:lineRule="exact"/>
        <w:rPr>
          <w:rFonts w:ascii="Arial" w:cs="Arial" w:eastAsia="Arial" w:hAnsi="Arial"/>
          <w:sz w:val="18"/>
          <w:szCs w:val="18"/>
          <w:color w:val="auto"/>
        </w:rPr>
      </w:pPr>
    </w:p>
    <w:p>
      <w:pPr>
        <w:ind w:left="840" w:right="279" w:hanging="294"/>
        <w:spacing w:after="0" w:line="254" w:lineRule="auto"/>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Amendment; Modification; Termination &amp; Administration. This policy is to be administered by the Company’s Compensation Committee or their designee, unless the Board determines to administer this policy itself (the Committee or Board, as applicable, in its role administering this policy, the “Administrator”). The Administrator is permitted to amend or modify the policy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-4258310</wp:posOffset>
            </wp:positionV>
            <wp:extent cx="1009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009015" cy="8890"/>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-3983990</wp:posOffset>
            </wp:positionV>
            <wp:extent cx="958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958215" cy="8255"/>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-3307080</wp:posOffset>
            </wp:positionV>
            <wp:extent cx="1050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05029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-1943735</wp:posOffset>
            </wp:positionV>
            <wp:extent cx="7962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96290" cy="8890"/>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-1669415</wp:posOffset>
            </wp:positionV>
            <wp:extent cx="11963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196340" cy="8255"/>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-1257935</wp:posOffset>
            </wp:positionV>
            <wp:extent cx="23412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-846455</wp:posOffset>
            </wp:positionV>
            <wp:extent cx="444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444500" cy="8890"/>
                    </a:xfrm>
                    <a:prstGeom prst="rect">
                      <a:avLst/>
                    </a:prstGeom>
                    <a:noFill/>
                  </pic:spPr>
                </pic:pic>
              </a:graphicData>
            </a:graphic>
          </wp:anchor>
        </w:drawing>
        <w:drawing>
          <wp:anchor simplePos="0" relativeHeight="251657728" behindDoc="1" locked="0" layoutInCell="0" allowOverlap="1">
            <wp:simplePos x="0" y="0"/>
            <wp:positionH relativeFrom="column">
              <wp:posOffset>535305</wp:posOffset>
            </wp:positionH>
            <wp:positionV relativeFrom="paragraph">
              <wp:posOffset>-434975</wp:posOffset>
            </wp:positionV>
            <wp:extent cx="2676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2676525" cy="889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-160655</wp:posOffset>
            </wp:positionV>
            <wp:extent cx="6407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10.17</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-76200</wp:posOffset>
            </wp:positionV>
            <wp:extent cx="1500505" cy="386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15005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u w:val="single" w:color="auto"/>
          <w:color w:val="auto"/>
        </w:rPr>
        <w:t>Latham Pool Products, Inc.</w:t>
      </w:r>
      <w:r>
        <w:rPr>
          <w:rFonts w:ascii="Arial" w:cs="Arial" w:eastAsia="Arial" w:hAnsi="Arial"/>
          <w:sz w:val="25"/>
          <w:szCs w:val="25"/>
          <w:b w:val="1"/>
          <w:bCs w:val="1"/>
          <w:color w:val="auto"/>
        </w:rPr>
        <w:t xml:space="preserve"> | </w:t>
      </w:r>
      <w:r>
        <w:rPr>
          <w:rFonts w:ascii="Arial" w:cs="Arial" w:eastAsia="Arial" w:hAnsi="Arial"/>
          <w:sz w:val="25"/>
          <w:szCs w:val="25"/>
          <w:b w:val="1"/>
          <w:bCs w:val="1"/>
          <w:u w:val="single" w:color="auto"/>
          <w:color w:val="auto"/>
        </w:rPr>
        <w:t>20[__] Management</w:t>
      </w:r>
    </w:p>
    <w:p>
      <w:pPr>
        <w:spacing w:after="0" w:line="49"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u w:val="single" w:color="auto"/>
          <w:color w:val="auto"/>
        </w:rPr>
        <w:t>Incentive Bonus (MIB) Plan</w:t>
      </w:r>
      <w:r>
        <w:rPr>
          <w:rFonts w:ascii="Arial" w:cs="Arial" w:eastAsia="Arial" w:hAnsi="Arial"/>
          <w:sz w:val="25"/>
          <w:szCs w:val="25"/>
          <w:b w:val="1"/>
          <w:bCs w:val="1"/>
          <w:color w:val="auto"/>
        </w:rPr>
        <w:t xml:space="preserve"> </w:t>
      </w:r>
      <w:r>
        <w:rPr>
          <w:rFonts w:ascii="Arial" w:cs="Arial" w:eastAsia="Arial" w:hAnsi="Arial"/>
          <w:sz w:val="25"/>
          <w:szCs w:val="25"/>
          <w:color w:val="auto"/>
        </w:rPr>
        <w:t>|</w:t>
      </w:r>
      <w:r>
        <w:rPr>
          <w:rFonts w:ascii="Arial" w:cs="Arial" w:eastAsia="Arial" w:hAnsi="Arial"/>
          <w:sz w:val="25"/>
          <w:szCs w:val="25"/>
          <w:b w:val="1"/>
          <w:bCs w:val="1"/>
          <w:color w:val="auto"/>
        </w:rPr>
        <w:t xml:space="preserve"> </w:t>
      </w:r>
      <w:r>
        <w:rPr>
          <w:rFonts w:ascii="Arial" w:cs="Arial" w:eastAsia="Arial" w:hAnsi="Arial"/>
          <w:sz w:val="25"/>
          <w:szCs w:val="25"/>
          <w:b w:val="1"/>
          <w:bCs w:val="1"/>
          <w:u w:val="single" w:color="auto"/>
          <w:color w:val="auto"/>
        </w:rPr>
        <w:t>Master</w:t>
      </w:r>
    </w:p>
    <w:p>
      <w:pPr>
        <w:spacing w:after="0" w:line="173" w:lineRule="exact"/>
        <w:rPr>
          <w:sz w:val="20"/>
          <w:szCs w:val="20"/>
          <w:color w:val="auto"/>
        </w:rPr>
      </w:pPr>
    </w:p>
    <w:p>
      <w:pPr>
        <w:ind w:right="200"/>
        <w:spacing w:after="0" w:line="296" w:lineRule="auto"/>
        <w:rPr>
          <w:sz w:val="20"/>
          <w:szCs w:val="20"/>
          <w:color w:val="auto"/>
        </w:rPr>
      </w:pPr>
      <w:r>
        <w:rPr>
          <w:rFonts w:ascii="Arial" w:cs="Arial" w:eastAsia="Arial" w:hAnsi="Arial"/>
          <w:sz w:val="19"/>
          <w:szCs w:val="19"/>
          <w:color w:val="auto"/>
        </w:rPr>
        <w:t>The Management Incentive Bonus Plan (the “Plan”) has been established to attract and retain employees and officers, ensure that the Company’s compensation program provides appropriate incentives to motivate key employees and officers to contribute to the Company’s performance and growth, develop a culture of ownership, and align further the interests of participants and stockholders. The “Company” shall mean Latham Pool Products, Inc. or Latham Group, Inc., as applicable. The MIB is based on [________] achievement for the calendar year. Plan</w:t>
      </w:r>
    </w:p>
    <w:p>
      <w:pPr>
        <w:spacing w:after="0" w:line="3" w:lineRule="exact"/>
        <w:rPr>
          <w:sz w:val="20"/>
          <w:szCs w:val="20"/>
          <w:color w:val="auto"/>
        </w:rPr>
      </w:pPr>
    </w:p>
    <w:p>
      <w:pPr>
        <w:ind w:right="320"/>
        <w:spacing w:after="0" w:line="317" w:lineRule="auto"/>
        <w:rPr>
          <w:sz w:val="20"/>
          <w:szCs w:val="20"/>
          <w:color w:val="auto"/>
        </w:rPr>
      </w:pPr>
      <w:r>
        <w:rPr>
          <w:rFonts w:ascii="Arial" w:cs="Arial" w:eastAsia="Arial" w:hAnsi="Arial"/>
          <w:sz w:val="19"/>
          <w:szCs w:val="19"/>
          <w:color w:val="auto"/>
        </w:rPr>
        <w:t>participation and tier are based on position and subject to approval by the employee’s Executive Leadership Team (“ELT”) member, the CHRO and CEO. Plan payouts are subject to approval by the Compensation Committee.</w:t>
      </w:r>
    </w:p>
    <w:p>
      <w:pPr>
        <w:spacing w:after="0" w:line="78"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leverage table for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57785</wp:posOffset>
            </wp:positionV>
            <wp:extent cx="272605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2726055" cy="2057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 Criteria and Plan Rules:</w:t>
      </w:r>
    </w:p>
    <w:p>
      <w:pPr>
        <w:spacing w:after="0" w:line="35" w:lineRule="exact"/>
        <w:rPr>
          <w:sz w:val="20"/>
          <w:szCs w:val="20"/>
          <w:color w:val="auto"/>
        </w:rPr>
      </w:pPr>
    </w:p>
    <w:p>
      <w:pPr>
        <w:ind w:left="640" w:hanging="314"/>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[__]% payout opportunity for achieving [__]% of [________] target. Plan is capped at [__]% of target.</w:t>
      </w:r>
    </w:p>
    <w:p>
      <w:pPr>
        <w:spacing w:after="0" w:line="9" w:lineRule="exact"/>
        <w:rPr>
          <w:rFonts w:ascii="Arial" w:cs="Arial" w:eastAsia="Arial" w:hAnsi="Arial"/>
          <w:sz w:val="18"/>
          <w:szCs w:val="18"/>
          <w:color w:val="auto"/>
        </w:rPr>
      </w:pPr>
    </w:p>
    <w:p>
      <w:pPr>
        <w:ind w:left="640" w:hanging="314"/>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Plan is in effect for calendar year 20[__]. [________] is based on the [full] year corporate results.</w:t>
      </w:r>
    </w:p>
    <w:p>
      <w:pPr>
        <w:spacing w:after="0" w:line="9" w:lineRule="exact"/>
        <w:rPr>
          <w:rFonts w:ascii="Arial" w:cs="Arial" w:eastAsia="Arial" w:hAnsi="Arial"/>
          <w:sz w:val="18"/>
          <w:szCs w:val="18"/>
          <w:color w:val="auto"/>
        </w:rPr>
      </w:pPr>
    </w:p>
    <w:p>
      <w:pPr>
        <w:ind w:left="640" w:right="400" w:hanging="314"/>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Overall job performance must be at satisfactory level or above and employment must be in good standing for payout consideration.</w:t>
      </w:r>
    </w:p>
    <w:p>
      <w:pPr>
        <w:jc w:val="both"/>
        <w:ind w:left="640" w:right="1040" w:hanging="315"/>
        <w:spacing w:after="0" w:line="245"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discretionary amount may be provided for outstanding performance or special project(s) completion based on budget resources and approval by the employee’s ELT member, the CHRO, CEO. In the case of officers, the Compensation Committee approves discretionary awards, if any.</w:t>
      </w:r>
    </w:p>
    <w:p>
      <w:pPr>
        <w:ind w:left="640" w:right="1040" w:hanging="314"/>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Bonus payouts are in gross dollars, paid in local currency, and subject to incentive payment taxation through payroll according to the appropriate federal, state, local and provincial withholding taxes.</w:t>
      </w:r>
    </w:p>
    <w:p>
      <w:pPr>
        <w:ind w:left="640" w:right="400" w:hanging="314"/>
        <w:spacing w:after="0" w:line="247"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New employees in MIB-approved positions are generally eligible the first of the month following their date of hire. If hired after October 1, the eligibility date is January 1 of the following year. Employees who enter this Plan after January 1 will receive a payout percentage generally at a pro-rated amount for the percentage of time worked from the date of hire (or promotion) to the end of the Plan year. The employee’s ELT member, the CHRO and the CEO must approve all new participants into this Plan. In the case of officers, the Compensation Committee approves Plan participation.</w:t>
      </w:r>
    </w:p>
    <w:p>
      <w:pPr>
        <w:spacing w:after="0" w:line="4" w:lineRule="exact"/>
        <w:rPr>
          <w:rFonts w:ascii="Arial" w:cs="Arial" w:eastAsia="Arial" w:hAnsi="Arial"/>
          <w:sz w:val="18"/>
          <w:szCs w:val="18"/>
          <w:color w:val="auto"/>
        </w:rPr>
      </w:pPr>
    </w:p>
    <w:p>
      <w:pPr>
        <w:ind w:left="640" w:right="160" w:hanging="314"/>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Must be an active employee when any eligible bonus payment is made, which is generally scheduled to occur within 30 days of the annual earnings release. Plan Participants who are dismissed for “Cause,” which term [________] - In no event will Plan Participants earn an incentive if terminated for Cause prior to the applicable annual reconciliation.</w:t>
      </w:r>
    </w:p>
    <w:p>
      <w:pPr>
        <w:spacing w:after="0" w:line="1" w:lineRule="exact"/>
        <w:rPr>
          <w:rFonts w:ascii="Arial" w:cs="Arial" w:eastAsia="Arial" w:hAnsi="Arial"/>
          <w:sz w:val="18"/>
          <w:szCs w:val="18"/>
          <w:color w:val="auto"/>
        </w:rPr>
      </w:pPr>
    </w:p>
    <w:p>
      <w:pPr>
        <w:ind w:left="640" w:right="1020" w:hanging="314"/>
        <w:spacing w:after="0" w:line="245"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Section 6 hereof, employee must have continuous service for the 12-month Plan period to be fully eligible for Plan. If there is a break in service (termination and rehire in the same calendar year), the payout will reflect a pro-rated amount based on length of service in the calendar year.</w:t>
      </w:r>
    </w:p>
    <w:p>
      <w:pPr>
        <w:ind w:left="640" w:hanging="314"/>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Employees who go on an approved leave of absence before MIB payments are released are eligible for their full payout.</w:t>
      </w:r>
    </w:p>
    <w:p>
      <w:pPr>
        <w:spacing w:after="0" w:line="36" w:lineRule="exact"/>
        <w:rPr>
          <w:rFonts w:ascii="Arial" w:cs="Arial" w:eastAsia="Arial" w:hAnsi="Arial"/>
          <w:sz w:val="18"/>
          <w:szCs w:val="18"/>
          <w:color w:val="auto"/>
        </w:rPr>
      </w:pPr>
    </w:p>
    <w:p>
      <w:pPr>
        <w:jc w:val="both"/>
        <w:ind w:left="640" w:right="140" w:hanging="315"/>
        <w:spacing w:after="0" w:line="250"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Employees who transfer to another position without an MIB component will cease participation in this Plan effective the day of the new position and will be due a payout (at the same time as all other payouts are issued) for the portion of the year they were an MIB participant.</w:t>
      </w:r>
    </w:p>
    <w:p>
      <w:pPr>
        <w:spacing w:after="0" w:line="1" w:lineRule="exact"/>
        <w:rPr>
          <w:rFonts w:ascii="Arial" w:cs="Arial" w:eastAsia="Arial" w:hAnsi="Arial"/>
          <w:sz w:val="18"/>
          <w:szCs w:val="18"/>
          <w:color w:val="auto"/>
        </w:rPr>
      </w:pPr>
    </w:p>
    <w:p>
      <w:pPr>
        <w:ind w:left="640" w:right="1120" w:hanging="315"/>
        <w:spacing w:after="0" w:line="246"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Employees who change positions to another role that is in the MIB will be eligible for the new Plan tier level effective the date they assume the new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494030</wp:posOffset>
            </wp:positionV>
            <wp:extent cx="66008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ectPr>
          <w:pgSz w:w="11900" w:h="16838" w:orient="portrait"/>
          <w:cols w:equalWidth="0" w:num="1">
            <w:col w:w="10280"/>
          </w:cols>
          <w:pgMar w:left="860" w:top="115" w:right="759" w:bottom="1440" w:gutter="0" w:footer="0" w:header="0"/>
        </w:sectPr>
      </w:pPr>
    </w:p>
    <w:bookmarkStart w:id="136" w:name="page137"/>
    <w:bookmarkEnd w:id="136"/>
    <w:p>
      <w:pPr>
        <w:ind w:left="314" w:right="220" w:hanging="314"/>
        <w:spacing w:after="0" w:line="246"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Employees with a fully executed Employee Agreement on file are eligible for this Plan. Employees who do not have an executed agreement on file will forfeit (1) all future incentive payments, and (2) future base salary increases.</w:t>
      </w:r>
    </w:p>
    <w:p>
      <w:pPr>
        <w:spacing w:after="0" w:line="7" w:lineRule="exact"/>
        <w:rPr>
          <w:rFonts w:ascii="Arial" w:cs="Arial" w:eastAsia="Arial" w:hAnsi="Arial"/>
          <w:sz w:val="18"/>
          <w:szCs w:val="18"/>
          <w:color w:val="auto"/>
        </w:rPr>
      </w:pPr>
    </w:p>
    <w:p>
      <w:pPr>
        <w:ind w:left="314" w:right="380" w:hanging="314"/>
        <w:spacing w:after="0" w:line="246"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Plan Participants must, at all times, remain in compliance with Latham policies and procedures, including its Code of Conduct and Ethics.</w:t>
      </w:r>
    </w:p>
    <w:p>
      <w:pPr>
        <w:spacing w:after="0" w:line="7" w:lineRule="exact"/>
        <w:rPr>
          <w:rFonts w:ascii="Arial" w:cs="Arial" w:eastAsia="Arial" w:hAnsi="Arial"/>
          <w:sz w:val="18"/>
          <w:szCs w:val="18"/>
          <w:color w:val="auto"/>
        </w:rPr>
      </w:pPr>
    </w:p>
    <w:p>
      <w:pPr>
        <w:ind w:left="314" w:hanging="314"/>
        <w:spacing w:after="0"/>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reserves the right to modify, suspend or cancel this Plan due to business conditions at any time it sees fit.</w:t>
      </w:r>
    </w:p>
    <w:p>
      <w:pPr>
        <w:spacing w:after="0" w:line="9" w:lineRule="exact"/>
        <w:rPr>
          <w:rFonts w:ascii="Arial" w:cs="Arial" w:eastAsia="Arial" w:hAnsi="Arial"/>
          <w:sz w:val="18"/>
          <w:szCs w:val="18"/>
          <w:color w:val="auto"/>
        </w:rPr>
      </w:pPr>
    </w:p>
    <w:p>
      <w:pPr>
        <w:ind w:left="314" w:right="340" w:hanging="314"/>
        <w:spacing w:after="0" w:line="248"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by the Company to insist on strict compliance with the terms and conditions of this Plan shall not constitute or operate as a waiver of such terms and conditions. Waiver by either party of any breach or default by the other with respect to any of the terms and conditions of this Plan shall not operate as a waiver of any other breach or default.</w:t>
      </w:r>
    </w:p>
    <w:p>
      <w:pPr>
        <w:spacing w:after="0" w:line="6" w:lineRule="exact"/>
        <w:rPr>
          <w:rFonts w:ascii="Arial" w:cs="Arial" w:eastAsia="Arial" w:hAnsi="Arial"/>
          <w:sz w:val="18"/>
          <w:szCs w:val="18"/>
          <w:color w:val="auto"/>
        </w:rPr>
      </w:pPr>
    </w:p>
    <w:p>
      <w:pPr>
        <w:ind w:left="314" w:right="100" w:hanging="314"/>
        <w:spacing w:after="0" w:line="248"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portion of this Plan is held by a court of competent jurisdiction to be invalid or unenforceable or to conflict with any federal, state, or local law, such portion(s) are hereby declared to be of no force or effect in such jurisdiction, and the remaining portions of this Plan shall remain in full force and effect and be construed as if such portion does not exist.</w:t>
      </w:r>
    </w:p>
    <w:p>
      <w:pPr>
        <w:spacing w:after="0" w:line="6" w:lineRule="exact"/>
        <w:rPr>
          <w:rFonts w:ascii="Arial" w:cs="Arial" w:eastAsia="Arial" w:hAnsi="Arial"/>
          <w:sz w:val="18"/>
          <w:szCs w:val="18"/>
          <w:color w:val="auto"/>
        </w:rPr>
      </w:pPr>
    </w:p>
    <w:p>
      <w:pPr>
        <w:ind w:left="314" w:right="60" w:hanging="314"/>
        <w:spacing w:after="0" w:line="247"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complete discretion as to any decision or interpretation of the terms, eligibility, and calculation of payments within the parameters of this Plan. Any decision or interpretation by the Company shall be final and binding upon all Plan Participants. The Company reserves the right and has the sole discretion to alter, amend, suspend, or terminate any part of this Plan at any time, with or without cause, and with or without prior notice to Plan Participants. No prior or subsequent oral representations that are inconsistent with or different from the terms of this Plan will be binding upon the Company.</w:t>
      </w:r>
    </w:p>
    <w:p>
      <w:pPr>
        <w:spacing w:after="0" w:line="4" w:lineRule="exact"/>
        <w:rPr>
          <w:rFonts w:ascii="Arial" w:cs="Arial" w:eastAsia="Arial" w:hAnsi="Arial"/>
          <w:sz w:val="18"/>
          <w:szCs w:val="18"/>
          <w:color w:val="auto"/>
        </w:rPr>
      </w:pPr>
    </w:p>
    <w:p>
      <w:pPr>
        <w:jc w:val="both"/>
        <w:ind w:left="314" w:hanging="314"/>
        <w:spacing w:after="0" w:line="248"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Plan Participant’s employment with the Company is “at will.” This Plan is not a contract of employment for a definite term, and employment with the Company is for an indefinite period of time and is terminable at will, at any time, for any reason, with or without notice.</w:t>
      </w:r>
    </w:p>
    <w:p>
      <w:pPr>
        <w:spacing w:after="0" w:line="6" w:lineRule="exact"/>
        <w:rPr>
          <w:rFonts w:ascii="Arial" w:cs="Arial" w:eastAsia="Arial" w:hAnsi="Arial"/>
          <w:sz w:val="18"/>
          <w:szCs w:val="18"/>
          <w:color w:val="auto"/>
        </w:rPr>
      </w:pPr>
    </w:p>
    <w:p>
      <w:pPr>
        <w:ind w:left="314" w:right="20" w:hanging="314"/>
        <w:spacing w:after="0" w:line="248"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required by applicable law (including, without limitation, Section 304 of the Sarbanes-Oxley Act and Section 954 of the Dodd-Frank Wall Street Reform and Consumer Protection Act) and/or the rules and regulations of the NASDAQ or any other securities exchange or inter-dealer quotation service on which the common stock of Latham Group, Inc. is listed or quoted, or if so required pursuant to a written policy adopted by the Company, the Plan and the amounts payable hereunder shall be subject (including on a retroactive basis) to clawback, forfeiture or similar requirements (and such requirements shall be deemed incorporated by reference into all applicable agreements with respect to this Plan).</w:t>
      </w:r>
    </w:p>
    <w:p>
      <w:pPr>
        <w:spacing w:after="0" w:line="1" w:lineRule="exact"/>
        <w:rPr>
          <w:rFonts w:ascii="Arial" w:cs="Arial" w:eastAsia="Arial" w:hAnsi="Arial"/>
          <w:sz w:val="18"/>
          <w:szCs w:val="18"/>
          <w:color w:val="auto"/>
        </w:rPr>
      </w:pPr>
    </w:p>
    <w:p>
      <w:pPr>
        <w:ind w:left="314" w:right="260" w:hanging="314"/>
        <w:spacing w:after="0" w:line="246"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any conflict between the terms of this Plan and any employment, change-in-control, severance or other agreement in effect with the Participant, the terms of such other agreement shall control.</w:t>
      </w:r>
    </w:p>
    <w:p>
      <w:pPr>
        <w:spacing w:after="0" w:line="7" w:lineRule="exact"/>
        <w:rPr>
          <w:rFonts w:ascii="Arial" w:cs="Arial" w:eastAsia="Arial" w:hAnsi="Arial"/>
          <w:sz w:val="18"/>
          <w:szCs w:val="18"/>
          <w:color w:val="auto"/>
        </w:rPr>
      </w:pPr>
    </w:p>
    <w:p>
      <w:pPr>
        <w:ind w:left="314" w:right="120" w:hanging="314"/>
        <w:spacing w:after="0" w:line="248"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in this Plan to the contrary, if it is determined that any payment hereunder constitutes “nonqualified deferred compensation” that would be paid upon “separation from service” of a “specified employee” (as such terms are defined in Section 409A of the Internal Revenue Code of 1986, as amended), then such payment that otherwise would have been paid within six months after the Participant’s “separation from service” shall be accrued, without interest, and its payment delayed until the first day of the seventh month following the Participant’s “separation from service,” or if earlier, the Participant’s death, at which point the accrued amount will be paid as a single, lump sum cash payment. It is intended that this Plan be exempt from or comply with Section 409A of the Code, and this Plan shall be interpreted and administered consistent with that intent; provided, however, that under no circumstances whatsoever shall the Company be liable for any additional tax, interest or penalty imposed upon a Participant, or any other damage suffered by a Participant, on account of the bonus plan being subject to but not in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487045</wp:posOffset>
            </wp:positionV>
            <wp:extent cx="660082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6600825" cy="26035"/>
                    </a:xfrm>
                    <a:prstGeom prst="rect">
                      <a:avLst/>
                    </a:prstGeom>
                    <a:noFill/>
                  </pic:spPr>
                </pic:pic>
              </a:graphicData>
            </a:graphic>
          </wp:anchor>
        </w:drawing>
      </w:r>
    </w:p>
    <w:p>
      <w:pPr>
        <w:sectPr>
          <w:pgSz w:w="11900" w:h="16838" w:orient="portrait"/>
          <w:cols w:equalWidth="0" w:num="1">
            <w:col w:w="9954"/>
          </w:cols>
          <w:pgMar w:left="1186" w:top="922" w:right="7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ind w:left="1560"/>
              <w:spacing w:after="0"/>
              <w:rPr>
                <w:sz w:val="20"/>
                <w:szCs w:val="20"/>
                <w:color w:val="auto"/>
              </w:rPr>
            </w:pPr>
            <w:r>
              <w:rPr>
                <w:rFonts w:ascii="Arial" w:cs="Arial" w:eastAsia="Arial" w:hAnsi="Arial"/>
                <w:sz w:val="18"/>
                <w:szCs w:val="18"/>
                <w:b w:val="1"/>
                <w:bCs w:val="1"/>
                <w:color w:val="auto"/>
                <w:w w:val="89"/>
              </w:rPr>
              <w:t>Exhibit 21.1</w:t>
            </w:r>
          </w:p>
        </w:tc>
      </w:tr>
      <w:tr>
        <w:trPr>
          <w:trHeight w:val="805"/>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ind w:left="2740"/>
              <w:spacing w:after="0"/>
              <w:rPr>
                <w:sz w:val="20"/>
                <w:szCs w:val="20"/>
                <w:color w:val="auto"/>
              </w:rPr>
            </w:pPr>
            <w:r>
              <w:rPr>
                <w:rFonts w:ascii="Arial" w:cs="Arial" w:eastAsia="Arial" w:hAnsi="Arial"/>
                <w:sz w:val="18"/>
                <w:szCs w:val="18"/>
                <w:b w:val="1"/>
                <w:bCs w:val="1"/>
                <w:color w:val="auto"/>
              </w:rPr>
              <w:t>Subsidiaries of the Registrant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b w:val="1"/>
                <w:bCs w:val="1"/>
                <w:color w:val="auto"/>
              </w:rPr>
              <w:t>Entity</w:t>
            </w:r>
          </w:p>
        </w:tc>
        <w:tc>
          <w:tcPr>
            <w:tcW w:w="2700" w:type="dxa"/>
            <w:vAlign w:val="bottom"/>
            <w:gridSpan w:val="3"/>
          </w:tcPr>
          <w:p>
            <w:pPr>
              <w:ind w:left="220"/>
              <w:spacing w:after="0"/>
              <w:rPr>
                <w:sz w:val="20"/>
                <w:szCs w:val="20"/>
                <w:color w:val="auto"/>
              </w:rPr>
            </w:pPr>
            <w:r>
              <w:rPr>
                <w:rFonts w:ascii="Arial" w:cs="Arial" w:eastAsia="Arial" w:hAnsi="Arial"/>
                <w:sz w:val="18"/>
                <w:szCs w:val="18"/>
                <w:b w:val="1"/>
                <w:bCs w:val="1"/>
                <w:color w:val="auto"/>
              </w:rPr>
              <w:t>Jurisdiction of Organization</w:t>
            </w:r>
          </w:p>
        </w:tc>
      </w:tr>
      <w:tr>
        <w:trPr>
          <w:trHeight w:val="209"/>
        </w:trPr>
        <w:tc>
          <w:tcPr>
            <w:tcW w:w="880" w:type="dxa"/>
            <w:vAlign w:val="bottom"/>
            <w:tcBorders>
              <w:top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1.</w:t>
            </w:r>
          </w:p>
        </w:tc>
        <w:tc>
          <w:tcPr>
            <w:tcW w:w="24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Latham Intermediate Holdings, LLC</w:t>
            </w:r>
          </w:p>
        </w:tc>
        <w:tc>
          <w:tcPr>
            <w:tcW w:w="2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US,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3.</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Purchaser Holdings, LLC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4.</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Purchaser Parent, Inc.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Purchaser,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6.</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LPP Holdings Inc.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7.</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International Holdings,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92"/>
              </w:rPr>
              <w:t>8.</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Latham International Manufacturing Corp.</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Pool Products, Inc.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10.</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Pool Cover Specialists,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Utah</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11.</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Pacific Pools Europe S.à r.l.</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France</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LPP US,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13.</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Latham Pool Products ULC/Produits de Piscine Latham ULC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14.</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Group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15.</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Pools Pty Ltd</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16.</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Franchise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17.</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Innovations Unit Trust</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18.</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Innovations Pty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19.</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Narellan Pools (NZ) Pty Ltd</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New Zealand</w:t>
            </w:r>
          </w:p>
        </w:tc>
      </w:tr>
      <w:tr>
        <w:trPr>
          <w:trHeight w:val="216"/>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20.</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Narellan Pools (Canada) Ltd</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Canada</w:t>
            </w:r>
          </w:p>
        </w:tc>
      </w:tr>
      <w:tr>
        <w:trPr>
          <w:trHeight w:val="216"/>
        </w:trPr>
        <w:tc>
          <w:tcPr>
            <w:tcW w:w="8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21.</w:t>
            </w: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GL International, LLC</w:t>
            </w:r>
          </w:p>
        </w:tc>
        <w:tc>
          <w:tcPr>
            <w:tcW w:w="2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Delaware</w:t>
            </w:r>
          </w:p>
        </w:tc>
      </w:tr>
      <w:tr>
        <w:trPr>
          <w:trHeight w:val="230"/>
        </w:trPr>
        <w:tc>
          <w:tcPr>
            <w:tcW w:w="880" w:type="dxa"/>
            <w:vAlign w:val="bottom"/>
          </w:tcPr>
          <w:p>
            <w:pPr>
              <w:jc w:val="center"/>
              <w:ind w:left="50"/>
              <w:spacing w:after="0"/>
              <w:rPr>
                <w:sz w:val="20"/>
                <w:szCs w:val="20"/>
                <w:color w:val="auto"/>
              </w:rPr>
            </w:pPr>
            <w:r>
              <w:rPr>
                <w:rFonts w:ascii="Arial" w:cs="Arial" w:eastAsia="Arial" w:hAnsi="Arial"/>
                <w:sz w:val="18"/>
                <w:szCs w:val="18"/>
                <w:color w:val="auto"/>
                <w:w w:val="87"/>
              </w:rPr>
              <w:t>22.</w:t>
            </w: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Trojan Leisure Products, LLC</w:t>
            </w:r>
          </w:p>
        </w:tc>
        <w:tc>
          <w:tcPr>
            <w:tcW w:w="2700" w:type="dxa"/>
            <w:vAlign w:val="bottom"/>
            <w:gridSpan w:val="3"/>
          </w:tcPr>
          <w:p>
            <w:pPr>
              <w:ind w:left="220"/>
              <w:spacing w:after="0"/>
              <w:rPr>
                <w:sz w:val="20"/>
                <w:szCs w:val="20"/>
                <w:color w:val="auto"/>
              </w:rPr>
            </w:pPr>
            <w:r>
              <w:rPr>
                <w:rFonts w:ascii="Arial" w:cs="Arial" w:eastAsia="Arial" w:hAnsi="Arial"/>
                <w:sz w:val="18"/>
                <w:szCs w:val="18"/>
                <w:color w:val="auto"/>
              </w:rPr>
              <w:t>New York</w:t>
            </w:r>
          </w:p>
        </w:tc>
      </w:tr>
      <w:tr>
        <w:trPr>
          <w:trHeight w:val="749"/>
        </w:trPr>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8" w:name="page139"/>
    <w:bookmarkEnd w:id="138"/>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333-255439 on Form S-8 of our report dated March 7, 2023, relating to the financial statements of Latham Group, Inc. and subsidiaries (the “Company”) appearing in this Annual Report on Form 10-K for the year ended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Hartford, Connecticut</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Scott M. Rajeski, certify that:</w:t>
      </w:r>
    </w:p>
    <w:p>
      <w:pPr>
        <w:spacing w:after="0" w:line="90"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Latham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March 7, 2023</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Scott M. Rajeski</w:t>
            </w:r>
          </w:p>
        </w:tc>
      </w:tr>
      <w:tr>
        <w:trPr>
          <w:trHeight w:val="195"/>
        </w:trPr>
        <w:tc>
          <w:tcPr>
            <w:tcW w:w="532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M. Rajeski</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w:t>
            </w:r>
          </w:p>
        </w:tc>
      </w:tr>
      <w:tr>
        <w:trPr>
          <w:trHeight w:val="230"/>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1182"/>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 Robert L. Masson II, certify that:</w:t>
      </w:r>
    </w:p>
    <w:p>
      <w:pPr>
        <w:spacing w:after="0" w:line="9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Latham Group,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March 7, 2023</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Robert L. Masson II</w:t>
            </w:r>
          </w:p>
        </w:tc>
      </w:tr>
      <w:tr>
        <w:trPr>
          <w:trHeight w:val="195"/>
        </w:trPr>
        <w:tc>
          <w:tcPr>
            <w:tcW w:w="532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92"/>
              </w:rPr>
              <w:t>Robert L. Masson II</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r>
        <w:trPr>
          <w:trHeight w:val="804"/>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1" w:name="page142"/>
    <w:bookmarkEnd w:id="141"/>
    <w:p>
      <w:pPr>
        <w:jc w:val="right"/>
        <w:ind w:right="47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0" w:right="679"/>
        <w:spacing w:after="0" w:line="301" w:lineRule="auto"/>
        <w:rPr>
          <w:sz w:val="20"/>
          <w:szCs w:val="20"/>
          <w:color w:val="auto"/>
        </w:rPr>
      </w:pPr>
      <w:r>
        <w:rPr>
          <w:rFonts w:ascii="Arial" w:cs="Arial" w:eastAsia="Arial" w:hAnsi="Arial"/>
          <w:sz w:val="16"/>
          <w:szCs w:val="16"/>
          <w:color w:val="auto"/>
        </w:rPr>
        <w:t>In connection with the Annual Report on Form 10-K for the period ended December 31, 2022 of Latham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Scott M. Rajeski, Chief Executive Officer and President of the Company, certify, pursuant to 18 U.S.C. Section 1350, as adopted pursuant to Section 906 of the Sarbanes-Oxley Act of 2002, that:</w:t>
      </w:r>
    </w:p>
    <w:p>
      <w:pPr>
        <w:spacing w:after="0" w:line="157" w:lineRule="exact"/>
        <w:rPr>
          <w:sz w:val="20"/>
          <w:szCs w:val="20"/>
          <w:color w:val="auto"/>
        </w:rPr>
      </w:pPr>
    </w:p>
    <w:p>
      <w:pPr>
        <w:ind w:left="1260" w:right="1219" w:hanging="331"/>
        <w:spacing w:after="0" w:line="277" w:lineRule="auto"/>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260" w:right="1099" w:hanging="331"/>
        <w:spacing w:after="0" w:line="277" w:lineRule="auto"/>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7, 2023</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Scott M. Rajeski</w:t>
            </w:r>
          </w:p>
        </w:tc>
      </w:tr>
      <w:tr>
        <w:trPr>
          <w:trHeight w:val="195"/>
        </w:trPr>
        <w:tc>
          <w:tcPr>
            <w:tcW w:w="4240" w:type="dxa"/>
            <w:vAlign w:val="bottom"/>
          </w:tcPr>
          <w:p>
            <w:pPr>
              <w:spacing w:after="0"/>
              <w:rPr>
                <w:sz w:val="16"/>
                <w:szCs w:val="16"/>
                <w:color w:val="auto"/>
              </w:rPr>
            </w:pPr>
          </w:p>
        </w:tc>
        <w:tc>
          <w:tcPr>
            <w:tcW w:w="3680" w:type="dxa"/>
            <w:vAlign w:val="bottom"/>
          </w:tcPr>
          <w:p>
            <w:pPr>
              <w:jc w:val="center"/>
              <w:spacing w:after="0" w:line="195" w:lineRule="exact"/>
              <w:rPr>
                <w:sz w:val="20"/>
                <w:szCs w:val="20"/>
                <w:color w:val="auto"/>
              </w:rPr>
            </w:pPr>
            <w:r>
              <w:rPr>
                <w:rFonts w:ascii="Arial" w:cs="Arial" w:eastAsia="Arial" w:hAnsi="Arial"/>
                <w:sz w:val="18"/>
                <w:szCs w:val="18"/>
                <w:color w:val="auto"/>
                <w:w w:val="92"/>
              </w:rPr>
              <w:t>Scott M. Rajeski</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Chief Executive Officer and President</w:t>
            </w:r>
          </w:p>
        </w:tc>
      </w:tr>
      <w:tr>
        <w:trPr>
          <w:trHeight w:val="230"/>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29" w:lineRule="exact"/>
        <w:rPr>
          <w:sz w:val="20"/>
          <w:szCs w:val="20"/>
          <w:color w:val="auto"/>
        </w:rPr>
      </w:pPr>
    </w:p>
    <w:p>
      <w:pPr>
        <w:jc w:val="both"/>
        <w:ind w:left="600" w:right="479"/>
        <w:spacing w:after="0" w:line="255"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337185</wp:posOffset>
            </wp:positionV>
            <wp:extent cx="504063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2" w:name="page143"/>
    <w:bookmarkEnd w:id="142"/>
    <w:p>
      <w:pPr>
        <w:jc w:val="right"/>
        <w:ind w:right="479"/>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0" w:right="679"/>
        <w:spacing w:after="0" w:line="301" w:lineRule="auto"/>
        <w:rPr>
          <w:sz w:val="20"/>
          <w:szCs w:val="20"/>
          <w:color w:val="auto"/>
        </w:rPr>
      </w:pPr>
      <w:r>
        <w:rPr>
          <w:rFonts w:ascii="Arial" w:cs="Arial" w:eastAsia="Arial" w:hAnsi="Arial"/>
          <w:sz w:val="16"/>
          <w:szCs w:val="16"/>
          <w:color w:val="auto"/>
        </w:rPr>
        <w:t>In connection with the Annual Report on Form 10-K for the period ended December 31, 2022 of Latham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Robert L. Masson II, Chief Financial Officer of the Company, certify, pursuant to 18 U.S.C. Section 1350, as adopted pursuant to Section 906 of the Sarbanes-Oxley Act of 2002, that:</w:t>
      </w:r>
    </w:p>
    <w:p>
      <w:pPr>
        <w:spacing w:after="0" w:line="157" w:lineRule="exact"/>
        <w:rPr>
          <w:sz w:val="20"/>
          <w:szCs w:val="20"/>
          <w:color w:val="auto"/>
        </w:rPr>
      </w:pPr>
    </w:p>
    <w:p>
      <w:pPr>
        <w:ind w:left="1260" w:right="1219" w:hanging="331"/>
        <w:spacing w:after="0" w:line="277" w:lineRule="auto"/>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260" w:right="1099" w:hanging="331"/>
        <w:spacing w:after="0" w:line="277" w:lineRule="auto"/>
        <w:tabs>
          <w:tab w:leader="none" w:pos="1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March 7, 2023</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Robert L. Masson II</w:t>
            </w:r>
          </w:p>
        </w:tc>
      </w:tr>
      <w:tr>
        <w:trPr>
          <w:trHeight w:val="195"/>
        </w:trPr>
        <w:tc>
          <w:tcPr>
            <w:tcW w:w="4240" w:type="dxa"/>
            <w:vAlign w:val="bottom"/>
          </w:tcPr>
          <w:p>
            <w:pPr>
              <w:spacing w:after="0"/>
              <w:rPr>
                <w:sz w:val="16"/>
                <w:szCs w:val="16"/>
                <w:color w:val="auto"/>
              </w:rPr>
            </w:pPr>
          </w:p>
        </w:tc>
        <w:tc>
          <w:tcPr>
            <w:tcW w:w="3680" w:type="dxa"/>
            <w:vAlign w:val="bottom"/>
          </w:tcPr>
          <w:p>
            <w:pPr>
              <w:jc w:val="center"/>
              <w:spacing w:after="0" w:line="195" w:lineRule="exact"/>
              <w:rPr>
                <w:sz w:val="20"/>
                <w:szCs w:val="20"/>
                <w:color w:val="auto"/>
              </w:rPr>
            </w:pPr>
            <w:r>
              <w:rPr>
                <w:rFonts w:ascii="Arial" w:cs="Arial" w:eastAsia="Arial" w:hAnsi="Arial"/>
                <w:sz w:val="18"/>
                <w:szCs w:val="18"/>
                <w:color w:val="auto"/>
                <w:w w:val="92"/>
              </w:rPr>
              <w:t>Robert L. Masson II</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Latham Group, Inc.</w:t>
            </w:r>
          </w:p>
        </w:tc>
      </w:tr>
    </w:tbl>
    <w:p>
      <w:pPr>
        <w:spacing w:after="0" w:line="229" w:lineRule="exact"/>
        <w:rPr>
          <w:sz w:val="20"/>
          <w:szCs w:val="20"/>
          <w:color w:val="auto"/>
        </w:rPr>
      </w:pPr>
    </w:p>
    <w:p>
      <w:pPr>
        <w:jc w:val="both"/>
        <w:ind w:left="600" w:right="479"/>
        <w:spacing w:after="0" w:line="255"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577215</wp:posOffset>
            </wp:positionV>
            <wp:extent cx="504063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lowerRoman"/>
      <w:start w:val="2"/>
    </w:lvl>
  </w:abstractNum>
  <w:abstractNum w:abstractNumId="20">
    <w:nsid w:val="4F4EF005"/>
    <w:multiLevelType w:val="hybridMultilevel"/>
    <w:lvl w:ilvl="0">
      <w:lvlJc w:val="left"/>
      <w:lvlText w:val="(%1)"/>
      <w:numFmt w:val="lowerRoman"/>
      <w:start w:val="5"/>
    </w:lvl>
  </w:abstractNum>
  <w:abstractNum w:abstractNumId="21">
    <w:nsid w:val="23F9C13C"/>
    <w:multiLevelType w:val="hybridMultilevel"/>
    <w:lvl w:ilvl="0">
      <w:lvlJc w:val="left"/>
      <w:lvlText w:val="(%1)"/>
      <w:numFmt w:val="lowerRoman"/>
      <w:start w:val="1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lowerLetter"/>
      <w:start w:val="1"/>
    </w:lvl>
  </w:abstractNum>
  <w:abstractNum w:abstractNumId="25">
    <w:nsid w:val="1CF10FD8"/>
    <w:multiLevelType w:val="hybridMultilevel"/>
    <w:lvl w:ilvl="0">
      <w:lvlJc w:val="left"/>
      <w:lvlText w:val="(%1)"/>
      <w:numFmt w:val="lowerLetter"/>
      <w:start w:val="4"/>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1."/>
      <w:numFmt w:val="decimal"/>
      <w:start w:val="2"/>
    </w:lvl>
  </w:abstractNum>
  <w:abstractNum w:abstractNumId="28">
    <w:nsid w:val="47398C89"/>
    <w:multiLevelType w:val="hybridMultilevel"/>
    <w:lvl w:ilvl="0">
      <w:lvlJc w:val="left"/>
      <w:lvlText w:val="(%1)"/>
      <w:numFmt w:val="lowerRoman"/>
      <w:start w:val="4"/>
    </w:lvl>
  </w:abstractNum>
  <w:abstractNum w:abstractNumId="29">
    <w:nsid w:val="354FE9F9"/>
    <w:multiLevelType w:val="hybridMultilevel"/>
    <w:lvl w:ilvl="0">
      <w:lvlJc w:val="left"/>
      <w:lvlText w:val="(%1)"/>
      <w:numFmt w:val="lowerRoman"/>
      <w:start w:val="2"/>
    </w:lvl>
  </w:abstractNum>
  <w:abstractNum w:abstractNumId="30">
    <w:nsid w:val="15B5AF5C"/>
    <w:multiLevelType w:val="hybridMultilevel"/>
    <w:lvl w:ilvl="0">
      <w:lvlJc w:val="left"/>
      <w:lvlText w:val="(%1)"/>
      <w:numFmt w:val="lowerRoman"/>
      <w:start w:val="2"/>
    </w:lvl>
  </w:abstractNum>
  <w:abstractNum w:abstractNumId="31">
    <w:nsid w:val="741226BB"/>
    <w:multiLevelType w:val="hybridMultilevel"/>
    <w:lvl w:ilvl="0">
      <w:lvlJc w:val="left"/>
      <w:lvlText w:val="%1."/>
      <w:numFmt w:val="decimal"/>
      <w:start w:val="3"/>
    </w:lvl>
  </w:abstractNum>
  <w:abstractNum w:abstractNumId="32">
    <w:nsid w:val="D34B6A8"/>
    <w:multiLevelType w:val="hybridMultilevel"/>
    <w:lvl w:ilvl="0">
      <w:lvlJc w:val="left"/>
      <w:lvlText w:val="%1."/>
      <w:numFmt w:val="decimal"/>
      <w:start w:val="4"/>
    </w:lvl>
  </w:abstractNum>
  <w:abstractNum w:abstractNumId="33">
    <w:nsid w:val="10233C99"/>
    <w:multiLevelType w:val="hybridMultilevel"/>
    <w:lvl w:ilvl="0">
      <w:lvlJc w:val="left"/>
      <w:lvlText w:val="%1."/>
      <w:numFmt w:val="decimal"/>
      <w:start w:val="5"/>
    </w:lvl>
  </w:abstractNum>
  <w:abstractNum w:abstractNumId="34">
    <w:nsid w:val="3F6AB60F"/>
    <w:multiLevelType w:val="hybridMultilevel"/>
    <w:lvl w:ilvl="0">
      <w:lvlJc w:val="left"/>
      <w:lvlText w:val="%1."/>
      <w:numFmt w:val="decimal"/>
      <w:start w:val="6"/>
    </w:lvl>
  </w:abstractNum>
  <w:abstractNum w:abstractNumId="35">
    <w:nsid w:val="61574095"/>
    <w:multiLevelType w:val="hybridMultilevel"/>
    <w:lvl w:ilvl="0">
      <w:lvlJc w:val="left"/>
      <w:lvlText w:val="%1."/>
      <w:numFmt w:val="decimal"/>
      <w:start w:val="7"/>
    </w:lvl>
  </w:abstractNum>
  <w:abstractNum w:abstractNumId="36">
    <w:nsid w:val="7E0C57B1"/>
    <w:multiLevelType w:val="hybridMultilevel"/>
    <w:lvl w:ilvl="0">
      <w:lvlJc w:val="left"/>
      <w:lvlText w:val="%1."/>
      <w:numFmt w:val="decimal"/>
      <w:start w:val="8"/>
    </w:lvl>
  </w:abstractNum>
  <w:abstractNum w:abstractNumId="37">
    <w:nsid w:val="77AE35EB"/>
    <w:multiLevelType w:val="hybridMultilevel"/>
    <w:lvl w:ilvl="0">
      <w:lvlJc w:val="left"/>
      <w:lvlText w:val="%1."/>
      <w:numFmt w:val="decimal"/>
      <w:start w:val="9"/>
    </w:lvl>
  </w:abstractNum>
  <w:abstractNum w:abstractNumId="38">
    <w:nsid w:val="579BE4F1"/>
    <w:multiLevelType w:val="hybridMultilevel"/>
    <w:lvl w:ilvl="0">
      <w:lvlJc w:val="left"/>
      <w:lvlText w:val="(%1)"/>
      <w:numFmt w:val="decimal"/>
      <w:start w:val="2"/>
    </w:lvl>
  </w:abstractNum>
  <w:abstractNum w:abstractNumId="39">
    <w:nsid w:val="310C50B3"/>
    <w:multiLevelType w:val="hybridMultilevel"/>
    <w:lvl w:ilvl="0">
      <w:lvlJc w:val="left"/>
      <w:lvlText w:val="%1."/>
      <w:numFmt w:val="decimal"/>
      <w:start w:val="10"/>
    </w:lvl>
  </w:abstractNum>
  <w:abstractNum w:abstractNumId="40">
    <w:nsid w:val="5FF87E05"/>
    <w:multiLevelType w:val="hybridMultilevel"/>
    <w:lvl w:ilvl="0">
      <w:lvlJc w:val="left"/>
      <w:lvlText w:val="%1."/>
      <w:numFmt w:val="decimal"/>
      <w:start w:val="11"/>
    </w:lvl>
  </w:abstractNum>
  <w:abstractNum w:abstractNumId="41">
    <w:nsid w:val="2F305DEF"/>
    <w:multiLevelType w:val="hybridMultilevel"/>
    <w:lvl w:ilvl="0">
      <w:lvlJc w:val="left"/>
      <w:lvlText w:val="%1."/>
      <w:numFmt w:val="decimal"/>
      <w:start w:val="12"/>
    </w:lvl>
  </w:abstractNum>
  <w:abstractNum w:abstractNumId="42">
    <w:nsid w:val="25A70BF7"/>
    <w:multiLevelType w:val="hybridMultilevel"/>
    <w:lvl w:ilvl="0">
      <w:lvlJc w:val="left"/>
      <w:lvlText w:val="%1."/>
      <w:numFmt w:val="decimal"/>
      <w:start w:val="13"/>
    </w:lvl>
  </w:abstractNum>
  <w:abstractNum w:abstractNumId="43">
    <w:nsid w:val="1DBABF00"/>
    <w:multiLevelType w:val="hybridMultilevel"/>
    <w:lvl w:ilvl="0">
      <w:lvlJc w:val="left"/>
      <w:lvlText w:val="%1."/>
      <w:numFmt w:val="decimal"/>
      <w:start w:val="14"/>
    </w:lvl>
  </w:abstractNum>
  <w:abstractNum w:abstractNumId="44">
    <w:nsid w:val="4AD084E9"/>
    <w:multiLevelType w:val="hybridMultilevel"/>
    <w:lvl w:ilvl="0">
      <w:lvlJc w:val="left"/>
      <w:lvlText w:val="%1."/>
      <w:numFmt w:val="decimal"/>
      <w:start w:val="15"/>
    </w:lvl>
  </w:abstractNum>
  <w:abstractNum w:abstractNumId="45">
    <w:nsid w:val="1F48EAA1"/>
    <w:multiLevelType w:val="hybridMultilevel"/>
    <w:lvl w:ilvl="0">
      <w:lvlJc w:val="left"/>
      <w:lvlText w:val="%1."/>
      <w:numFmt w:val="decimal"/>
      <w:start w:val="16"/>
    </w:lvl>
  </w:abstractNum>
  <w:abstractNum w:abstractNumId="46">
    <w:nsid w:val="1381823A"/>
    <w:multiLevelType w:val="hybridMultilevel"/>
    <w:lvl w:ilvl="0">
      <w:lvlJc w:val="left"/>
      <w:lvlText w:val="%1."/>
      <w:numFmt w:val="decimal"/>
      <w:start w:val="17"/>
    </w:lvl>
  </w:abstractNum>
  <w:abstractNum w:abstractNumId="47">
    <w:nsid w:val="5DB70AE5"/>
    <w:multiLevelType w:val="hybridMultilevel"/>
    <w:lvl w:ilvl="0">
      <w:lvlJc w:val="left"/>
      <w:lvlText w:val="%1."/>
      <w:numFmt w:val="decimal"/>
      <w:start w:val="18"/>
    </w:lvl>
  </w:abstractNum>
  <w:abstractNum w:abstractNumId="48">
    <w:nsid w:val="100F8FCA"/>
    <w:multiLevelType w:val="hybridMultilevel"/>
    <w:lvl w:ilvl="0">
      <w:lvlJc w:val="left"/>
      <w:lvlText w:val="%1."/>
      <w:numFmt w:val="decimal"/>
      <w:start w:val="19"/>
    </w:lvl>
  </w:abstractNum>
  <w:abstractNum w:abstractNumId="49">
    <w:nsid w:val="6590700B"/>
    <w:multiLevelType w:val="hybridMultilevel"/>
    <w:lvl w:ilvl="0">
      <w:lvlJc w:val="left"/>
      <w:lvlText w:val="%1."/>
      <w:numFmt w:val="decimal"/>
      <w:start w:val="20"/>
    </w:lvl>
  </w:abstractNum>
  <w:abstractNum w:abstractNumId="50">
    <w:nsid w:val="15014ACB"/>
    <w:multiLevelType w:val="hybridMultilevel"/>
    <w:lvl w:ilvl="0">
      <w:lvlJc w:val="left"/>
      <w:lvlText w:val="%1."/>
      <w:numFmt w:val="decimal"/>
      <w:start w:val="21"/>
    </w:lvl>
  </w:abstractNum>
  <w:abstractNum w:abstractNumId="51">
    <w:nsid w:val="5F5E7FD0"/>
    <w:multiLevelType w:val="hybridMultilevel"/>
    <w:lvl w:ilvl="0">
      <w:lvlJc w:val="left"/>
      <w:lvlText w:val="%1."/>
      <w:numFmt w:val="decimal"/>
      <w:start w:val="22"/>
    </w:lvl>
  </w:abstractNum>
  <w:abstractNum w:abstractNumId="52">
    <w:nsid w:val="98A3148"/>
    <w:multiLevelType w:val="hybridMultilevel"/>
    <w:lvl w:ilvl="0">
      <w:lvlJc w:val="left"/>
      <w:lvlText w:val="%1."/>
      <w:numFmt w:val="decimal"/>
      <w:start w:val="23"/>
    </w:lvl>
  </w:abstractNum>
  <w:abstractNum w:abstractNumId="53">
    <w:nsid w:val="799D0247"/>
    <w:multiLevelType w:val="hybridMultilevel"/>
    <w:lvl w:ilvl="0">
      <w:lvlJc w:val="left"/>
      <w:lvlText w:val="%1."/>
      <w:numFmt w:val="decimal"/>
      <w:start w:val="24"/>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2"/>
    </w:lvl>
  </w:abstractNum>
  <w:abstractNum w:abstractNumId="56">
    <w:nsid w:val="168E121F"/>
    <w:multiLevelType w:val="hybridMultilevel"/>
    <w:lvl w:ilvl="0">
      <w:lvlJc w:val="left"/>
      <w:lvlText w:val="(%1)"/>
      <w:numFmt w:val="lowerLetter"/>
      <w:start w:val="1"/>
    </w:lvl>
    <w:lvl w:ilvl="1">
      <w:lvlJc w:val="left"/>
      <w:lvlText w:val="%2)"/>
      <w:numFmt w:val="decimal"/>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decimal"/>
      <w:start w:val="1"/>
    </w:lvl>
    <w:lvl w:ilvl="1">
      <w:lvlJc w:val="left"/>
      <w:lvlText w:val="(%2)"/>
      <w:numFmt w:val="lowerLetter"/>
      <w:start w:val="1"/>
    </w:lvl>
  </w:abstractNum>
  <w:abstractNum w:abstractNumId="59">
    <w:nsid w:val="5DC79EA8"/>
    <w:multiLevelType w:val="hybridMultilevel"/>
    <w:lvl w:ilvl="0">
      <w:lvlJc w:val="left"/>
      <w:lvlText w:val="%1."/>
      <w:numFmt w:val="decimal"/>
      <w:start w:val="4"/>
    </w:lvl>
    <w:lvl w:ilvl="1">
      <w:lvlJc w:val="left"/>
      <w:lvlText w:val="(%2)"/>
      <w:numFmt w:val="lowerLetter"/>
      <w:start w:val="1"/>
    </w:lvl>
  </w:abstractNum>
  <w:abstractNum w:abstractNumId="60">
    <w:nsid w:val="540A471C"/>
    <w:multiLevelType w:val="hybridMultilevel"/>
    <w:lvl w:ilvl="0">
      <w:lvlJc w:val="left"/>
      <w:lvlText w:val="%1."/>
      <w:numFmt w:val="decimal"/>
      <w:start w:val="8"/>
    </w:lvl>
    <w:lvl w:ilvl="1">
      <w:lvlJc w:val="left"/>
      <w:lvlText w:val="(%2)"/>
      <w:numFmt w:val="lowerLetter"/>
      <w:start w:val="1"/>
    </w:lvl>
  </w:abstractNum>
  <w:abstractNum w:abstractNumId="61">
    <w:nsid w:val="7BD3EE7B"/>
    <w:multiLevelType w:val="hybridMultilevel"/>
    <w:lvl w:ilvl="0">
      <w:lvlJc w:val="left"/>
      <w:lvlText w:val="(%1)"/>
      <w:numFmt w:val="lowerLetter"/>
      <w:start w:val="6"/>
    </w:lvl>
    <w:lvl w:ilvl="1">
      <w:lvlJc w:val="left"/>
      <w:lvlText w:val="(%2)"/>
      <w:numFmt w:val="lowerRoman"/>
      <w:start w:val="1"/>
    </w:lvl>
  </w:abstractNum>
  <w:abstractNum w:abstractNumId="62">
    <w:nsid w:val="51D9C564"/>
    <w:multiLevelType w:val="hybridMultilevel"/>
    <w:lvl w:ilvl="0">
      <w:lvlJc w:val="left"/>
      <w:lvlText w:val="%1"/>
      <w:numFmt w:val="lowerLetter"/>
      <w:start w:val="1"/>
    </w:lvl>
    <w:lvl w:ilvl="1">
      <w:lvlJc w:val="left"/>
      <w:lvlText w:val="(%2)"/>
      <w:numFmt w:val="lowerLetter"/>
      <w:start w:val="35"/>
    </w:lvl>
  </w:abstractNum>
  <w:abstractNum w:abstractNumId="63">
    <w:nsid w:val="613EFDC5"/>
    <w:multiLevelType w:val="hybridMultilevel"/>
    <w:lvl w:ilvl="0">
      <w:lvlJc w:val="left"/>
      <w:lvlText w:val="(%1)"/>
      <w:numFmt w:val="lowerLetter"/>
      <w:start w:val="13"/>
    </w:lvl>
    <w:lvl w:ilvl="1">
      <w:lvlJc w:val="left"/>
      <w:lvlText w:val="%2"/>
      <w:numFmt w:val="lowerLetter"/>
      <w:start w:val="1"/>
    </w:lvl>
  </w:abstractNum>
  <w:abstractNum w:abstractNumId="64">
    <w:nsid w:val="BF72B14"/>
    <w:multiLevelType w:val="hybridMultilevel"/>
    <w:lvl w:ilvl="0">
      <w:lvlJc w:val="left"/>
      <w:lvlText w:val="%1."/>
      <w:numFmt w:val="decimal"/>
      <w:start w:val="1"/>
    </w:lvl>
    <w:lvl w:ilvl="1">
      <w:lvlJc w:val="left"/>
      <w:lvlText w:val="%2."/>
      <w:numFmt w:val="lowerLetter"/>
      <w:start w:val="1"/>
    </w:lvl>
  </w:abstractNum>
  <w:abstractNum w:abstractNumId="65">
    <w:nsid w:val="11447B73"/>
    <w:multiLevelType w:val="hybridMultilevel"/>
    <w:lvl w:ilvl="0">
      <w:lvlJc w:val="left"/>
      <w:lvlText w:val="%1"/>
      <w:numFmt w:val="decimal"/>
      <w:start w:val="1"/>
    </w:lvl>
    <w:lvl w:ilvl="1">
      <w:lvlJc w:val="left"/>
      <w:lvlText w:val="%2."/>
      <w:numFmt w:val="lowerLetter"/>
      <w:start w:val="2"/>
    </w:lvl>
  </w:abstractNum>
  <w:abstractNum w:abstractNumId="66">
    <w:nsid w:val="42963E5A"/>
    <w:multiLevelType w:val="hybridMultilevel"/>
    <w:lvl w:ilvl="0">
      <w:lvlJc w:val="left"/>
      <w:lvlText w:val="%1."/>
      <w:numFmt w:val="decimal"/>
      <w:start w:val="6"/>
    </w:lvl>
    <w:lvl w:ilvl="1">
      <w:lvlJc w:val="left"/>
      <w:lvlText w:val="%2."/>
      <w:numFmt w:val="lowerLetter"/>
      <w:start w:val="1"/>
    </w:lvl>
  </w:abstractNum>
  <w:abstractNum w:abstractNumId="67">
    <w:nsid w:val="A0382C5"/>
    <w:multiLevelType w:val="hybridMultilevel"/>
    <w:lvl w:ilvl="0">
      <w:lvlJc w:val="left"/>
      <w:lvlText w:val="%1."/>
      <w:numFmt w:val="decimal"/>
      <w:start w:val="10"/>
    </w:lvl>
  </w:abstractNum>
  <w:abstractNum w:abstractNumId="68">
    <w:nsid w:val="8F2B15E"/>
    <w:multiLevelType w:val="hybridMultilevel"/>
    <w:lvl w:ilvl="0">
      <w:lvlJc w:val="left"/>
      <w:lvlText w:val="%1."/>
      <w:numFmt w:val="decimal"/>
      <w:start w:val="1"/>
    </w:lvl>
    <w:lvl w:ilvl="1">
      <w:lvlJc w:val="left"/>
      <w:lvlText w:val="(%2)"/>
      <w:numFmt w:val="lowerLetter"/>
      <w:start w:val="1"/>
    </w:lvl>
  </w:abstractNum>
  <w:abstractNum w:abstractNumId="69">
    <w:nsid w:val="1A32234B"/>
    <w:multiLevelType w:val="hybridMultilevel"/>
    <w:lvl w:ilvl="0">
      <w:lvlJc w:val="left"/>
      <w:lvlText w:val="(%1)"/>
      <w:numFmt w:val="lowerLetter"/>
      <w:start w:val="3"/>
    </w:lvl>
  </w:abstractNum>
  <w:abstractNum w:abstractNumId="70">
    <w:nsid w:val="3B0FD379"/>
    <w:multiLevelType w:val="hybridMultilevel"/>
    <w:lvl w:ilvl="0">
      <w:lvlJc w:val="left"/>
      <w:lvlText w:val="%1."/>
      <w:numFmt w:val="decimal"/>
      <w:start w:val="2"/>
    </w:lvl>
    <w:lvl w:ilvl="1">
      <w:lvlJc w:val="left"/>
      <w:lvlText w:val="(%2)"/>
      <w:numFmt w:val="lowerLetter"/>
      <w:start w:val="1"/>
    </w:lvl>
  </w:abstractNum>
  <w:abstractNum w:abstractNumId="71">
    <w:nsid w:val="68EB2F6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72">
    <w:nsid w:val="4962813B"/>
    <w:multiLevelType w:val="hybridMultilevel"/>
    <w:lvl w:ilvl="0">
      <w:lvlJc w:val="left"/>
      <w:lvlText w:val="%1."/>
      <w:numFmt w:val="decimal"/>
      <w:start w:val="9"/>
    </w:lvl>
  </w:abstractNum>
  <w:abstractNum w:abstractNumId="73">
    <w:nsid w:val="60B6DF70"/>
    <w:multiLevelType w:val="hybridMultilevel"/>
    <w:lvl w:ilvl="0">
      <w:lvlJc w:val="left"/>
      <w:lvlText w:val="%1."/>
      <w:numFmt w:val="decimal"/>
      <w:start w:val="10"/>
    </w:lvl>
    <w:lvl w:ilvl="1">
      <w:lvlJc w:val="left"/>
      <w:lvlText w:val="(%2)"/>
      <w:numFmt w:val="lowerLetter"/>
      <w:start w:val="1"/>
    </w:lvl>
  </w:abstractNum>
  <w:abstractNum w:abstractNumId="74">
    <w:nsid w:val="6A5EE64"/>
    <w:multiLevelType w:val="hybridMultilevel"/>
    <w:lvl w:ilvl="0">
      <w:lvlJc w:val="left"/>
      <w:lvlText w:val="(%1)"/>
      <w:numFmt w:val="lowerLetter"/>
      <w:start w:val="4"/>
    </w:lvl>
  </w:abstractNum>
  <w:abstractNum w:abstractNumId="75">
    <w:nsid w:val="14330624"/>
    <w:multiLevelType w:val="hybridMultilevel"/>
    <w:lvl w:ilvl="0">
      <w:lvlJc w:val="left"/>
      <w:lvlText w:val="%1"/>
      <w:numFmt w:val="lowerLetter"/>
      <w:start w:val="1"/>
    </w:lvl>
    <w:lvl w:ilvl="1">
      <w:lvlJc w:val="left"/>
      <w:lvlText w:val="(%2)"/>
      <w:numFmt w:val="lowerRoman"/>
      <w:start w:val="1"/>
    </w:lvl>
  </w:abstractNum>
  <w:abstractNum w:abstractNumId="76">
    <w:nsid w:val="7FFFCA11"/>
    <w:multiLevelType w:val="hybridMultilevel"/>
    <w:lvl w:ilvl="0">
      <w:lvlJc w:val="left"/>
      <w:lvlText w:val="(%1)"/>
      <w:numFmt w:val="lowerLetter"/>
      <w:start w:val="12"/>
    </w:lvl>
    <w:lvl w:ilvl="1">
      <w:lvlJc w:val="left"/>
      <w:lvlText w:val="%2"/>
      <w:numFmt w:val="lowerRoman"/>
      <w:start w:val="1"/>
    </w:lvl>
  </w:abstractNum>
  <w:abstractNum w:abstractNumId="77">
    <w:nsid w:val="1A27709E"/>
    <w:multiLevelType w:val="hybridMultilevel"/>
    <w:lvl w:ilvl="0">
      <w:lvlJc w:val="left"/>
      <w:lvlText w:val="%1."/>
      <w:numFmt w:val="decimal"/>
      <w:start w:val="1"/>
    </w:lvl>
    <w:lvl w:ilvl="1">
      <w:lvlJc w:val="left"/>
      <w:lvlText w:val="%2."/>
      <w:numFmt w:val="lowerLetter"/>
      <w:start w:val="1"/>
    </w:lvl>
  </w:abstractNum>
  <w:abstractNum w:abstractNumId="78">
    <w:nsid w:val="71EA1109"/>
    <w:multiLevelType w:val="hybridMultilevel"/>
    <w:lvl w:ilvl="0">
      <w:lvlJc w:val="left"/>
      <w:lvlText w:val="%1"/>
      <w:numFmt w:val="decimal"/>
      <w:start w:val="1"/>
    </w:lvl>
    <w:lvl w:ilvl="1">
      <w:lvlJc w:val="left"/>
      <w:lvlText w:val="%2."/>
      <w:numFmt w:val="lowerLetter"/>
      <w:start w:val="2"/>
    </w:lvl>
  </w:abstractNum>
  <w:abstractNum w:abstractNumId="79">
    <w:nsid w:val="100F59DC"/>
    <w:multiLevelType w:val="hybridMultilevel"/>
    <w:lvl w:ilvl="0">
      <w:lvlJc w:val="left"/>
      <w:lvlText w:val="%1."/>
      <w:numFmt w:val="decimal"/>
      <w:start w:val="6"/>
    </w:lvl>
    <w:lvl w:ilvl="1">
      <w:lvlJc w:val="left"/>
      <w:lvlText w:val="%2."/>
      <w:numFmt w:val="lowerLetter"/>
      <w:start w:val="1"/>
    </w:lvl>
  </w:abstractNum>
  <w:abstractNum w:abstractNumId="80">
    <w:nsid w:val="7FB7E0AA"/>
    <w:multiLevelType w:val="hybridMultilevel"/>
    <w:lvl w:ilvl="0">
      <w:lvlJc w:val="left"/>
      <w:lvlText w:val="%1."/>
      <w:numFmt w:val="decimal"/>
      <w:start w:val="10"/>
    </w:lvl>
  </w:abstractNum>
  <w:abstractNum w:abstractNumId="81">
    <w:nsid w:val="6EB5BD4"/>
    <w:multiLevelType w:val="hybridMultilevel"/>
    <w:lvl w:ilvl="0">
      <w:lvlJc w:val="left"/>
      <w:lvlText w:val="%1."/>
      <w:numFmt w:val="decimal"/>
      <w:start w:val="1"/>
    </w:lvl>
    <w:lvl w:ilvl="1">
      <w:lvlJc w:val="left"/>
      <w:lvlText w:val="%2."/>
      <w:numFmt w:val="lowerLetter"/>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decimal"/>
      <w:start w:val="12"/>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5"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jpe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jpeg"/><Relationship Id="rId188" Type="http://schemas.openxmlformats.org/officeDocument/2006/relationships/image" Target="media/image164.jpe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26" Type="http://schemas.openxmlformats.org/officeDocument/2006/relationships/hyperlink" Target="https://www.sec.gov/Archives/edgar/data/1833197/000110465921076404/tm2117455d1_ex2-1.htm" TargetMode="External"/><Relationship Id="rId127" Type="http://schemas.openxmlformats.org/officeDocument/2006/relationships/hyperlink" Target="https://www.sec.gov/Archives/edgar/data/1833197/000110465921076404/tm2117455d1_ex3-1.htm" TargetMode="External"/><Relationship Id="rId128" Type="http://schemas.openxmlformats.org/officeDocument/2006/relationships/hyperlink" Target="https://www.sec.gov/Archives/edgar/data/1833197/000110465921076404/tm2117455d1_ex3-2.htm" TargetMode="External"/><Relationship Id="rId129" Type="http://schemas.openxmlformats.org/officeDocument/2006/relationships/hyperlink" Target="https://www.sec.gov/Archives/edgar/data/1833197/000155837022003292/swim-20211231xex4d1.htm" TargetMode="External"/><Relationship Id="rId130" Type="http://schemas.openxmlformats.org/officeDocument/2006/relationships/hyperlink" Target="https://www.sec.gov/Archives/edgar/data/1833197/000110465922026118/tm227460d1_ex10-1.htm" TargetMode="External"/><Relationship Id="rId131" Type="http://schemas.openxmlformats.org/officeDocument/2006/relationships/hyperlink" Target="https://www.sec.gov/Archives/edgar/data/1833197/000110465921100799/swim-20210630xex10d1.htm" TargetMode="External"/><Relationship Id="rId132" Type="http://schemas.openxmlformats.org/officeDocument/2006/relationships/hyperlink" Target="https://www.sec.gov/Archives/edgar/data/1833197/000110465921100799/swim-20210630xex10d2.htm" TargetMode="External"/><Relationship Id="rId133" Type="http://schemas.openxmlformats.org/officeDocument/2006/relationships/hyperlink" Target="https://www.sec.gov/Archives/edgar/data/1833197/000110465921100799/swim-20210630xex10d3.htm" TargetMode="External"/><Relationship Id="rId134" Type="http://schemas.openxmlformats.org/officeDocument/2006/relationships/hyperlink" Target="https://www.sec.gov/Archives/edgar/data/1833197/000110465921044883/tm2038279d11_ex10-8.htm" TargetMode="External"/><Relationship Id="rId136" Type="http://schemas.openxmlformats.org/officeDocument/2006/relationships/hyperlink" Target="https://www.sec.gov/Archives/edgar/data/1833197/000110465921044883/tm2038279d11_ex10-11.htm" TargetMode="External"/><Relationship Id="rId137" Type="http://schemas.openxmlformats.org/officeDocument/2006/relationships/hyperlink" Target="https://www.sec.gov/Archives/edgar/data/1833197/000110465921044883/tm2038279d11_ex10-12.htm" TargetMode="External"/><Relationship Id="rId138" Type="http://schemas.openxmlformats.org/officeDocument/2006/relationships/hyperlink" Target="https://www.sec.gov/Archives/edgar/data/1833197/000155837022013325/swim-20220702xex10d1.htm" TargetMode="External"/><Relationship Id="rId139" Type="http://schemas.openxmlformats.org/officeDocument/2006/relationships/hyperlink" Target="https://www.sec.gov/Archives/edgar/data/1833197/000155837022013325/swim-20220702xex10d2.htm" TargetMode="External"/><Relationship Id="rId140" Type="http://schemas.openxmlformats.org/officeDocument/2006/relationships/hyperlink" Target="https://www.sec.gov/Archives/edgar/data/1833197/000110465921100799/swim-20210630xex10d5.htm" TargetMode="External"/><Relationship Id="rId141" Type="http://schemas.openxmlformats.org/officeDocument/2006/relationships/hyperlink" Target="https://www.sec.gov/Archives/edgar/data/1833197/000110465921100799/swim-20210630xex10d6.htm" TargetMode="External"/><Relationship Id="rId142" Type="http://schemas.openxmlformats.org/officeDocument/2006/relationships/hyperlink" Target="https://www.sec.gov/Archives/edgar/data/1833197/000110465921100799/swim-20210630xex10d7.htm" TargetMode="External"/><Relationship Id="rId143" Type="http://schemas.openxmlformats.org/officeDocument/2006/relationships/hyperlink" Target="https://www.sec.gov/Archives/edgar/data/1833197/000110465921100799/swim-20210630xex10d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2023-03-07T16:42:17Z</dcterms:created>
  <dcterms:modified xsi:type="dcterms:W3CDTF">2023-03-07T16:42:17Z</dcterms:modified>
</cp:coreProperties>
</file>