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5</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Latham Group,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02/24/2026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WYNNCHURCH CAPITAL PARTNERS IV, L.P.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CAYMAN ISLANDS</w:t>
      </w:r>
    </w:p>
    <w:p>
      <w:pPr>
        <w:sectPr>
          <w:pgSz w:w="11900" w:h="16838" w:orient="portrait"/>
          <w:cols w:equalWidth="0" w:num="1">
            <w:col w:w="10099"/>
          </w:cols>
          <w:pgMar w:left="360" w:top="866" w:right="1440" w:bottom="0" w:gutter="0" w:footer="0" w:header="0"/>
        </w:sectPr>
      </w:pPr>
    </w:p>
    <w:bookmarkStart w:id="1" w:name="page2"/>
    <w:bookmarkEnd w:id="1"/>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7820" w:hanging="231"/>
        <w:spacing w:after="0" w:line="371" w:lineRule="auto"/>
        <w:tabs>
          <w:tab w:leader="none" w:pos="28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Voting Power 0.00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38" w:orient="portrait"/>
          <w:cols w:equalWidth="0" w:num="2">
            <w:col w:w="1100" w:space="60"/>
            <w:col w:w="9720"/>
          </w:cols>
          <w:pgMar w:left="320" w:top="111" w:right="699" w:bottom="0" w:gutter="0" w:footer="0" w:header="0"/>
        </w:sectPr>
      </w:pPr>
    </w:p>
    <w:p>
      <w:pPr>
        <w:spacing w:after="0" w:line="70"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Shares of Common Stock are no longer held directly by Wynnchurch Capital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Partners IV, L.P. Wynnchurch Partners IV, L.P. is the general partner of Wynnchurch Capital Partners IV, L.P. Wynnchurch Capital, L.P. is the investment adviser to Wynnchurch Capital Partners IV, L.P. Wynnchurch Capital, L.P. is principally owned and controlled by Christopher P. O'Brien, Gregory B. Gleason, John A. Hatherly and Francis G. Hayes.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Wynnchurch Partners IV, L.P.</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4"/>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CAYMAN ISLANDS</w:t>
      </w:r>
    </w:p>
    <w:p>
      <w:pPr>
        <w:spacing w:after="0" w:line="61"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1120" w:type="dxa"/>
            <w:vAlign w:val="bottom"/>
          </w:tcPr>
          <w:p>
            <w:pPr>
              <w:spacing w:after="0"/>
              <w:rPr>
                <w:sz w:val="24"/>
                <w:szCs w:val="24"/>
                <w:color w:val="auto"/>
              </w:rPr>
            </w:pP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5</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20" w:type="dxa"/>
            <w:vAlign w:val="bottom"/>
          </w:tcPr>
          <w:p>
            <w:pPr>
              <w:spacing w:after="0"/>
              <w:rPr>
                <w:sz w:val="21"/>
                <w:szCs w:val="21"/>
                <w:color w:val="auto"/>
              </w:rPr>
            </w:pPr>
          </w:p>
        </w:tc>
        <w:tc>
          <w:tcPr>
            <w:tcW w:w="220" w:type="dxa"/>
            <w:vAlign w:val="bottom"/>
            <w:vMerge w:val="continue"/>
          </w:tcPr>
          <w:p>
            <w:pPr>
              <w:spacing w:after="0"/>
              <w:rPr>
                <w:sz w:val="21"/>
                <w:szCs w:val="2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22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63"/>
        </w:trPr>
        <w:tc>
          <w:tcPr>
            <w:tcW w:w="11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2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20" w:type="dxa"/>
            <w:vAlign w:val="bottom"/>
            <w:vMerge w:val="continue"/>
          </w:tcPr>
          <w:p>
            <w:pPr>
              <w:spacing w:after="0"/>
              <w:rPr>
                <w:sz w:val="21"/>
                <w:szCs w:val="2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Owned by</w:t>
            </w:r>
          </w:p>
        </w:tc>
        <w:tc>
          <w:tcPr>
            <w:tcW w:w="220" w:type="dxa"/>
            <w:vAlign w:val="bottom"/>
          </w:tcPr>
          <w:p>
            <w:pPr>
              <w:spacing w:after="0"/>
              <w:rPr>
                <w:sz w:val="11"/>
                <w:szCs w:val="11"/>
                <w:color w:val="auto"/>
              </w:rPr>
            </w:pP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vMerge w:val="continue"/>
          </w:tcPr>
          <w:p>
            <w:pPr>
              <w:spacing w:after="0"/>
              <w:rPr>
                <w:sz w:val="4"/>
                <w:szCs w:val="4"/>
                <w:color w:val="auto"/>
              </w:rPr>
            </w:pPr>
          </w:p>
        </w:tc>
        <w:tc>
          <w:tcPr>
            <w:tcW w:w="20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220" w:type="dxa"/>
            <w:vAlign w:val="bottom"/>
            <w:vMerge w:val="continue"/>
          </w:tcPr>
          <w:p>
            <w:pPr>
              <w:spacing w:after="0"/>
              <w:rPr>
                <w:sz w:val="16"/>
                <w:szCs w:val="16"/>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20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20" w:type="dxa"/>
            <w:vAlign w:val="bottom"/>
          </w:tcPr>
          <w:p>
            <w:pPr>
              <w:spacing w:after="0"/>
              <w:rPr>
                <w:sz w:val="16"/>
                <w:szCs w:val="16"/>
                <w:color w:val="auto"/>
              </w:rPr>
            </w:pP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216"/>
        </w:trPr>
        <w:tc>
          <w:tcPr>
            <w:tcW w:w="112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With:</w:t>
            </w:r>
          </w:p>
        </w:tc>
        <w:tc>
          <w:tcPr>
            <w:tcW w:w="220" w:type="dxa"/>
            <w:vAlign w:val="bottom"/>
          </w:tcPr>
          <w:p>
            <w:pPr>
              <w:spacing w:after="0"/>
              <w:rPr>
                <w:sz w:val="18"/>
                <w:szCs w:val="18"/>
                <w:color w:val="auto"/>
              </w:rPr>
            </w:pPr>
          </w:p>
        </w:tc>
        <w:tc>
          <w:tcPr>
            <w:tcW w:w="20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90"/>
        </w:trPr>
        <w:tc>
          <w:tcPr>
            <w:tcW w:w="112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60" w:hanging="1112"/>
        <w:spacing w:after="0"/>
        <w:tabs>
          <w:tab w:leader="none" w:pos="11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Aggregate Amount Beneficially Owned by Each Reporting Person</w:t>
      </w:r>
    </w:p>
    <w:p>
      <w:pPr>
        <w:sectPr>
          <w:pgSz w:w="11900" w:h="16838" w:orient="portrait"/>
          <w:cols w:equalWidth="0" w:num="1">
            <w:col w:w="10880"/>
          </w:cols>
          <w:pgMar w:left="320" w:top="111" w:right="699" w:bottom="0" w:gutter="0" w:footer="0" w:header="0"/>
          <w:type w:val="continuous"/>
        </w:sectPr>
      </w:pPr>
    </w:p>
    <w:bookmarkStart w:id="2" w:name="page3"/>
    <w:bookmarkEnd w:id="2"/>
    <w:p>
      <w:pPr>
        <w:ind w:left="1160"/>
        <w:spacing w:after="0"/>
        <w:rPr>
          <w:sz w:val="20"/>
          <w:szCs w:val="20"/>
          <w:color w:val="auto"/>
        </w:rPr>
      </w:pPr>
      <w:r>
        <w:rPr>
          <w:rFonts w:ascii="Times New Roman" w:cs="Times New Roman" w:eastAsia="Times New Roman" w:hAnsi="Times New Roman"/>
          <w:sz w:val="22"/>
          <w:szCs w:val="22"/>
          <w:color w:val="auto"/>
        </w:rPr>
        <w:t>0.00</w:t>
      </w:r>
    </w:p>
    <w:p>
      <w:pPr>
        <w:spacing w:after="0" w:line="3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0 %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PN</w:t>
      </w:r>
    </w:p>
    <w:p>
      <w:pPr>
        <w:spacing w:after="0" w:line="246" w:lineRule="exact"/>
        <w:rPr>
          <w:sz w:val="20"/>
          <w:szCs w:val="20"/>
          <w:color w:val="auto"/>
        </w:rPr>
      </w:pPr>
    </w:p>
    <w:p>
      <w:pPr>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Shares of Common Stock are no longer held directly by WC Partners Executive IV,</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L.P. and Wynnchurch Capital Partners IV, L.P. Wynnchurch Partners IV, L.P. is the general partner of WC Partners Executive IV, L.P. and Wynnchurch Capital Partners IV, L.P. Wynnchurch Capital, L.P. is the investment adviser to WC Partners Executive IV, L.P. and Wynnchurch Capital Partners IV, L.P. Wynnchurch Capital, L.P. is principally owned and controlled by Christopher P. O'Brien, Gregory B. Gleason, John A. Hatherly and Francis G. Hayes.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Wynnchurch Capital, L.P.</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7"/>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38" w:orient="portrait"/>
          <w:cols w:equalWidth="0" w:num="1">
            <w:col w:w="11120"/>
          </w:cols>
          <w:pgMar w:left="320" w:top="355" w:right="459" w:bottom="302" w:gutter="0" w:footer="0" w:header="0"/>
        </w:sectPr>
      </w:pPr>
    </w:p>
    <w:p>
      <w:pPr>
        <w:spacing w:after="0" w:line="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ectPr>
          <w:pgSz w:w="11900" w:h="16838" w:orient="portrait"/>
          <w:cols w:equalWidth="0" w:num="2">
            <w:col w:w="1100" w:space="60"/>
            <w:col w:w="9960"/>
          </w:cols>
          <w:pgMar w:left="320" w:top="355" w:right="459" w:bottom="302" w:gutter="0" w:footer="0" w:header="0"/>
          <w:type w:val="continuous"/>
        </w:sectPr>
      </w:pPr>
    </w:p>
    <w:bookmarkStart w:id="3" w:name="page4"/>
    <w:bookmarkEnd w:id="3"/>
    <w:p>
      <w:pPr>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Shares of Common Stock are no longer held directly by WC Partners Executive IV,</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L.P. and Wynnchurch Capital Partners IV, L.P. Wynnchurch Partners IV, L.P. is the general partner of WC Partners Executive IV, L.P. and Wynnchurch Capital Partners IV, L.P. Wynnchurch Capital, L.P. is the investment adviser to WC Partners Executive IV, L.P. and Wynnchurch Capital Partners IV, L.P. Wynnchurch Capital, L.P. is principally owned and controlled by Christopher P. O'Brien, Gregory B. Gleason, John A. Hatherly and Francis G. Hayes.</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WC PARTNERS EXECUTIVE IV, L.P.</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8"/>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38" w:orient="portrait"/>
          <w:cols w:equalWidth="0" w:num="1">
            <w:col w:w="11120"/>
          </w:cols>
          <w:pgMar w:left="320" w:top="108" w:right="459" w:bottom="0" w:gutter="0" w:footer="0" w:header="0"/>
        </w:sectPr>
      </w:pPr>
    </w:p>
    <w:p>
      <w:pPr>
        <w:spacing w:after="0" w:line="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jc w:val="right"/>
        <w:ind w:right="8040"/>
        <w:spacing w:after="0"/>
        <w:rPr>
          <w:sz w:val="20"/>
          <w:szCs w:val="20"/>
          <w:color w:val="auto"/>
        </w:rPr>
      </w:pPr>
      <w:r>
        <w:rPr>
          <w:rFonts w:ascii="Times New Roman" w:cs="Times New Roman" w:eastAsia="Times New Roman" w:hAnsi="Times New Roman"/>
          <w:sz w:val="21"/>
          <w:szCs w:val="21"/>
          <w:color w:val="auto"/>
        </w:rPr>
        <w:t>CAYMAN ISLANDS</w:t>
      </w:r>
    </w:p>
    <w:p>
      <w:pPr>
        <w:spacing w:after="0" w:line="96" w:lineRule="exact"/>
        <w:rPr>
          <w:sz w:val="20"/>
          <w:szCs w:val="20"/>
          <w:color w:val="auto"/>
        </w:rPr>
      </w:pPr>
    </w:p>
    <w:p>
      <w:pPr>
        <w:jc w:val="right"/>
        <w:ind w:right="806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38" w:orient="portrait"/>
          <w:cols w:equalWidth="0" w:num="2">
            <w:col w:w="1100" w:space="60"/>
            <w:col w:w="9960"/>
          </w:cols>
          <w:pgMar w:left="320" w:top="108" w:right="459" w:bottom="0" w:gutter="0" w:footer="0" w:header="0"/>
          <w:type w:val="continuous"/>
        </w:sectPr>
      </w:pPr>
    </w:p>
    <w:p>
      <w:pPr>
        <w:spacing w:after="0" w:line="70"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Shares of Common Stock rare no longer held directly by WC Partners Executive IV,</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L.P. Wynnchurch Partners IV, L.P. is the general partner of WC Partners Executive IV, L.P. Wynnchurch Capital, L.P. is the investment adviser to WC Partners Executive IV, L.P. Wynnchurch Capital, L.P. is principally owned and controlled by Christopher P. O'Brien, Gregory B. Gleason, John A. Hatherly and Francis G. Hayes.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ectPr>
          <w:pgSz w:w="11900" w:h="16838" w:orient="portrait"/>
          <w:cols w:equalWidth="0" w:num="1">
            <w:col w:w="11120"/>
          </w:cols>
          <w:pgMar w:left="320" w:top="108" w:right="459" w:bottom="0" w:gutter="0" w:footer="0" w:header="0"/>
          <w:type w:val="continuous"/>
        </w:sectPr>
      </w:pPr>
    </w:p>
    <w:p>
      <w:pPr>
        <w:spacing w:after="0" w:line="200" w:lineRule="exact"/>
        <w:rPr>
          <w:sz w:val="20"/>
          <w:szCs w:val="20"/>
          <w:color w:val="auto"/>
        </w:rPr>
      </w:pPr>
    </w:p>
    <w:p>
      <w:pPr>
        <w:spacing w:after="0" w:line="361" w:lineRule="exact"/>
        <w:rPr>
          <w:sz w:val="20"/>
          <w:szCs w:val="20"/>
          <w:color w:val="auto"/>
        </w:rPr>
      </w:pPr>
    </w:p>
    <w:p>
      <w:pPr>
        <w:ind w:left="1160" w:hanging="1112"/>
        <w:spacing w:after="0"/>
        <w:tabs>
          <w:tab w:leader="none" w:pos="1160" w:val="left"/>
        </w:tabs>
        <w:numPr>
          <w:ilvl w:val="0"/>
          <w:numId w:val="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Names of Reporting Persons</w:t>
      </w:r>
    </w:p>
    <w:p>
      <w:pPr>
        <w:sectPr>
          <w:pgSz w:w="11900" w:h="16838" w:orient="portrait"/>
          <w:cols w:equalWidth="0" w:num="1">
            <w:col w:w="11120"/>
          </w:cols>
          <w:pgMar w:left="320" w:top="108" w:right="459" w:bottom="0" w:gutter="0" w:footer="0" w:header="0"/>
          <w:type w:val="continuous"/>
        </w:sectPr>
      </w:pPr>
    </w:p>
    <w:bookmarkStart w:id="4" w:name="page5"/>
    <w:bookmarkEnd w:id="4"/>
    <w:p>
      <w:pPr>
        <w:spacing w:after="0" w:line="1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John A. Hatherly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60" w:hanging="1112"/>
        <w:spacing w:after="0"/>
        <w:tabs>
          <w:tab w:leader="none" w:pos="1160" w:val="left"/>
        </w:tabs>
        <w:numPr>
          <w:ilvl w:val="0"/>
          <w:numId w:val="10"/>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49" w:orient="portrait"/>
          <w:cols w:equalWidth="0" w:num="1">
            <w:col w:w="11120"/>
          </w:cols>
          <w:pgMar w:left="320" w:top="355" w:right="459" w:bottom="0" w:gutter="0" w:footer="0" w:header="0"/>
        </w:sectPr>
      </w:pPr>
    </w:p>
    <w:p>
      <w:pPr>
        <w:spacing w:after="0" w:line="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ectPr>
          <w:pgSz w:w="11900" w:h="16849" w:orient="portrait"/>
          <w:cols w:equalWidth="0" w:num="2">
            <w:col w:w="1100" w:space="60"/>
            <w:col w:w="9960"/>
          </w:cols>
          <w:pgMar w:left="320" w:top="355" w:right="459" w:bottom="0" w:gutter="0" w:footer="0" w:header="0"/>
          <w:type w:val="continuous"/>
        </w:sectPr>
      </w:pPr>
    </w:p>
    <w:p>
      <w:pPr>
        <w:spacing w:after="0" w:line="70" w:lineRule="exact"/>
        <w:rPr>
          <w:sz w:val="20"/>
          <w:szCs w:val="20"/>
          <w:color w:val="auto"/>
        </w:rPr>
      </w:pPr>
    </w:p>
    <w:p>
      <w:pPr>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Shares of Common Stock are no longer held directly by WC Partners Executive IV,</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L.P. and Wynnchurch Capital Partners IV, L.P. Wynnchurch Partners IV, L.P. is the general partner of WC Partners Executive IV, L.P. and Wynnchurch Capital Partners IV, L.P. Wynnchurch Capital, L.P. is the investment adviser to WC Partners Executive IV, L.P. and Wynnchurch Capital Partners IV, L.P. Wynnchurch Capital, L.P. is principally owned and controlled by Christopher P. O'Brien, Gregory B. Gleason, John A. Hatherly and Francis G. Hayes.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Francis G. Hayes</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1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UNITED STATES</w:t>
      </w:r>
    </w:p>
    <w:p>
      <w:pPr>
        <w:spacing w:after="0" w:line="20" w:lineRule="exact"/>
        <w:rPr>
          <w:sz w:val="20"/>
          <w:szCs w:val="20"/>
          <w:color w:val="auto"/>
        </w:rPr>
      </w:pPr>
    </w:p>
    <w:tbl>
      <w:tblPr>
        <w:tblLayout w:type="fixed"/>
        <w:tblInd w:w="40" w:type="dxa"/>
        <w:tblCellMar>
          <w:top w:w="0" w:type="dxa"/>
          <w:left w:w="0" w:type="dxa"/>
          <w:bottom w:w="0" w:type="dxa"/>
          <w:right w:w="0" w:type="dxa"/>
        </w:tblCellMar>
      </w:tblPr>
      <w:tr>
        <w:trPr>
          <w:trHeight w:val="257"/>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1900" w:type="dxa"/>
            <w:vAlign w:val="bottom"/>
          </w:tcPr>
          <w:p>
            <w:pPr>
              <w:ind w:left="280"/>
              <w:spacing w:after="0"/>
              <w:rPr>
                <w:sz w:val="20"/>
                <w:szCs w:val="20"/>
                <w:color w:val="auto"/>
              </w:rPr>
            </w:pPr>
            <w:r>
              <w:rPr>
                <w:rFonts w:ascii="Times New Roman" w:cs="Times New Roman" w:eastAsia="Times New Roman" w:hAnsi="Times New Roman"/>
                <w:sz w:val="22"/>
                <w:szCs w:val="22"/>
                <w:color w:val="auto"/>
                <w:w w:val="95"/>
              </w:rPr>
              <w:t>Sole Voting Power</w:t>
            </w: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1900" w:type="dxa"/>
            <w:vAlign w:val="bottom"/>
          </w:tcPr>
          <w:p>
            <w:pPr>
              <w:jc w:val="right"/>
              <w:ind w:right="1632"/>
              <w:spacing w:after="0" w:line="243" w:lineRule="exact"/>
              <w:rPr>
                <w:sz w:val="20"/>
                <w:szCs w:val="20"/>
                <w:color w:val="auto"/>
              </w:rPr>
            </w:pPr>
            <w:r>
              <w:rPr>
                <w:rFonts w:ascii="Times New Roman" w:cs="Times New Roman" w:eastAsia="Times New Roman" w:hAnsi="Times New Roman"/>
                <w:sz w:val="22"/>
                <w:szCs w:val="22"/>
                <w:color w:val="auto"/>
              </w:rPr>
              <w:t>5</w:t>
            </w:r>
          </w:p>
        </w:tc>
      </w:tr>
      <w:tr>
        <w:trPr>
          <w:trHeight w:val="309"/>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190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0.00</w:t>
            </w:r>
          </w:p>
        </w:tc>
      </w:tr>
    </w:tbl>
    <w:p>
      <w:pPr>
        <w:sectPr>
          <w:pgSz w:w="11900" w:h="16849" w:orient="portrait"/>
          <w:cols w:equalWidth="0" w:num="1">
            <w:col w:w="11120"/>
          </w:cols>
          <w:pgMar w:left="320" w:top="355" w:right="459" w:bottom="0" w:gutter="0" w:footer="0" w:header="0"/>
          <w:type w:val="continuous"/>
        </w:sectPr>
      </w:pPr>
    </w:p>
    <w:bookmarkStart w:id="5" w:name="page6"/>
    <w:bookmarkEnd w:id="5"/>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1160"/>
        <w:spacing w:after="0"/>
        <w:rPr>
          <w:sz w:val="20"/>
          <w:szCs w:val="20"/>
          <w:color w:val="auto"/>
        </w:rPr>
      </w:pPr>
      <w:r>
        <w:rPr>
          <w:rFonts w:ascii="Times New Roman" w:cs="Times New Roman" w:eastAsia="Times New Roman" w:hAnsi="Times New Roman"/>
          <w:sz w:val="22"/>
          <w:szCs w:val="22"/>
          <w:color w:val="auto"/>
        </w:rPr>
        <w:t>0.00</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0 %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IN</w:t>
      </w:r>
    </w:p>
    <w:p>
      <w:pPr>
        <w:spacing w:after="0" w:line="246" w:lineRule="exact"/>
        <w:rPr>
          <w:sz w:val="20"/>
          <w:szCs w:val="20"/>
          <w:color w:val="auto"/>
        </w:rPr>
      </w:pPr>
    </w:p>
    <w:p>
      <w:pPr>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Shares of Common Stock are no longer held directly by WC Partners Executive IV,</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L.P. and Wynnchurch Capital Partners IV, L.P. Wynnchurch Partners IV, L.P. is the general partner of WC Partners Executive IV, L.P. and Wynnchurch Capital Partners IV, L.P. Wynnchurch Capital, L.P. is the investment adviser to WC Partners Executive IV, L.P. and Wynnchurch Capital Partners IV, L.P. Wynnchurch Capital, L.P. is principally owned and controlled by Christopher P. O'Brien, Gregory B. Gleason, John A. Hatherly and Francis G. Hayes.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Christopher Patrick OBrien</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13"/>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UNITED STATES</w:t>
      </w:r>
    </w:p>
    <w:p>
      <w:pPr>
        <w:spacing w:after="0" w:line="61"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1120" w:type="dxa"/>
            <w:vAlign w:val="bottom"/>
          </w:tcPr>
          <w:p>
            <w:pPr>
              <w:spacing w:after="0"/>
              <w:rPr>
                <w:sz w:val="24"/>
                <w:szCs w:val="24"/>
                <w:color w:val="auto"/>
              </w:rPr>
            </w:pP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5</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20" w:type="dxa"/>
            <w:vAlign w:val="bottom"/>
          </w:tcPr>
          <w:p>
            <w:pPr>
              <w:spacing w:after="0"/>
              <w:rPr>
                <w:sz w:val="21"/>
                <w:szCs w:val="21"/>
                <w:color w:val="auto"/>
              </w:rPr>
            </w:pPr>
          </w:p>
        </w:tc>
        <w:tc>
          <w:tcPr>
            <w:tcW w:w="220" w:type="dxa"/>
            <w:vAlign w:val="bottom"/>
            <w:vMerge w:val="continue"/>
          </w:tcPr>
          <w:p>
            <w:pPr>
              <w:spacing w:after="0"/>
              <w:rPr>
                <w:sz w:val="21"/>
                <w:szCs w:val="2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22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63"/>
        </w:trPr>
        <w:tc>
          <w:tcPr>
            <w:tcW w:w="11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2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20" w:type="dxa"/>
            <w:vAlign w:val="bottom"/>
            <w:vMerge w:val="continue"/>
          </w:tcPr>
          <w:p>
            <w:pPr>
              <w:spacing w:after="0"/>
              <w:rPr>
                <w:sz w:val="21"/>
                <w:szCs w:val="2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Owned by</w:t>
            </w:r>
          </w:p>
        </w:tc>
        <w:tc>
          <w:tcPr>
            <w:tcW w:w="220" w:type="dxa"/>
            <w:vAlign w:val="bottom"/>
          </w:tcPr>
          <w:p>
            <w:pPr>
              <w:spacing w:after="0"/>
              <w:rPr>
                <w:sz w:val="11"/>
                <w:szCs w:val="11"/>
                <w:color w:val="auto"/>
              </w:rPr>
            </w:pP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vMerge w:val="continue"/>
          </w:tcPr>
          <w:p>
            <w:pPr>
              <w:spacing w:after="0"/>
              <w:rPr>
                <w:sz w:val="4"/>
                <w:szCs w:val="4"/>
                <w:color w:val="auto"/>
              </w:rPr>
            </w:pPr>
          </w:p>
        </w:tc>
        <w:tc>
          <w:tcPr>
            <w:tcW w:w="20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220" w:type="dxa"/>
            <w:vAlign w:val="bottom"/>
            <w:vMerge w:val="continue"/>
          </w:tcPr>
          <w:p>
            <w:pPr>
              <w:spacing w:after="0"/>
              <w:rPr>
                <w:sz w:val="16"/>
                <w:szCs w:val="16"/>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20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20" w:type="dxa"/>
            <w:vAlign w:val="bottom"/>
          </w:tcPr>
          <w:p>
            <w:pPr>
              <w:spacing w:after="0"/>
              <w:rPr>
                <w:sz w:val="16"/>
                <w:szCs w:val="16"/>
                <w:color w:val="auto"/>
              </w:rPr>
            </w:pP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216"/>
        </w:trPr>
        <w:tc>
          <w:tcPr>
            <w:tcW w:w="112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With:</w:t>
            </w:r>
          </w:p>
        </w:tc>
        <w:tc>
          <w:tcPr>
            <w:tcW w:w="220" w:type="dxa"/>
            <w:vAlign w:val="bottom"/>
          </w:tcPr>
          <w:p>
            <w:pPr>
              <w:spacing w:after="0"/>
              <w:rPr>
                <w:sz w:val="18"/>
                <w:szCs w:val="18"/>
                <w:color w:val="auto"/>
              </w:rPr>
            </w:pPr>
          </w:p>
        </w:tc>
        <w:tc>
          <w:tcPr>
            <w:tcW w:w="20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90"/>
        </w:trPr>
        <w:tc>
          <w:tcPr>
            <w:tcW w:w="112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ectPr>
          <w:pgSz w:w="11900" w:h="16838" w:orient="portrait"/>
          <w:cols w:equalWidth="0" w:num="1">
            <w:col w:w="11120"/>
          </w:cols>
          <w:pgMar w:left="320" w:top="102" w:right="459" w:bottom="0" w:gutter="0" w:footer="0" w:header="0"/>
        </w:sectPr>
      </w:pPr>
    </w:p>
    <w:p>
      <w:pPr>
        <w:ind w:left="1160"/>
        <w:spacing w:after="0"/>
        <w:rPr>
          <w:sz w:val="20"/>
          <w:szCs w:val="20"/>
          <w:color w:val="auto"/>
        </w:rPr>
      </w:pPr>
      <w:r>
        <w:rPr>
          <w:rFonts w:ascii="Times New Roman" w:cs="Times New Roman" w:eastAsia="Times New Roman" w:hAnsi="Times New Roman"/>
          <w:sz w:val="21"/>
          <w:szCs w:val="21"/>
          <w:color w:val="auto"/>
        </w:rPr>
        <w:t>0.00</w:t>
      </w:r>
    </w:p>
    <w:p>
      <w:pPr>
        <w:sectPr>
          <w:pgSz w:w="11900" w:h="16838" w:orient="portrait"/>
          <w:cols w:equalWidth="0" w:num="1">
            <w:col w:w="11120"/>
          </w:cols>
          <w:pgMar w:left="320" w:top="102" w:right="459" w:bottom="0" w:gutter="0" w:footer="0" w:header="0"/>
          <w:type w:val="continuous"/>
        </w:sectPr>
      </w:pPr>
    </w:p>
    <w:bookmarkStart w:id="6" w:name="page7"/>
    <w:bookmarkEnd w:id="6"/>
    <w:p>
      <w:pPr>
        <w:ind w:left="40"/>
        <w:spacing w:after="0"/>
        <w:tabs>
          <w:tab w:leader="none" w:pos="1140" w:val="left"/>
        </w:tabs>
        <w:rPr>
          <w:sz w:val="20"/>
          <w:szCs w:val="20"/>
          <w:color w:val="auto"/>
        </w:rPr>
      </w:pPr>
      <w:r>
        <w:rPr>
          <w:rFonts w:ascii="Times New Roman" w:cs="Times New Roman" w:eastAsia="Times New Roman" w:hAnsi="Times New Roman"/>
          <w:sz w:val="22"/>
          <w:szCs w:val="22"/>
          <w:color w:val="auto"/>
        </w:rPr>
        <w:t>10</w:t>
      </w:r>
      <w:r>
        <w:rPr>
          <w:sz w:val="20"/>
          <w:szCs w:val="20"/>
          <w:color w:val="auto"/>
        </w:rPr>
        <w:tab/>
      </w:r>
      <w:r>
        <w:rPr>
          <w:rFonts w:ascii="Times New Roman" w:cs="Times New Roman" w:eastAsia="Times New Roman" w:hAnsi="Times New Roman"/>
          <w:sz w:val="22"/>
          <w:szCs w:val="22"/>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165735</wp:posOffset>
            </wp:positionV>
            <wp:extent cx="128905" cy="1289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0 %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IN</w:t>
      </w:r>
    </w:p>
    <w:p>
      <w:pPr>
        <w:spacing w:after="0" w:line="246" w:lineRule="exact"/>
        <w:rPr>
          <w:sz w:val="20"/>
          <w:szCs w:val="20"/>
          <w:color w:val="auto"/>
        </w:rPr>
      </w:pPr>
    </w:p>
    <w:p>
      <w:pPr>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Shares of Common Stock are no longer held directly by WC Partners Executive IV,</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L.P. and Wynnchurch Capital Partners IV, L.P. Wynnchurch Partners IV, L.P. is the general partner of WC Partners Executive IV, L.P. and Wynnchurch Capital Partners IV, L.P. Wynnchurch Capital, L.P. is the investment adviser to WC Partners Executive IV, L.P. and Wynnchurch Capital Partners IV, L.P. Wynnchurch Capital, L.P. is principally owned and controlled by Christopher P. O'Brien, Gregory B. Gleason, John A. Hatherly and Francis G. Hayes.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Gregory B. Gleason</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15"/>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38" w:orient="portrait"/>
          <w:cols w:equalWidth="0" w:num="1">
            <w:col w:w="11120"/>
          </w:cols>
          <w:pgMar w:left="320" w:top="111" w:right="459" w:bottom="0" w:gutter="0" w:footer="0" w:header="0"/>
        </w:sectPr>
      </w:pPr>
    </w:p>
    <w:p>
      <w:pPr>
        <w:spacing w:after="0" w:line="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ectPr>
          <w:pgSz w:w="11900" w:h="16838" w:orient="portrait"/>
          <w:cols w:equalWidth="0" w:num="2">
            <w:col w:w="1100" w:space="60"/>
            <w:col w:w="9960"/>
          </w:cols>
          <w:pgMar w:left="320" w:top="111" w:right="459" w:bottom="0" w:gutter="0" w:footer="0" w:header="0"/>
          <w:type w:val="continuous"/>
        </w:sectPr>
      </w:pPr>
    </w:p>
    <w:p>
      <w:pPr>
        <w:spacing w:after="0" w:line="70"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1"/>
          <w:szCs w:val="21"/>
          <w:b w:val="1"/>
          <w:bCs w:val="1"/>
          <w:color w:val="auto"/>
        </w:rPr>
        <w:t xml:space="preserve">Comment for Type of Reporting Person: </w:t>
      </w:r>
      <w:r>
        <w:rPr>
          <w:rFonts w:ascii="Times New Roman" w:cs="Times New Roman" w:eastAsia="Times New Roman" w:hAnsi="Times New Roman"/>
          <w:sz w:val="21"/>
          <w:szCs w:val="21"/>
          <w:color w:val="auto"/>
        </w:rPr>
        <w:t>Shares of Common Stock are no longer held directly by WC Partners Executive IV,</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L.P. and Wynnchurch Capital Partners IV, L.P. Wynnchurch Partners IV, L.P. is the general partner of WC Partners Executive IV, L.P. and Wynnchurch Capital Partners IV, L.P. Wynnchurch Capital, L.P. is the investment adviser to WC Partners Executive IV,</w:t>
      </w:r>
    </w:p>
    <w:p>
      <w:pPr>
        <w:sectPr>
          <w:pgSz w:w="11900" w:h="16838" w:orient="portrait"/>
          <w:cols w:equalWidth="0" w:num="1">
            <w:col w:w="11120"/>
          </w:cols>
          <w:pgMar w:left="320" w:top="111" w:right="459" w:bottom="0" w:gutter="0" w:footer="0" w:header="0"/>
          <w:type w:val="continuous"/>
        </w:sectPr>
      </w:pPr>
    </w:p>
    <w:bookmarkStart w:id="7" w:name="page8"/>
    <w:bookmarkEnd w:id="7"/>
    <w:p>
      <w:pPr>
        <w:spacing w:after="0"/>
        <w:rPr>
          <w:sz w:val="20"/>
          <w:szCs w:val="20"/>
          <w:color w:val="auto"/>
        </w:rPr>
      </w:pPr>
      <w:r>
        <w:rPr>
          <w:rFonts w:ascii="Times New Roman" w:cs="Times New Roman" w:eastAsia="Times New Roman" w:hAnsi="Times New Roman"/>
          <w:sz w:val="21"/>
          <w:szCs w:val="21"/>
          <w:color w:val="auto"/>
        </w:rPr>
        <w:t>L.P. and Wynnchurch Capital Partners IV, L.P. Wynnchurch Capital, L.P. is principally owned and controlled by Christopher P.</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O'Brien, Gregory B. Gleason, John A. Hatherly and Francis G. Hayes.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60"/>
        <w:spacing w:after="0"/>
        <w:rPr>
          <w:sz w:val="20"/>
          <w:szCs w:val="20"/>
          <w:color w:val="auto"/>
        </w:rPr>
      </w:pPr>
      <w:r>
        <w:rPr>
          <w:rFonts w:ascii="Times New Roman" w:cs="Times New Roman" w:eastAsia="Times New Roman" w:hAnsi="Times New Roman"/>
          <w:sz w:val="22"/>
          <w:szCs w:val="22"/>
          <w:color w:val="auto"/>
        </w:rPr>
        <w:t>Latham Group, Inc.</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60"/>
        <w:spacing w:after="0"/>
        <w:rPr>
          <w:sz w:val="20"/>
          <w:szCs w:val="20"/>
          <w:color w:val="auto"/>
        </w:rPr>
      </w:pPr>
      <w:r>
        <w:rPr>
          <w:rFonts w:ascii="Times New Roman" w:cs="Times New Roman" w:eastAsia="Times New Roman" w:hAnsi="Times New Roman"/>
          <w:sz w:val="22"/>
          <w:szCs w:val="22"/>
          <w:color w:val="auto"/>
        </w:rPr>
        <w:t>787 Watervliet Shaker Road, Latham, New York, 12110</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left="960" w:hanging="912"/>
        <w:spacing w:after="0" w:line="244" w:lineRule="auto"/>
        <w:tabs>
          <w:tab w:leader="none" w:pos="960"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persons filing this Schedule 13G are (the "Reporting Persons"): Wynnchurch Partners IV, L.P.; Wynnchurch Capital, L.P.; WC Partners Executive IV, L.P.; Wynnchurch Capital Partners IV, L.P.; Christopher P. O'Brien; Gregory B. Gleason; John A. Hatherly; and Francis G. Hayes.</w:t>
      </w:r>
    </w:p>
    <w:p>
      <w:pPr>
        <w:spacing w:after="0" w:line="11"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60"/>
        <w:spacing w:after="0"/>
        <w:rPr>
          <w:sz w:val="20"/>
          <w:szCs w:val="20"/>
          <w:color w:val="auto"/>
        </w:rPr>
      </w:pPr>
      <w:r>
        <w:rPr>
          <w:rFonts w:ascii="Times New Roman" w:cs="Times New Roman" w:eastAsia="Times New Roman" w:hAnsi="Times New Roman"/>
          <w:sz w:val="22"/>
          <w:szCs w:val="22"/>
          <w:color w:val="auto"/>
        </w:rPr>
        <w:t>The business address of the Reporting Persons is 6250 N. River Road, Suite 10-100, Rosemont, IL 60018.</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ind w:left="960" w:right="320" w:hanging="912"/>
        <w:spacing w:after="0" w:line="244" w:lineRule="auto"/>
        <w:tabs>
          <w:tab w:leader="none" w:pos="960"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Wynnchurch Partners IV, L.P., WC Partners Executive IV, L.P., Wynnchurch Capital Partners IV, L.P. are Cayman Islands partnerships. Wynnchurch Capital, L.P. is a Delaware partnership. Christopher P. O'Brien, Gregory B. Gleason, John A. Hatherly, and Francis G. Hayes are United States citizens.</w:t>
      </w:r>
    </w:p>
    <w:p>
      <w:pPr>
        <w:spacing w:after="0" w:line="11"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ind w:left="960"/>
        <w:spacing w:after="0"/>
        <w:rPr>
          <w:sz w:val="20"/>
          <w:szCs w:val="20"/>
          <w:color w:val="auto"/>
        </w:rPr>
      </w:pPr>
      <w:r>
        <w:rPr>
          <w:rFonts w:ascii="Times New Roman" w:cs="Times New Roman" w:eastAsia="Times New Roman" w:hAnsi="Times New Roman"/>
          <w:sz w:val="22"/>
          <w:szCs w:val="22"/>
          <w:color w:val="auto"/>
        </w:rPr>
        <w:t>Common Stock</w:t>
      </w:r>
    </w:p>
    <w:p>
      <w:pPr>
        <w:ind w:left="960" w:hanging="912"/>
        <w:spacing w:after="0" w:line="180" w:lineRule="auto"/>
        <w:tabs>
          <w:tab w:leader="none" w:pos="960" w:val="left"/>
        </w:tabs>
        <w:numPr>
          <w:ilvl w:val="0"/>
          <w:numId w:val="18"/>
        </w:numPr>
        <w:rPr>
          <w:rFonts w:ascii="Times New Roman" w:cs="Times New Roman" w:eastAsia="Times New Roman" w:hAnsi="Times New Roman"/>
          <w:sz w:val="35"/>
          <w:szCs w:val="35"/>
          <w:color w:val="auto"/>
          <w:vertAlign w:val="subscript"/>
        </w:rPr>
      </w:pPr>
      <w:r>
        <w:rPr>
          <w:rFonts w:ascii="Times New Roman" w:cs="Times New Roman" w:eastAsia="Times New Roman" w:hAnsi="Times New Roman"/>
          <w:sz w:val="19"/>
          <w:szCs w:val="19"/>
          <w:color w:val="auto"/>
        </w:rPr>
        <w:t>CUSIP No.:</w:t>
      </w:r>
    </w:p>
    <w:p>
      <w:pPr>
        <w:spacing w:after="0" w:line="258"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60" w:hanging="912"/>
        <w:spacing w:after="0"/>
        <w:tabs>
          <w:tab w:leader="none" w:pos="960"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Investment company registered under section 8 of the Investment Company Act of 1940 (15 U.S.C. 80a-8);</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60" w:right="620" w:hanging="912"/>
        <w:spacing w:after="0" w:line="185" w:lineRule="auto"/>
        <w:tabs>
          <w:tab w:leader="none" w:pos="960" w:val="left"/>
        </w:tabs>
        <w:numPr>
          <w:ilvl w:val="0"/>
          <w:numId w:val="19"/>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6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60" w:hanging="912"/>
        <w:spacing w:after="0" w:line="230" w:lineRule="auto"/>
        <w:tabs>
          <w:tab w:leader="none" w:pos="960"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60" w:hanging="912"/>
        <w:spacing w:after="0"/>
        <w:tabs>
          <w:tab w:leader="none" w:pos="960"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The information required by Items 4(a) - (c) is set forth in Rows 5 through 11 of the cover page for each Reporting</w:t>
      </w:r>
    </w:p>
    <w:p>
      <w:pPr>
        <w:spacing w:after="0" w:line="14" w:lineRule="exact"/>
        <w:rPr>
          <w:sz w:val="20"/>
          <w:szCs w:val="20"/>
          <w:color w:val="auto"/>
        </w:rPr>
      </w:pPr>
    </w:p>
    <w:p>
      <w:pPr>
        <w:ind w:left="960" w:hanging="912"/>
        <w:spacing w:after="0" w:line="196" w:lineRule="auto"/>
        <w:tabs>
          <w:tab w:leader="none" w:pos="960" w:val="left"/>
        </w:tabs>
        <w:numPr>
          <w:ilvl w:val="0"/>
          <w:numId w:val="21"/>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Person and incorporated herein by reference for each such Reporting Person. Shares of Common Stock are no longer held directly by Wynnchurch Capital Partners IV, L.P. Wynnchurch Partners IV, L.P. is the general partner of Wynnchurch Capital Partners IV, L.P. Wynnchurch Capital, L.P. is the investment adviser to Wynnchurch Capital Partners IV, L.P. Wynnchurch Capital, L.P. is principally owned and controlled by Christopher P. O'Brien, Gregory B. Gleason, John A. Hatherly, and Francis G. Hayes.</w:t>
      </w:r>
    </w:p>
    <w:p>
      <w:pPr>
        <w:spacing w:after="0" w:line="14" w:lineRule="exact"/>
        <w:rPr>
          <w:rFonts w:ascii="Times New Roman" w:cs="Times New Roman" w:eastAsia="Times New Roman" w:hAnsi="Times New Roman"/>
          <w:sz w:val="43"/>
          <w:szCs w:val="43"/>
          <w:color w:val="auto"/>
          <w:vertAlign w:val="subscript"/>
        </w:rPr>
      </w:pPr>
    </w:p>
    <w:p>
      <w:pPr>
        <w:ind w:left="960" w:hanging="912"/>
        <w:spacing w:after="0"/>
        <w:tabs>
          <w:tab w:leader="none" w:pos="960"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w:t>
      </w:r>
    </w:p>
    <w:p>
      <w:pPr>
        <w:sectPr>
          <w:pgSz w:w="11900" w:h="16838" w:orient="portrait"/>
          <w:cols w:equalWidth="0" w:num="1">
            <w:col w:w="11120"/>
          </w:cols>
          <w:pgMar w:left="320" w:top="111" w:right="459" w:bottom="248" w:gutter="0" w:footer="0" w:header="0"/>
        </w:sectPr>
      </w:pPr>
    </w:p>
    <w:bookmarkStart w:id="8" w:name="page9"/>
    <w:bookmarkEnd w:id="8"/>
    <w:p>
      <w:pPr>
        <w:ind w:left="920" w:right="300"/>
        <w:spacing w:after="0" w:line="256" w:lineRule="auto"/>
        <w:rPr>
          <w:sz w:val="20"/>
          <w:szCs w:val="20"/>
          <w:color w:val="auto"/>
        </w:rPr>
      </w:pPr>
      <w:r>
        <w:rPr>
          <w:rFonts w:ascii="Times New Roman" w:cs="Times New Roman" w:eastAsia="Times New Roman" w:hAnsi="Times New Roman"/>
          <w:sz w:val="22"/>
          <w:szCs w:val="22"/>
          <w:color w:val="auto"/>
        </w:rPr>
        <w:t>The information required by Items 4(a) - (c) is set forth in Rows 5 through 11 of the cover page for each Reporting Person and incorporated herein by reference for each such Reporting Person. %</w:t>
      </w:r>
    </w:p>
    <w:p>
      <w:pPr>
        <w:spacing w:after="0" w:line="1" w:lineRule="exact"/>
        <w:rPr>
          <w:sz w:val="20"/>
          <w:szCs w:val="20"/>
          <w:color w:val="auto"/>
        </w:rPr>
      </w:pPr>
    </w:p>
    <w:p>
      <w:pPr>
        <w:ind w:left="920" w:hanging="912"/>
        <w:spacing w:after="0"/>
        <w:tabs>
          <w:tab w:leader="none" w:pos="920"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111"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right="300"/>
        <w:spacing w:after="0" w:line="258" w:lineRule="auto"/>
        <w:rPr>
          <w:sz w:val="20"/>
          <w:szCs w:val="20"/>
          <w:color w:val="auto"/>
        </w:rPr>
      </w:pPr>
      <w:r>
        <w:rPr>
          <w:rFonts w:ascii="Times New Roman" w:cs="Times New Roman" w:eastAsia="Times New Roman" w:hAnsi="Times New Roman"/>
          <w:sz w:val="22"/>
          <w:szCs w:val="22"/>
          <w:color w:val="auto"/>
        </w:rPr>
        <w:t>The information required by Items 4(a) - (c) is set forth in Rows 5 through 11 of the cover page for each Reporting Person and incorporated herein by reference for each such Reporting Person.</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pacing w:after="0" w:line="233" w:lineRule="exact"/>
        <w:rPr>
          <w:sz w:val="20"/>
          <w:szCs w:val="20"/>
          <w:color w:val="auto"/>
        </w:rPr>
      </w:pPr>
    </w:p>
    <w:p>
      <w:pPr>
        <w:ind w:right="300"/>
        <w:spacing w:after="0" w:line="258" w:lineRule="auto"/>
        <w:rPr>
          <w:sz w:val="20"/>
          <w:szCs w:val="20"/>
          <w:color w:val="auto"/>
        </w:rPr>
      </w:pPr>
      <w:r>
        <w:rPr>
          <w:rFonts w:ascii="Times New Roman" w:cs="Times New Roman" w:eastAsia="Times New Roman" w:hAnsi="Times New Roman"/>
          <w:sz w:val="22"/>
          <w:szCs w:val="22"/>
          <w:color w:val="auto"/>
        </w:rPr>
        <w:t>The information required by Items 4(a) - (c) is set forth in Rows 5 through 11 of the cover page for each Reporting Person and incorporated herein by reference for each such Reporting Person.</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(iii) Sole power to dispose or to direct the disposition of:</w:t>
      </w:r>
    </w:p>
    <w:p>
      <w:pPr>
        <w:spacing w:after="0" w:line="233" w:lineRule="exact"/>
        <w:rPr>
          <w:sz w:val="20"/>
          <w:szCs w:val="20"/>
          <w:color w:val="auto"/>
        </w:rPr>
      </w:pPr>
    </w:p>
    <w:p>
      <w:pPr>
        <w:ind w:right="300"/>
        <w:spacing w:after="0" w:line="258" w:lineRule="auto"/>
        <w:rPr>
          <w:sz w:val="20"/>
          <w:szCs w:val="20"/>
          <w:color w:val="auto"/>
        </w:rPr>
      </w:pPr>
      <w:r>
        <w:rPr>
          <w:rFonts w:ascii="Times New Roman" w:cs="Times New Roman" w:eastAsia="Times New Roman" w:hAnsi="Times New Roman"/>
          <w:sz w:val="22"/>
          <w:szCs w:val="22"/>
          <w:color w:val="auto"/>
        </w:rPr>
        <w:t>The information required by Items 4(a) - (c) is set forth in Rows 5 through 11 of the cover page for each Reporting Person and incorporated herein by reference for each such Reporting Person.</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(iv) Shared power to dispose or to direct the disposition of:</w:t>
      </w:r>
    </w:p>
    <w:p>
      <w:pPr>
        <w:spacing w:after="0" w:line="233" w:lineRule="exact"/>
        <w:rPr>
          <w:sz w:val="20"/>
          <w:szCs w:val="20"/>
          <w:color w:val="auto"/>
        </w:rPr>
      </w:pPr>
    </w:p>
    <w:p>
      <w:pPr>
        <w:ind w:right="300"/>
        <w:spacing w:after="0" w:line="258" w:lineRule="auto"/>
        <w:rPr>
          <w:sz w:val="20"/>
          <w:szCs w:val="20"/>
          <w:color w:val="auto"/>
        </w:rPr>
      </w:pPr>
      <w:r>
        <w:rPr>
          <w:rFonts w:ascii="Times New Roman" w:cs="Times New Roman" w:eastAsia="Times New Roman" w:hAnsi="Times New Roman"/>
          <w:sz w:val="22"/>
          <w:szCs w:val="22"/>
          <w:color w:val="auto"/>
        </w:rPr>
        <w:t>The information required by Items 4(a) - (c) is set forth in Rows 5 through 11 of the cover page for each Reporting Person and incorporated herein by reference for each such Reporting Person.</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ectPr>
          <w:pgSz w:w="11900" w:h="16838" w:orient="portrait"/>
          <w:cols w:equalWidth="0" w:num="2">
            <w:col w:w="620" w:space="300"/>
            <w:col w:w="10220"/>
          </w:cols>
          <w:pgMar w:left="360" w:top="111" w:right="399" w:bottom="0" w:gutter="0" w:footer="0" w:header="0"/>
          <w:type w:val="continuous"/>
        </w:sectPr>
      </w:pPr>
    </w:p>
    <w:p>
      <w:pPr>
        <w:jc w:val="both"/>
        <w:ind w:left="920"/>
        <w:spacing w:after="0" w:line="244" w:lineRule="auto"/>
        <w:rPr>
          <w:sz w:val="20"/>
          <w:szCs w:val="20"/>
          <w:color w:val="auto"/>
        </w:rPr>
      </w:pPr>
      <w:r>
        <w:rPr>
          <w:rFonts w:ascii="Times New Roman" w:cs="Times New Roman" w:eastAsia="Times New Roman" w:hAnsi="Times New Roman"/>
          <w:sz w:val="22"/>
          <w:szCs w:val="22"/>
          <w:color w:val="auto"/>
        </w:rPr>
        <w:t>If a group has filed this schedule pursuant to §240.13d-1(b)(1)(ii)(J), so indicate under Item 3(j) and attach an exhibit stating the identity and Item 3 classification of each member of the group. If a group has filed this schedule pursuant to §240.13d-1(c) or §240.13d-1(d), attach an exhibit stating the identity of each member of the group.</w:t>
      </w:r>
    </w:p>
    <w:p>
      <w:pPr>
        <w:spacing w:after="0" w:line="200" w:lineRule="exact"/>
        <w:rPr>
          <w:sz w:val="20"/>
          <w:szCs w:val="20"/>
          <w:color w:val="auto"/>
        </w:rPr>
      </w:pPr>
    </w:p>
    <w:p>
      <w:pPr>
        <w:spacing w:after="0" w:line="243" w:lineRule="exact"/>
        <w:rPr>
          <w:sz w:val="20"/>
          <w:szCs w:val="20"/>
          <w:color w:val="auto"/>
        </w:rPr>
      </w:pPr>
    </w:p>
    <w:p>
      <w:pPr>
        <w:ind w:left="920" w:right="20"/>
        <w:spacing w:after="0" w:line="234" w:lineRule="auto"/>
        <w:rPr>
          <w:sz w:val="20"/>
          <w:szCs w:val="20"/>
          <w:color w:val="auto"/>
        </w:rPr>
      </w:pPr>
      <w:r>
        <w:rPr>
          <w:rFonts w:ascii="Times New Roman" w:cs="Times New Roman" w:eastAsia="Times New Roman" w:hAnsi="Times New Roman"/>
          <w:sz w:val="22"/>
          <w:szCs w:val="22"/>
          <w:color w:val="auto"/>
        </w:rPr>
        <w:t>Pamplona Capital Partners V, L. P. (the "Pamplona Fund") entered into a stockholders agreement, dated as April 27, 2021 (the "Stockholders Agreement"), with Wynnchurch Capital Partners IV, L.P. and WC Partners Executive IV, L.P. (collectively, the "Wynnchurch Funds"). Pursuant to the Stockholders Agreement, each of the Pamplona Fund and the Wynnchurch Funds have agreed, among other things, to vote their shares of Common Stock to elect members of the board of directors of the Issuer as set forth therein. Because of the relationship between the Pamplona Fund and the Wynnchurch Funds as a result of the Stockholders Agreement, the Reporting Persons may be deemed, pursuant to Rule 13d-3 under the Act, to beneficially own the shares of Common Stock beneficially owned by the Wynnchurch Funds and/or to constitute a "group" with the Wynnchurch Funds. Each Reporting Person disclaims beneficial ownership of the shares of Common Stock beneficially owned by the Pamplona Fund.</w:t>
      </w:r>
    </w:p>
    <w:p>
      <w:pPr>
        <w:spacing w:after="0" w:line="2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10. Certifications:</w:t>
      </w:r>
    </w:p>
    <w:p>
      <w:pPr>
        <w:spacing w:after="0" w:line="44"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WYNNCHURCH CAPITAL PARTNERS IV, L.P.</w:t>
      </w:r>
    </w:p>
    <w:p>
      <w:pPr>
        <w:spacing w:after="0" w:line="152" w:lineRule="exact"/>
        <w:rPr>
          <w:sz w:val="20"/>
          <w:szCs w:val="20"/>
          <w:color w:val="auto"/>
        </w:rPr>
      </w:pPr>
    </w:p>
    <w:p>
      <w:pPr>
        <w:ind w:left="5620"/>
        <w:spacing w:after="0"/>
        <w:tabs>
          <w:tab w:leader="none" w:pos="67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Christopher P. O'Brien</w:t>
      </w:r>
    </w:p>
    <w:p>
      <w:pPr>
        <w:spacing w:after="0" w:line="44"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21"/>
          <w:szCs w:val="21"/>
          <w:color w:val="auto"/>
        </w:rPr>
        <w:t>Name/Title: WYNNCHURCH CAPITAL PARTNERS IV, L.P.</w:t>
      </w:r>
    </w:p>
    <w:p>
      <w:pPr>
        <w:spacing w:after="0" w:line="56" w:lineRule="exact"/>
        <w:rPr>
          <w:sz w:val="20"/>
          <w:szCs w:val="20"/>
          <w:color w:val="auto"/>
        </w:rPr>
      </w:pPr>
    </w:p>
    <w:p>
      <w:pPr>
        <w:ind w:left="5620"/>
        <w:spacing w:after="0"/>
        <w:tabs>
          <w:tab w:leader="none" w:pos="67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05/20/2026</w:t>
      </w:r>
    </w:p>
    <w:p>
      <w:pPr>
        <w:spacing w:after="0" w:line="152"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22"/>
          <w:szCs w:val="22"/>
          <w:color w:val="auto"/>
        </w:rPr>
        <w:t>Wynnchurch Partners IV, L.P.</w:t>
      </w:r>
    </w:p>
    <w:p>
      <w:pPr>
        <w:sectPr>
          <w:pgSz w:w="11900" w:h="16838" w:orient="portrait"/>
          <w:cols w:equalWidth="0" w:num="1">
            <w:col w:w="11140"/>
          </w:cols>
          <w:pgMar w:left="360" w:top="111" w:right="399" w:bottom="0" w:gutter="0" w:footer="0" w:header="0"/>
          <w:type w:val="continuous"/>
        </w:sectPr>
      </w:pPr>
    </w:p>
    <w:bookmarkStart w:id="9" w:name="page10"/>
    <w:bookmarkEnd w:id="9"/>
    <w:p>
      <w:pPr>
        <w:ind w:left="3840"/>
        <w:spacing w:after="0"/>
        <w:tabs>
          <w:tab w:leader="none" w:pos="49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Christopher P. O'Brien</w:t>
      </w:r>
    </w:p>
    <w:p>
      <w:pPr>
        <w:spacing w:after="0" w:line="45"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22"/>
          <w:szCs w:val="22"/>
          <w:color w:val="auto"/>
        </w:rPr>
        <w:t>Name/Title: Wynnchurch Partners IV, L.P.</w:t>
      </w:r>
    </w:p>
    <w:p>
      <w:pPr>
        <w:spacing w:after="0" w:line="44" w:lineRule="exact"/>
        <w:rPr>
          <w:sz w:val="20"/>
          <w:szCs w:val="20"/>
          <w:color w:val="auto"/>
        </w:rPr>
      </w:pPr>
    </w:p>
    <w:p>
      <w:pPr>
        <w:ind w:left="3840"/>
        <w:spacing w:after="0"/>
        <w:tabs>
          <w:tab w:leader="none" w:pos="49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05/20/2026</w:t>
      </w:r>
    </w:p>
    <w:p>
      <w:pPr>
        <w:spacing w:after="0" w:line="152" w:lineRule="exact"/>
        <w:rPr>
          <w:sz w:val="20"/>
          <w:szCs w:val="20"/>
          <w:color w:val="auto"/>
        </w:rPr>
      </w:pPr>
    </w:p>
    <w:p>
      <w:pPr>
        <w:ind w:left="2420"/>
        <w:spacing w:after="0"/>
        <w:rPr>
          <w:sz w:val="20"/>
          <w:szCs w:val="20"/>
          <w:color w:val="auto"/>
        </w:rPr>
      </w:pPr>
      <w:r>
        <w:rPr>
          <w:rFonts w:ascii="Times New Roman" w:cs="Times New Roman" w:eastAsia="Times New Roman" w:hAnsi="Times New Roman"/>
          <w:sz w:val="22"/>
          <w:szCs w:val="22"/>
          <w:color w:val="auto"/>
        </w:rPr>
        <w:t>Wynnchurch Capital, L.P.</w:t>
      </w:r>
    </w:p>
    <w:p>
      <w:pPr>
        <w:spacing w:after="0" w:line="152" w:lineRule="exact"/>
        <w:rPr>
          <w:sz w:val="20"/>
          <w:szCs w:val="20"/>
          <w:color w:val="auto"/>
        </w:rPr>
      </w:pPr>
    </w:p>
    <w:p>
      <w:pPr>
        <w:ind w:left="3500"/>
        <w:spacing w:after="0"/>
        <w:tabs>
          <w:tab w:leader="none" w:pos="45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Christopher P. O'Brien</w:t>
      </w:r>
    </w:p>
    <w:p>
      <w:pPr>
        <w:spacing w:after="0" w:line="44"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22"/>
          <w:szCs w:val="22"/>
          <w:color w:val="auto"/>
        </w:rPr>
        <w:t>Name/Title: Wynnchurch Capital, L.P.</w:t>
      </w:r>
    </w:p>
    <w:p>
      <w:pPr>
        <w:spacing w:after="0" w:line="44" w:lineRule="exact"/>
        <w:rPr>
          <w:sz w:val="20"/>
          <w:szCs w:val="20"/>
          <w:color w:val="auto"/>
        </w:rPr>
      </w:pPr>
    </w:p>
    <w:p>
      <w:pPr>
        <w:ind w:left="3500"/>
        <w:spacing w:after="0"/>
        <w:tabs>
          <w:tab w:leader="none" w:pos="45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05/20/2026</w:t>
      </w:r>
    </w:p>
    <w:p>
      <w:pPr>
        <w:spacing w:after="0" w:line="152"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22"/>
          <w:szCs w:val="22"/>
          <w:color w:val="auto"/>
        </w:rPr>
        <w:t>WC PARTNERS EXECUTIVE IV, L.P.</w:t>
      </w:r>
    </w:p>
    <w:p>
      <w:pPr>
        <w:spacing w:after="0" w:line="152" w:lineRule="exact"/>
        <w:rPr>
          <w:sz w:val="20"/>
          <w:szCs w:val="20"/>
          <w:color w:val="auto"/>
        </w:rPr>
      </w:pPr>
    </w:p>
    <w:p>
      <w:pPr>
        <w:ind w:left="4720"/>
        <w:spacing w:after="0"/>
        <w:tabs>
          <w:tab w:leader="none" w:pos="58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Christopher P. O'Brien</w:t>
      </w:r>
    </w:p>
    <w:p>
      <w:pPr>
        <w:spacing w:after="0" w:line="44"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21"/>
          <w:szCs w:val="21"/>
          <w:color w:val="auto"/>
        </w:rPr>
        <w:t>Name/Title: WC PARTNERS EXECUTIVE IV, L.P.</w:t>
      </w:r>
    </w:p>
    <w:p>
      <w:pPr>
        <w:spacing w:after="0" w:line="56" w:lineRule="exact"/>
        <w:rPr>
          <w:sz w:val="20"/>
          <w:szCs w:val="20"/>
          <w:color w:val="auto"/>
        </w:rPr>
      </w:pPr>
    </w:p>
    <w:p>
      <w:pPr>
        <w:ind w:left="4720"/>
        <w:spacing w:after="0"/>
        <w:tabs>
          <w:tab w:leader="none" w:pos="58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05/20/2026</w:t>
      </w:r>
    </w:p>
    <w:p>
      <w:pPr>
        <w:spacing w:after="0" w:line="152"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22"/>
          <w:szCs w:val="22"/>
          <w:color w:val="auto"/>
        </w:rPr>
        <w:t>John A. Hatherly</w:t>
      </w:r>
    </w:p>
    <w:p>
      <w:pPr>
        <w:spacing w:after="0" w:line="152" w:lineRule="exact"/>
        <w:rPr>
          <w:sz w:val="20"/>
          <w:szCs w:val="20"/>
          <w:color w:val="auto"/>
        </w:rPr>
      </w:pPr>
    </w:p>
    <w:p>
      <w:pPr>
        <w:ind w:left="3020"/>
        <w:spacing w:after="0"/>
        <w:tabs>
          <w:tab w:leader="none" w:pos="41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John A. Hatherly</w:t>
      </w:r>
    </w:p>
    <w:p>
      <w:pPr>
        <w:spacing w:after="0" w:line="44"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22"/>
          <w:szCs w:val="22"/>
          <w:color w:val="auto"/>
        </w:rPr>
        <w:t>Name/Title: John A. Hatherly</w:t>
      </w:r>
    </w:p>
    <w:p>
      <w:pPr>
        <w:spacing w:after="0" w:line="44" w:lineRule="exact"/>
        <w:rPr>
          <w:sz w:val="20"/>
          <w:szCs w:val="20"/>
          <w:color w:val="auto"/>
        </w:rPr>
      </w:pPr>
    </w:p>
    <w:p>
      <w:pPr>
        <w:ind w:left="3020"/>
        <w:spacing w:after="0"/>
        <w:tabs>
          <w:tab w:leader="none" w:pos="41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05/20/2026</w:t>
      </w:r>
    </w:p>
    <w:p>
      <w:pPr>
        <w:spacing w:after="0" w:line="152"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22"/>
          <w:szCs w:val="22"/>
          <w:color w:val="auto"/>
        </w:rPr>
        <w:t>Francis G. Hayes</w:t>
      </w:r>
    </w:p>
    <w:p>
      <w:pPr>
        <w:spacing w:after="0" w:line="152" w:lineRule="exact"/>
        <w:rPr>
          <w:sz w:val="20"/>
          <w:szCs w:val="20"/>
          <w:color w:val="auto"/>
        </w:rPr>
      </w:pPr>
    </w:p>
    <w:p>
      <w:pPr>
        <w:ind w:left="3040"/>
        <w:spacing w:after="0"/>
        <w:tabs>
          <w:tab w:leader="none" w:pos="41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Francis G. Hayes</w:t>
      </w:r>
    </w:p>
    <w:p>
      <w:pPr>
        <w:spacing w:after="0" w:line="44"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22"/>
          <w:szCs w:val="22"/>
          <w:color w:val="auto"/>
        </w:rPr>
        <w:t>Name/Title: Francis G. Hayes</w:t>
      </w:r>
    </w:p>
    <w:p>
      <w:pPr>
        <w:spacing w:after="0" w:line="44" w:lineRule="exact"/>
        <w:rPr>
          <w:sz w:val="20"/>
          <w:szCs w:val="20"/>
          <w:color w:val="auto"/>
        </w:rPr>
      </w:pPr>
    </w:p>
    <w:p>
      <w:pPr>
        <w:ind w:left="3040"/>
        <w:spacing w:after="0"/>
        <w:tabs>
          <w:tab w:leader="none" w:pos="41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05/20/2026</w:t>
      </w:r>
    </w:p>
    <w:p>
      <w:pPr>
        <w:spacing w:after="0" w:line="152"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22"/>
          <w:szCs w:val="22"/>
          <w:color w:val="auto"/>
        </w:rPr>
        <w:t>Christopher Patrick OBrien</w:t>
      </w:r>
    </w:p>
    <w:p>
      <w:pPr>
        <w:spacing w:after="0" w:line="152" w:lineRule="exact"/>
        <w:rPr>
          <w:sz w:val="20"/>
          <w:szCs w:val="20"/>
          <w:color w:val="auto"/>
        </w:rPr>
      </w:pPr>
    </w:p>
    <w:p>
      <w:pPr>
        <w:ind w:left="3700"/>
        <w:spacing w:after="0"/>
        <w:tabs>
          <w:tab w:leader="none" w:pos="47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Christopher Patrick O'Brien</w:t>
      </w:r>
    </w:p>
    <w:p>
      <w:pPr>
        <w:spacing w:after="0" w:line="44"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22"/>
          <w:szCs w:val="22"/>
          <w:color w:val="auto"/>
        </w:rPr>
        <w:t>Name/Title: Christopher Patrick O'Brien</w:t>
      </w:r>
    </w:p>
    <w:p>
      <w:pPr>
        <w:spacing w:after="0" w:line="44" w:lineRule="exact"/>
        <w:rPr>
          <w:sz w:val="20"/>
          <w:szCs w:val="20"/>
          <w:color w:val="auto"/>
        </w:rPr>
      </w:pPr>
    </w:p>
    <w:p>
      <w:pPr>
        <w:ind w:left="3700"/>
        <w:spacing w:after="0"/>
        <w:tabs>
          <w:tab w:leader="none" w:pos="47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05/20/2026</w:t>
      </w:r>
    </w:p>
    <w:p>
      <w:pPr>
        <w:spacing w:after="0" w:line="152"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22"/>
          <w:szCs w:val="22"/>
          <w:color w:val="auto"/>
        </w:rPr>
        <w:t>Gregory B. Gleason</w:t>
      </w:r>
    </w:p>
    <w:p>
      <w:pPr>
        <w:spacing w:after="0" w:line="152" w:lineRule="exact"/>
        <w:rPr>
          <w:sz w:val="20"/>
          <w:szCs w:val="20"/>
          <w:color w:val="auto"/>
        </w:rPr>
      </w:pPr>
    </w:p>
    <w:p>
      <w:pPr>
        <w:ind w:left="3280"/>
        <w:spacing w:after="0"/>
        <w:tabs>
          <w:tab w:leader="none" w:pos="4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Gregory B. Gleason</w:t>
      </w:r>
    </w:p>
    <w:p>
      <w:pPr>
        <w:spacing w:after="0" w:line="44"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22"/>
          <w:szCs w:val="22"/>
          <w:color w:val="auto"/>
        </w:rPr>
        <w:t>Name/Title: Gregory B. Gleason</w:t>
      </w:r>
    </w:p>
    <w:p>
      <w:pPr>
        <w:spacing w:after="0" w:line="44" w:lineRule="exact"/>
        <w:rPr>
          <w:sz w:val="20"/>
          <w:szCs w:val="20"/>
          <w:color w:val="auto"/>
        </w:rPr>
      </w:pPr>
    </w:p>
    <w:p>
      <w:pPr>
        <w:ind w:left="3280"/>
        <w:spacing w:after="0"/>
        <w:tabs>
          <w:tab w:leader="none" w:pos="4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05/20/2026</w:t>
      </w:r>
    </w:p>
    <w:p>
      <w:pPr>
        <w:spacing w:after="0" w:line="108" w:lineRule="exact"/>
        <w:rPr>
          <w:sz w:val="20"/>
          <w:szCs w:val="20"/>
          <w:color w:val="auto"/>
        </w:rPr>
      </w:pPr>
    </w:p>
    <w:p>
      <w:pPr>
        <w:jc w:val="center"/>
        <w:ind w:right="2479"/>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https://www.sec.gov/Archives/edgar/data/1620062/000089706922000111/cmw382a.htm</w:t>
      </w:r>
    </w:p>
    <w:sectPr>
      <w:pgSz w:w="11900" w:h="16838" w:orient="portrait"/>
      <w:cols w:equalWidth="0" w:num="1">
        <w:col w:w="10099"/>
      </w:cols>
      <w:pgMar w:left="360" w:top="11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1190CDE7"/>
    <w:multiLevelType w:val="hybridMultilevel"/>
    <w:lvl w:ilvl="0">
      <w:lvlJc w:val="left"/>
      <w:lvlText w:val="2"/>
      <w:numFmt w:val="bullet"/>
      <w:start w:val="1"/>
    </w:lvl>
  </w:abstractNum>
  <w:abstractNum w:abstractNumId="1">
    <w:nsid w:val="66EF438D"/>
    <w:multiLevelType w:val="hybridMultilevel"/>
    <w:lvl w:ilvl="0">
      <w:lvlJc w:val="left"/>
      <w:lvlText w:val="3"/>
      <w:numFmt w:val="bullet"/>
      <w:start w:val="1"/>
    </w:lvl>
  </w:abstractNum>
  <w:abstractNum w:abstractNumId="2">
    <w:nsid w:val="140E0F76"/>
    <w:multiLevelType w:val="hybridMultilevel"/>
    <w:lvl w:ilvl="0">
      <w:lvlJc w:val="left"/>
      <w:lvlText w:val="5"/>
      <w:numFmt w:val="bullet"/>
      <w:start w:val="1"/>
    </w:lvl>
  </w:abstractNum>
  <w:abstractNum w:abstractNumId="3">
    <w:nsid w:val="3352255A"/>
    <w:multiLevelType w:val="hybridMultilevel"/>
    <w:lvl w:ilvl="0">
      <w:lvlJc w:val="left"/>
      <w:lvlText w:val="2"/>
      <w:numFmt w:val="bullet"/>
      <w:start w:val="1"/>
    </w:lvl>
  </w:abstractNum>
  <w:abstractNum w:abstractNumId="4">
    <w:nsid w:val="109CF92E"/>
    <w:multiLevelType w:val="hybridMultilevel"/>
    <w:lvl w:ilvl="0">
      <w:lvlJc w:val="left"/>
      <w:lvlText w:val="3"/>
      <w:numFmt w:val="bullet"/>
      <w:start w:val="1"/>
    </w:lvl>
  </w:abstractNum>
  <w:abstractNum w:abstractNumId="5">
    <w:nsid w:val="DED7263"/>
    <w:multiLevelType w:val="hybridMultilevel"/>
    <w:lvl w:ilvl="0">
      <w:lvlJc w:val="left"/>
      <w:lvlText w:val="9"/>
      <w:numFmt w:val="bullet"/>
      <w:start w:val="1"/>
    </w:lvl>
  </w:abstractNum>
  <w:abstractNum w:abstractNumId="6">
    <w:nsid w:val="7FDCC233"/>
    <w:multiLevelType w:val="hybridMultilevel"/>
    <w:lvl w:ilvl="0">
      <w:lvlJc w:val="left"/>
      <w:lvlText w:val="2"/>
      <w:numFmt w:val="bullet"/>
      <w:start w:val="1"/>
    </w:lvl>
  </w:abstractNum>
  <w:abstractNum w:abstractNumId="7">
    <w:nsid w:val="1BEFD79F"/>
    <w:multiLevelType w:val="hybridMultilevel"/>
    <w:lvl w:ilvl="0">
      <w:lvlJc w:val="left"/>
      <w:lvlText w:val="2"/>
      <w:numFmt w:val="bullet"/>
      <w:start w:val="1"/>
    </w:lvl>
  </w:abstractNum>
  <w:abstractNum w:abstractNumId="8">
    <w:nsid w:val="41A7C4C9"/>
    <w:multiLevelType w:val="hybridMultilevel"/>
    <w:lvl w:ilvl="0">
      <w:lvlJc w:val="left"/>
      <w:lvlText w:val="1"/>
      <w:numFmt w:val="bullet"/>
      <w:start w:val="1"/>
    </w:lvl>
  </w:abstractNum>
  <w:abstractNum w:abstractNumId="9">
    <w:nsid w:val="6B68079A"/>
    <w:multiLevelType w:val="hybridMultilevel"/>
    <w:lvl w:ilvl="0">
      <w:lvlJc w:val="left"/>
      <w:lvlText w:val="2"/>
      <w:numFmt w:val="bullet"/>
      <w:start w:val="1"/>
    </w:lvl>
  </w:abstractNum>
  <w:abstractNum w:abstractNumId="10">
    <w:nsid w:val="4E6AFB66"/>
    <w:multiLevelType w:val="hybridMultilevel"/>
    <w:lvl w:ilvl="0">
      <w:lvlJc w:val="left"/>
      <w:lvlText w:val="2"/>
      <w:numFmt w:val="bullet"/>
      <w:start w:val="1"/>
    </w:lvl>
  </w:abstractNum>
  <w:abstractNum w:abstractNumId="11">
    <w:nsid w:val="25E45D32"/>
    <w:multiLevelType w:val="hybridMultilevel"/>
    <w:lvl w:ilvl="0">
      <w:lvlJc w:val="left"/>
      <w:lvlText w:val="3"/>
      <w:numFmt w:val="bullet"/>
      <w:start w:val="1"/>
    </w:lvl>
  </w:abstractNum>
  <w:abstractNum w:abstractNumId="12">
    <w:nsid w:val="519B500D"/>
    <w:multiLevelType w:val="hybridMultilevel"/>
    <w:lvl w:ilvl="0">
      <w:lvlJc w:val="left"/>
      <w:lvlText w:val="2"/>
      <w:numFmt w:val="bullet"/>
      <w:start w:val="1"/>
    </w:lvl>
  </w:abstractNum>
  <w:abstractNum w:abstractNumId="13">
    <w:nsid w:val="431BD7B7"/>
    <w:multiLevelType w:val="hybridMultilevel"/>
    <w:lvl w:ilvl="0">
      <w:lvlJc w:val="left"/>
      <w:lvlText w:val="3"/>
      <w:numFmt w:val="bullet"/>
      <w:start w:val="1"/>
    </w:lvl>
  </w:abstractNum>
  <w:abstractNum w:abstractNumId="14">
    <w:nsid w:val="3F2DBA31"/>
    <w:multiLevelType w:val="hybridMultilevel"/>
    <w:lvl w:ilvl="0">
      <w:lvlJc w:val="left"/>
      <w:lvlText w:val="2"/>
      <w:numFmt w:val="bullet"/>
      <w:start w:val="1"/>
    </w:lvl>
  </w:abstractNum>
  <w:abstractNum w:abstractNumId="15">
    <w:nsid w:val="7C83E458"/>
    <w:multiLevelType w:val="hybridMultilevel"/>
    <w:lvl w:ilvl="0">
      <w:lvlJc w:val="left"/>
      <w:lvlText w:val="(%1)"/>
      <w:numFmt w:val="lowerLetter"/>
      <w:start w:val="1"/>
    </w:lvl>
  </w:abstractNum>
  <w:abstractNum w:abstractNumId="16">
    <w:nsid w:val="257130A3"/>
    <w:multiLevelType w:val="hybridMultilevel"/>
    <w:lvl w:ilvl="0">
      <w:lvlJc w:val="left"/>
      <w:lvlText w:val="(%1)"/>
      <w:numFmt w:val="lowerLetter"/>
      <w:start w:val="3"/>
    </w:lvl>
  </w:abstractNum>
  <w:abstractNum w:abstractNumId="17">
    <w:nsid w:val="62BBD95A"/>
    <w:multiLevelType w:val="hybridMultilevel"/>
    <w:lvl w:ilvl="0">
      <w:lvlJc w:val="left"/>
      <w:lvlText w:val="(%1)"/>
      <w:numFmt w:val="lowerLetter"/>
      <w:start w:val="5"/>
    </w:lvl>
  </w:abstractNum>
  <w:abstractNum w:abstractNumId="18">
    <w:nsid w:val="436C6125"/>
    <w:multiLevelType w:val="hybridMultilevel"/>
    <w:lvl w:ilvl="0">
      <w:lvlJc w:val="left"/>
      <w:lvlText w:val="(%1)"/>
      <w:numFmt w:val="lowerLetter"/>
      <w:start w:val="1"/>
    </w:lvl>
  </w:abstractNum>
  <w:abstractNum w:abstractNumId="19">
    <w:nsid w:val="628C895D"/>
    <w:multiLevelType w:val="hybridMultilevel"/>
    <w:lvl w:ilvl="0">
      <w:lvlJc w:val="left"/>
      <w:lvlText w:val="(%1)"/>
      <w:numFmt w:val="lowerLetter"/>
      <w:start w:val="11"/>
    </w:lvl>
  </w:abstractNum>
  <w:abstractNum w:abstractNumId="20">
    <w:nsid w:val="333AB105"/>
    <w:multiLevelType w:val="hybridMultilevel"/>
    <w:lvl w:ilvl="0">
      <w:lvlJc w:val="left"/>
      <w:lvlText w:val="(%1)"/>
      <w:numFmt w:val="lowerLetter"/>
      <w:start w:val="1"/>
    </w:lvl>
  </w:abstractNum>
  <w:abstractNum w:abstractNumId="21">
    <w:nsid w:val="721DA317"/>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jpeg"/><Relationship Id="rId48" Type="http://schemas.openxmlformats.org/officeDocument/2006/relationships/image" Target="media/image41.jpeg"/><Relationship Id="rId49" Type="http://schemas.openxmlformats.org/officeDocument/2006/relationships/image" Target="media/image42.jpeg"/><Relationship Id="rId50" Type="http://schemas.openxmlformats.org/officeDocument/2006/relationships/image" Target="media/image43.jpeg"/><Relationship Id="rId51" Type="http://schemas.openxmlformats.org/officeDocument/2006/relationships/image" Target="media/image44.jpeg"/><Relationship Id="rId52" Type="http://schemas.openxmlformats.org/officeDocument/2006/relationships/image" Target="media/image45.jpeg"/><Relationship Id="rId53" Type="http://schemas.openxmlformats.org/officeDocument/2006/relationships/image" Target="media/image46.jpeg"/><Relationship Id="rId54" Type="http://schemas.openxmlformats.org/officeDocument/2006/relationships/image" Target="media/image4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2026-05-20T09:06:31Z</dcterms:created>
  <dcterms:modified xsi:type="dcterms:W3CDTF">2026-05-20T09:06:31Z</dcterms:modified>
</cp:coreProperties>
</file>