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114935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6"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4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b w:val="1"/>
          <w:bCs w:val="1"/>
          <w:u w:val="single" w:color="auto"/>
          <w:color w:val="auto"/>
        </w:rPr>
        <w:t>October 1, 2022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78"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1"/>
          <w:szCs w:val="1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-3810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-3810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001-40358</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LATHAM GROUP, Inc.</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Delaware</w:t>
            </w:r>
          </w:p>
        </w:tc>
        <w:tc>
          <w:tcPr>
            <w:tcW w:w="4840" w:type="dxa"/>
            <w:vAlign w:val="bottom"/>
          </w:tcPr>
          <w:p>
            <w:pPr>
              <w:jc w:val="right"/>
              <w:ind w:right="2008"/>
              <w:spacing w:after="0"/>
              <w:rPr>
                <w:sz w:val="20"/>
                <w:szCs w:val="20"/>
                <w:color w:val="auto"/>
              </w:rPr>
            </w:pPr>
            <w:r>
              <w:rPr>
                <w:rFonts w:ascii="Arial" w:cs="Arial" w:eastAsia="Arial" w:hAnsi="Arial"/>
                <w:sz w:val="14"/>
                <w:szCs w:val="14"/>
                <w:b w:val="1"/>
                <w:bCs w:val="1"/>
                <w:color w:val="auto"/>
              </w:rPr>
              <w:t>83-2797583</w:t>
            </w:r>
          </w:p>
        </w:tc>
      </w:tr>
      <w:tr>
        <w:trPr>
          <w:trHeight w:val="123"/>
        </w:trPr>
        <w:tc>
          <w:tcPr>
            <w:tcW w:w="4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(State or other jurisdiction of</w:t>
            </w:r>
          </w:p>
        </w:tc>
        <w:tc>
          <w:tcPr>
            <w:tcW w:w="220" w:type="dxa"/>
            <w:vAlign w:val="bottom"/>
          </w:tcPr>
          <w:p>
            <w:pPr>
              <w:spacing w:after="0"/>
              <w:rPr>
                <w:sz w:val="10"/>
                <w:szCs w:val="10"/>
                <w:color w:val="auto"/>
              </w:rPr>
            </w:pPr>
          </w:p>
        </w:tc>
        <w:tc>
          <w:tcPr>
            <w:tcW w:w="4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incorporation or organization)</w:t>
            </w:r>
          </w:p>
        </w:tc>
        <w:tc>
          <w:tcPr>
            <w:tcW w:w="4840" w:type="dxa"/>
            <w:vAlign w:val="bottom"/>
          </w:tcPr>
          <w:p>
            <w:pPr>
              <w:spacing w:after="0"/>
              <w:rPr>
                <w:sz w:val="15"/>
                <w:szCs w:val="15"/>
                <w:color w:val="auto"/>
              </w:rPr>
            </w:pPr>
          </w:p>
        </w:tc>
      </w:tr>
    </w:tbl>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787 Watervliet Shaker Road, Latham, NY</w:t>
            </w:r>
          </w:p>
        </w:tc>
        <w:tc>
          <w:tcPr>
            <w:tcW w:w="220" w:type="dxa"/>
            <w:vAlign w:val="bottom"/>
          </w:tcPr>
          <w:p>
            <w:pPr>
              <w:spacing w:after="0"/>
              <w:rPr>
                <w:sz w:val="20"/>
                <w:szCs w:val="20"/>
                <w:color w:val="auto"/>
              </w:rPr>
            </w:pPr>
          </w:p>
        </w:tc>
        <w:tc>
          <w:tcPr>
            <w:tcW w:w="4840" w:type="dxa"/>
            <w:vAlign w:val="bottom"/>
            <w:tcBorders>
              <w:bottom w:val="single" w:sz="8" w:color="auto"/>
            </w:tcBorders>
          </w:tcPr>
          <w:p>
            <w:pPr>
              <w:jc w:val="right"/>
              <w:ind w:right="2168"/>
              <w:spacing w:after="0"/>
              <w:rPr>
                <w:sz w:val="20"/>
                <w:szCs w:val="20"/>
                <w:color w:val="auto"/>
              </w:rPr>
            </w:pPr>
            <w:r>
              <w:rPr>
                <w:rFonts w:ascii="Arial" w:cs="Arial" w:eastAsia="Arial" w:hAnsi="Arial"/>
                <w:sz w:val="14"/>
                <w:szCs w:val="14"/>
                <w:b w:val="1"/>
                <w:bCs w:val="1"/>
                <w:color w:val="auto"/>
              </w:rPr>
              <w:t>12110</w:t>
            </w:r>
          </w:p>
        </w:tc>
      </w:tr>
      <w:tr>
        <w:trPr>
          <w:trHeight w:val="238"/>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(Address of principal executive offices)</w:t>
            </w:r>
          </w:p>
        </w:tc>
        <w:tc>
          <w:tcPr>
            <w:tcW w:w="484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833-3800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68"/>
        </w:trPr>
        <w:tc>
          <w:tcPr>
            <w:tcW w:w="39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color w:val="auto"/>
                <w:w w:val="92"/>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Name of each exchange on which registered</w:t>
            </w:r>
          </w:p>
        </w:tc>
      </w:tr>
      <w:tr>
        <w:trPr>
          <w:trHeight w:val="238"/>
        </w:trPr>
        <w:tc>
          <w:tcPr>
            <w:tcW w:w="3920" w:type="dxa"/>
            <w:vAlign w:val="bottom"/>
          </w:tcPr>
          <w:p>
            <w:pPr>
              <w:jc w:val="center"/>
              <w:ind w:right="448"/>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2420" w:type="dxa"/>
            <w:vAlign w:val="bottom"/>
          </w:tcPr>
          <w:p>
            <w:pPr>
              <w:jc w:val="center"/>
              <w:ind w:right="48"/>
              <w:spacing w:after="0"/>
              <w:rPr>
                <w:sz w:val="20"/>
                <w:szCs w:val="20"/>
                <w:color w:val="auto"/>
              </w:rPr>
            </w:pPr>
            <w:r>
              <w:rPr>
                <w:rFonts w:ascii="Arial" w:cs="Arial" w:eastAsia="Arial" w:hAnsi="Arial"/>
                <w:sz w:val="14"/>
                <w:szCs w:val="14"/>
                <w:b w:val="1"/>
                <w:bCs w:val="1"/>
                <w:color w:val="auto"/>
              </w:rPr>
              <w:t>SWIM</w:t>
            </w:r>
          </w:p>
        </w:tc>
        <w:tc>
          <w:tcPr>
            <w:tcW w:w="3580" w:type="dxa"/>
            <w:vAlign w:val="bottom"/>
          </w:tcPr>
          <w:p>
            <w:pPr>
              <w:jc w:val="center"/>
              <w:ind w:left="348"/>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182"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ind w:right="3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100"/>
        <w:spacing w:after="0" w:line="161" w:lineRule="exact"/>
        <w:tabs>
          <w:tab w:leader="none" w:pos="1740" w:val="left"/>
          <w:tab w:leader="none" w:pos="2080" w:val="left"/>
          <w:tab w:leader="none" w:pos="3360" w:val="left"/>
          <w:tab w:leader="none" w:pos="3680" w:val="left"/>
          <w:tab w:leader="none" w:pos="5220" w:val="left"/>
          <w:tab w:leader="none" w:pos="5560" w:val="left"/>
          <w:tab w:leader="none" w:pos="7460" w:val="left"/>
          <w:tab w:leader="none" w:pos="7800" w:val="left"/>
          <w:tab w:leader="none" w:pos="9660" w:val="left"/>
        </w:tabs>
        <w:rPr>
          <w:sz w:val="20"/>
          <w:szCs w:val="20"/>
          <w:color w:val="auto"/>
        </w:rPr>
      </w:pPr>
      <w:r>
        <w:rPr>
          <w:rFonts w:ascii="Arial" w:cs="Arial" w:eastAsia="Arial" w:hAnsi="Arial"/>
          <w:sz w:val="14"/>
          <w:szCs w:val="14"/>
          <w:color w:val="auto"/>
        </w:rPr>
        <w:t>Large 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50" w:lineRule="exact"/>
        <w:rPr>
          <w:sz w:val="24"/>
          <w:szCs w:val="24"/>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248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8, 2022, 117,121,134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4"/>
          </w:tcPr>
          <w:p>
            <w:pPr>
              <w:spacing w:after="0"/>
              <w:rPr>
                <w:sz w:val="20"/>
                <w:szCs w:val="20"/>
                <w:color w:val="auto"/>
              </w:rPr>
            </w:pPr>
            <w:r>
              <w:rPr>
                <w:rFonts w:ascii="Arial" w:cs="Arial" w:eastAsia="Arial" w:hAnsi="Arial"/>
                <w:sz w:val="18"/>
                <w:szCs w:val="18"/>
                <w:color w:val="0000EE"/>
              </w:rPr>
              <w:t>Table of Contents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3"/>
          </w:tcPr>
          <w:p>
            <w:pPr>
              <w:ind w:left="90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4160" w:type="dxa"/>
            <w:vAlign w:val="bottom"/>
            <w:tcBorders>
              <w:bottom w:val="single" w:sz="8" w:color="CCEEFF"/>
            </w:tcBorders>
            <w:gridSpan w:val="3"/>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Arial" w:cs="Arial" w:eastAsia="Arial" w:hAnsi="Arial"/>
                <w:sz w:val="18"/>
                <w:szCs w:val="18"/>
                <w:b w:val="1"/>
                <w:bCs w:val="1"/>
                <w:color w:val="0000EE"/>
              </w:rPr>
              <w:t>Item 1. Financial Statements</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0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8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tcBorders>
              <w:top w:val="single" w:sz="8" w:color="CCEEFF"/>
            </w:tcBorders>
            <w:gridSpan w:val="13"/>
          </w:tcPr>
          <w:p>
            <w:pPr>
              <w:spacing w:after="0" w:line="176" w:lineRule="exact"/>
              <w:rPr>
                <w:sz w:val="20"/>
                <w:szCs w:val="20"/>
                <w:color w:val="auto"/>
              </w:rPr>
            </w:pPr>
            <w:r>
              <w:rPr>
                <w:rFonts w:ascii="Arial" w:cs="Arial" w:eastAsia="Arial" w:hAnsi="Arial"/>
                <w:sz w:val="18"/>
                <w:szCs w:val="18"/>
                <w:b w:val="1"/>
                <w:bCs w:val="1"/>
                <w:color w:val="0000EE"/>
              </w:rPr>
              <w:t>Item 3. Quantitative and Qualitative Disclosures About Market Risk</w:t>
            </w: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Item 4. Controls and Procedures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1.</w:t>
            </w:r>
          </w:p>
        </w:tc>
        <w:tc>
          <w:tcPr>
            <w:tcW w:w="142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w w:val="86"/>
              </w:rPr>
              <w:t>Legal Proceedings</w:t>
            </w:r>
          </w:p>
        </w:tc>
        <w:tc>
          <w:tcPr>
            <w:tcW w:w="5420" w:type="dxa"/>
            <w:vAlign w:val="bottom"/>
            <w:tcBorders>
              <w:bottom w:val="single" w:sz="8" w:color="CCEEFF"/>
            </w:tcBorders>
            <w:gridSpan w:val="8"/>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Arial" w:cs="Arial" w:eastAsia="Arial" w:hAnsi="Arial"/>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2.</w:t>
            </w:r>
          </w:p>
        </w:tc>
        <w:tc>
          <w:tcPr>
            <w:tcW w:w="684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b w:val="1"/>
                <w:bCs w:val="1"/>
                <w:color w:val="0000EE"/>
                <w:w w:val="94"/>
              </w:rPr>
              <w:t>Item 5.</w:t>
            </w:r>
          </w:p>
        </w:tc>
        <w:tc>
          <w:tcPr>
            <w:tcW w:w="4580" w:type="dxa"/>
            <w:vAlign w:val="bottom"/>
            <w:tcBorders>
              <w:top w:val="single" w:sz="8" w:color="0000EE"/>
            </w:tcBorders>
            <w:gridSpan w:val="10"/>
          </w:tcPr>
          <w:p>
            <w:pPr>
              <w:ind w:left="20"/>
              <w:spacing w:after="0" w:line="176" w:lineRule="exact"/>
              <w:rPr>
                <w:sz w:val="20"/>
                <w:szCs w:val="20"/>
                <w:color w:val="auto"/>
              </w:rPr>
            </w:pPr>
            <w:r>
              <w:rPr>
                <w:rFonts w:ascii="Arial" w:cs="Arial" w:eastAsia="Arial" w:hAnsi="Arial"/>
                <w:sz w:val="18"/>
                <w:szCs w:val="18"/>
                <w:b w:val="1"/>
                <w:bCs w:val="1"/>
                <w:color w:val="0000EE"/>
              </w:rPr>
              <w:t>Other Information</w:t>
            </w:r>
          </w:p>
        </w:tc>
        <w:tc>
          <w:tcPr>
            <w:tcW w:w="2260" w:type="dxa"/>
            <w:vAlign w:val="bottom"/>
            <w:tcBorders>
              <w:top w:val="single" w:sz="8" w:color="CCEEFF"/>
            </w:tcBorders>
            <w:gridSpan w:val="2"/>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6.</w:t>
            </w:r>
          </w:p>
        </w:tc>
        <w:tc>
          <w:tcPr>
            <w:tcW w:w="684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Exhibits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Condensed Consolidated Statements of Operations</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Comprehensive Income (Loss)</w:t>
            </w:r>
          </w:p>
        </w:tc>
        <w:tc>
          <w:tcPr>
            <w:tcW w:w="35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Condensed Consolidated Statements of Stockholders’ Equity</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Trade receivables,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60,753</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109,556</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4,039</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200" w:type="dxa"/>
            <w:vAlign w:val="bottom"/>
            <w:shd w:val="clear" w:color="auto" w:fill="CCEEFF"/>
          </w:tcPr>
          <w:p>
            <w:pPr>
              <w:spacing w:after="0"/>
              <w:rPr>
                <w:sz w:val="18"/>
                <w:szCs w:val="18"/>
                <w:color w:val="auto"/>
              </w:rPr>
            </w:pPr>
          </w:p>
        </w:tc>
      </w:tr>
      <w:tr>
        <w:trPr>
          <w:trHeight w:val="210"/>
        </w:trPr>
        <w:tc>
          <w:tcPr>
            <w:tcW w:w="71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314,238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229,066</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23,362</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128,871</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315,064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338,310</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r>
      <w:tr>
        <w:trPr>
          <w:trHeight w:val="249"/>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920,503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794,483</w:t>
            </w:r>
          </w:p>
        </w:tc>
        <w:tc>
          <w:tcPr>
            <w:tcW w:w="200" w:type="dxa"/>
            <w:vAlign w:val="bottom"/>
            <w:tcBorders>
              <w:bottom w:val="single" w:sz="8" w:color="CCEEFF"/>
            </w:tcBorders>
          </w:tcPr>
          <w:p>
            <w:pPr>
              <w:spacing w:after="0"/>
              <w:rPr>
                <w:sz w:val="21"/>
                <w:szCs w:val="21"/>
                <w:color w:val="auto"/>
              </w:rPr>
            </w:pPr>
          </w:p>
        </w:tc>
      </w:tr>
      <w:tr>
        <w:trPr>
          <w:trHeight w:val="197"/>
        </w:trPr>
        <w:tc>
          <w:tcPr>
            <w:tcW w:w="71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Accounts payable – related party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59,097</w:t>
            </w:r>
          </w:p>
        </w:tc>
        <w:tc>
          <w:tcPr>
            <w:tcW w:w="200" w:type="dxa"/>
            <w:vAlign w:val="bottom"/>
            <w:shd w:val="clear" w:color="auto" w:fill="CCEEFF"/>
          </w:tcPr>
          <w:p>
            <w:pPr>
              <w:spacing w:after="0"/>
              <w:rPr>
                <w:sz w:val="18"/>
                <w:szCs w:val="18"/>
                <w:color w:val="auto"/>
              </w:rPr>
            </w:pPr>
          </w:p>
        </w:tc>
      </w:tr>
      <w:tr>
        <w:trPr>
          <w:trHeight w:val="209"/>
        </w:trPr>
        <w:tc>
          <w:tcPr>
            <w:tcW w:w="71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115,165</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discount, debt issuance costs and current portion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263,188</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56,343</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uncertain tax positions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r>
      <w:tr>
        <w:trPr>
          <w:trHeight w:val="21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522,468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440,838</w:t>
            </w:r>
          </w:p>
        </w:tc>
        <w:tc>
          <w:tcPr>
            <w:tcW w:w="200" w:type="dxa"/>
            <w:vAlign w:val="bottom"/>
            <w:tcBorders>
              <w:bottom w:val="single" w:sz="8" w:color="CCEEFF"/>
            </w:tcBorders>
          </w:tcPr>
          <w:p>
            <w:pPr>
              <w:spacing w:after="0"/>
              <w:rPr>
                <w:sz w:val="18"/>
                <w:szCs w:val="18"/>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7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Preferred stock, $0.0001 par value; 100,000,000 shares authorized as of both October 1, 2022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and December 31, 2021; no shares issued and outstanding as of both October 1, 2022 and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tcPr>
          <w:p>
            <w:pPr>
              <w:ind w:left="120"/>
              <w:spacing w:after="0" w:line="201" w:lineRule="exact"/>
              <w:rPr>
                <w:sz w:val="20"/>
                <w:szCs w:val="20"/>
                <w:color w:val="auto"/>
              </w:rPr>
            </w:pPr>
            <w:r>
              <w:rPr>
                <w:rFonts w:ascii="Arial" w:cs="Arial" w:eastAsia="Arial" w:hAnsi="Arial"/>
                <w:sz w:val="18"/>
                <w:szCs w:val="18"/>
                <w:color w:val="auto"/>
                <w:w w:val="93"/>
              </w:rPr>
              <w:t>Common stock, $0.0001 par value; 900,000,000 shares authorized as of October 1, 2022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w w:val="89"/>
              </w:rPr>
              <w:t>December 31, 2021; 117,121,134 and 119,445,611 shares issued and outstanding, as of October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7100" w:type="dxa"/>
            <w:vAlign w:val="bottom"/>
          </w:tcPr>
          <w:p>
            <w:pPr>
              <w:ind w:left="120"/>
              <w:spacing w:after="0"/>
              <w:rPr>
                <w:sz w:val="20"/>
                <w:szCs w:val="20"/>
                <w:color w:val="auto"/>
              </w:rPr>
            </w:pPr>
            <w:r>
              <w:rPr>
                <w:rFonts w:ascii="Arial" w:cs="Arial" w:eastAsia="Arial" w:hAnsi="Arial"/>
                <w:sz w:val="18"/>
                <w:szCs w:val="18"/>
                <w:color w:val="auto"/>
              </w:rPr>
              <w:t>1, 2022 and December 31, 2021, respectively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2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(48,583)</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r>
      <w:tr>
        <w:trPr>
          <w:trHeight w:val="210"/>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353,645</w:t>
            </w:r>
          </w:p>
        </w:tc>
        <w:tc>
          <w:tcPr>
            <w:tcW w:w="200" w:type="dxa"/>
            <w:vAlign w:val="bottom"/>
            <w:tcBorders>
              <w:bottom w:val="single" w:sz="8" w:color="CCEEFF"/>
            </w:tcBorders>
          </w:tcPr>
          <w:p>
            <w:pPr>
              <w:spacing w:after="0"/>
              <w:rPr>
                <w:sz w:val="18"/>
                <w:szCs w:val="18"/>
                <w:color w:val="auto"/>
              </w:rPr>
            </w:pPr>
          </w:p>
        </w:tc>
      </w:tr>
      <w:tr>
        <w:trPr>
          <w:trHeight w:val="209"/>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920,503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794,483</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4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October 1, 2022</w:t>
            </w:r>
          </w:p>
        </w:tc>
        <w:tc>
          <w:tcPr>
            <w:tcW w:w="1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October 2, 2021</w:t>
            </w:r>
          </w:p>
        </w:tc>
        <w:tc>
          <w:tcPr>
            <w:tcW w:w="1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October 1, 2022</w:t>
            </w:r>
          </w:p>
        </w:tc>
        <w:tc>
          <w:tcPr>
            <w:tcW w:w="1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October 2, 2021</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491,592</w:t>
            </w: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390,674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329,805</w:t>
            </w:r>
          </w:p>
        </w:tc>
      </w:tr>
      <w:tr>
        <w:trPr>
          <w:trHeight w:val="209"/>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161,787</w:t>
            </w:r>
          </w:p>
        </w:tc>
      </w:tr>
      <w:tr>
        <w:trPr>
          <w:trHeight w:val="209"/>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170,532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Underwriting fees related to offering of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16,560</w:t>
            </w: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r>
      <w:tr>
        <w:trPr>
          <w:trHeight w:val="216"/>
        </w:trPr>
        <w:tc>
          <w:tcPr>
            <w:tcW w:w="488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10"/>
        </w:trPr>
        <w:tc>
          <w:tcPr>
            <w:tcW w:w="488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16,956</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09"/>
        </w:trPr>
        <w:tc>
          <w:tcPr>
            <w:tcW w:w="488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(40,453)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r>
      <w:tr>
        <w:trPr>
          <w:trHeight w:val="25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(56,361)</w:t>
            </w:r>
          </w:p>
        </w:tc>
      </w:tr>
      <w:tr>
        <w:trPr>
          <w:trHeight w:val="196"/>
        </w:trPr>
        <w:tc>
          <w:tcPr>
            <w:tcW w:w="48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3"/>
              </w:rPr>
              <w:t>Net income (loss) per share attributable to common stockholders: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1"/>
              </w:rPr>
              <w:t>Weighted-average common shares outstanding – basic and 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113,171,655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112,153,832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113,521,425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110,121,240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113,202,846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112,153,832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114,867,164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110,121,240</w:t>
            </w:r>
          </w:p>
        </w:tc>
      </w:tr>
    </w:tbl>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Fiscal Quarter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42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2022</w:t>
            </w:r>
          </w:p>
        </w:tc>
        <w:tc>
          <w:tcPr>
            <w:tcW w:w="1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October 1, 2022</w:t>
            </w:r>
          </w:p>
        </w:tc>
        <w:tc>
          <w:tcPr>
            <w:tcW w:w="16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6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(56,361)</w:t>
            </w: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60" w:type="dxa"/>
            <w:vAlign w:val="bottom"/>
            <w:shd w:val="clear" w:color="auto" w:fill="CCEEFF"/>
          </w:tcPr>
          <w:p>
            <w:pPr>
              <w:spacing w:after="0"/>
              <w:rPr>
                <w:sz w:val="18"/>
                <w:szCs w:val="18"/>
                <w:color w:val="auto"/>
              </w:rPr>
            </w:pPr>
          </w:p>
        </w:tc>
      </w:tr>
      <w:tr>
        <w:trPr>
          <w:trHeight w:val="209"/>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loss, net of tax</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Borders>
              <w:bottom w:val="single" w:sz="8" w:color="CCEEFF"/>
            </w:tcBorders>
          </w:tcPr>
          <w:p>
            <w:pPr>
              <w:spacing w:after="0"/>
              <w:rPr>
                <w:sz w:val="18"/>
                <w:szCs w:val="18"/>
                <w:color w:val="auto"/>
              </w:rPr>
            </w:pPr>
          </w:p>
        </w:tc>
      </w:tr>
      <w:tr>
        <w:trPr>
          <w:trHeight w:val="210"/>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118,854,249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9"/>
              </w:rPr>
              <w:t>Dividend to Class A unitholders ($1.00 per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(110,033)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(110,033)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(21,666,653)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April 3,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97,187,596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initial public offering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(12,264,438)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(216,699)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(216,700)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restricted stock in connection with the</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Reorganization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8,340,126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conversion of Class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B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4,145,987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Balances at July 3, 2021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120,409,271</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350,046</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(31,300)</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Retirement of restricted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(559,682)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0" w:type="dxa"/>
            <w:vAlign w:val="bottom"/>
          </w:tcPr>
          <w:p>
            <w:pPr>
              <w:spacing w:after="0"/>
              <w:rPr>
                <w:sz w:val="1"/>
                <w:szCs w:val="1"/>
                <w:color w:val="auto"/>
              </w:rPr>
            </w:pPr>
          </w:p>
        </w:tc>
      </w:tr>
      <w:tr>
        <w:trPr>
          <w:trHeight w:val="209"/>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Balances at October 2, 2021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119,849,589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377,649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119,445,611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Cumulative effect of adoption of new accounting</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standard- leases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(13,800,244)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(257,662)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(257,663)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Retirement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release of restricted</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78,341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Balances at April 2, 2022</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119,469,747</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430,208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(51,714)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Repurchases and retirements of common stock</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under repurchase program</w:t>
            </w:r>
          </w:p>
        </w:tc>
        <w:tc>
          <w:tcPr>
            <w:tcW w:w="1020" w:type="dxa"/>
            <w:vAlign w:val="bottom"/>
          </w:tcPr>
          <w:p>
            <w:pPr>
              <w:jc w:val="right"/>
              <w:spacing w:after="0"/>
              <w:rPr>
                <w:sz w:val="20"/>
                <w:szCs w:val="20"/>
                <w:color w:val="auto"/>
              </w:rPr>
            </w:pPr>
            <w:r>
              <w:rPr>
                <w:rFonts w:ascii="Arial" w:cs="Arial" w:eastAsia="Arial" w:hAnsi="Arial"/>
                <w:sz w:val="18"/>
                <w:szCs w:val="18"/>
                <w:color w:val="auto"/>
              </w:rPr>
              <w:t>(2,026,231)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upon release of restricted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July 2, 2022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117,547,558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Retirement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October 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117,121,134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438,698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Fiscal Quarters Ended</w:t>
            </w: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October 1,</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October 2,</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9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13,339</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(56,361)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28,834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23,689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deferred financing costs and debt discount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Non-cash lease expense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5,596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40,415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104,578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Underwriting fees related to offering of common stock</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11,437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extinguishment of debt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Other non-cash, net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1,349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Gain on sale of equity method investment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Earnings from equity method investment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(2,591)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received from equity method investment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Trade receivables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(43,134)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ind w:left="220"/>
              <w:spacing w:after="0" w:line="149" w:lineRule="exact"/>
              <w:rPr>
                <w:sz w:val="20"/>
                <w:szCs w:val="20"/>
                <w:color w:val="auto"/>
              </w:rPr>
            </w:pPr>
            <w:r>
              <w:rPr>
                <w:rFonts w:ascii="Arial" w:cs="Arial" w:eastAsia="Arial" w:hAnsi="Arial"/>
                <w:sz w:val="14"/>
                <w:szCs w:val="14"/>
                <w:color w:val="auto"/>
              </w:rPr>
              <w:t>Inventories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(59,139)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(16,128)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220"/>
              <w:spacing w:after="0" w:line="149" w:lineRule="exact"/>
              <w:rPr>
                <w:sz w:val="20"/>
                <w:szCs w:val="20"/>
                <w:color w:val="auto"/>
              </w:rPr>
            </w:pPr>
            <w:r>
              <w:rPr>
                <w:rFonts w:ascii="Arial" w:cs="Arial" w:eastAsia="Arial" w:hAnsi="Arial"/>
                <w:sz w:val="14"/>
                <w:szCs w:val="14"/>
                <w:color w:val="auto"/>
              </w:rPr>
              <w:t>Income tax receivable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(2,051)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(1,752)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3,702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10,550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Other long-term liabilities</w:t>
            </w: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7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29,426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Return of equity method investment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sale of equity method investment</w:t>
            </w:r>
          </w:p>
        </w:tc>
        <w:tc>
          <w:tcPr>
            <w:tcW w:w="7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6,796</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(29,362)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(11,966)</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Proceeds from long-term debt borrowings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320,125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172,813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long-term debt borrowings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(285,634)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(164,833)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Proceeds from borrowings on revolving credit facilities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revolving credit facilities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Deferred financing fees paid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(6,865)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to Class A unitholders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(110,033)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Proceeds from sale of common stock</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257,663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initial public offering, net of underwriting discounts, commissions and offering costs</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399,264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(272,663)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(281,638)</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7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12,626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14,323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Effect of exchange rate changes on cash</w:t>
            </w: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(decrease) increase in cash</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31,559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at beginning of period</w:t>
            </w: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43,952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59,310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at end of period</w:t>
            </w:r>
          </w:p>
        </w:tc>
        <w:tc>
          <w:tcPr>
            <w:tcW w:w="7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30,620</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90,869</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 information</w:t>
            </w:r>
            <w:r>
              <w:rPr>
                <w:rFonts w:ascii="Arial" w:cs="Arial" w:eastAsia="Arial" w:hAnsi="Arial"/>
                <w:sz w:val="14"/>
                <w:szCs w:val="14"/>
                <w:color w:val="auto"/>
              </w:rPr>
              <w:t>:</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8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9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8,760</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Income taxes paid, net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15,213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 included in accounts payable and accrued expenses</w:t>
            </w:r>
          </w:p>
        </w:tc>
        <w:tc>
          <w:tcPr>
            <w:tcW w:w="9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2,202</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internal-use software included in accounts payable – related party</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80" w:type="dxa"/>
            <w:vAlign w:val="bottom"/>
          </w:tcPr>
          <w:p>
            <w:pPr>
              <w:spacing w:after="0"/>
              <w:rPr>
                <w:sz w:val="20"/>
                <w:szCs w:val="20"/>
                <w:color w:val="auto"/>
              </w:rPr>
            </w:pPr>
            <w:r>
              <w:rPr>
                <w:rFonts w:ascii="Arial" w:cs="Arial" w:eastAsia="Arial" w:hAnsi="Arial"/>
                <w:sz w:val="14"/>
                <w:szCs w:val="14"/>
                <w:color w:val="auto"/>
              </w:rPr>
              <w:t>Right-of-use operating assets obtained in exchange for lease liabilities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45,876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Latham Group, Inc. (the “Company”) wholly owns Latham Pool Products, Inc. (“Latham Pool Products”) (together, “Latham”) and is a designer, manufacturer and marketer of in-ground residential swimming pools in North America, Australia and New Zealand. Latham offers a portfolio of pools and related products, including in-ground swimming pools, pool liners and pool covers.</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consolidated balance sheet at December 31, 2021 was derived from audited financial statements but does not include all disclosures required by GAAP. The accompanying unaudited condensed consolidated financial statements as of October 1, 2022 and for the fiscal quarter and three fiscal quarters ended October 1, 2022 and October 2, 2021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year ended December 31, 2021 included in the Company’s 2021 Annual Report on Form 10-K, filed with the SEC on March 10, 2022 (the “Annual Report”). In the opinion of management, all adjustments, consisting only of normal recurring adjustments necessary for a fair statement of these condensed consolidated financial statements, have been included. The Company’s results of operations for the fiscal quarter and three fiscal quarters ended October 1, 2022 are not necessarily indicative of the results of operations that may be expected for the year ending December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Company identifies operating segments based on how the chief operating decision maker manages the business, allocates resources, makes operating decisions and evaluates operating performance. The Company conducts its business as one operating and reportable segment that designs, manufactures and markets in-ground swimming pools, liners and covers. The Company’s chief executive officer, who is the chief operating decision maker, reviews financial information presented on a consolidated basis for purposes of assessing financial performance and allocating resources.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Although the Company generally has demand for its products throughout the year, its business is seasonal and weather is one of the principal external factors affecting the business. Historically, net sales and net income are highest during spring and summer, representing the peak months of swimming pool use, pool installation and remodeling and repair activities. Severe weather may also affect net sales in all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Company’s Annual Report for a discussion of the Company’s accounting policies, as updated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9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for operating leases and amortization and interest expense in its consolidated statement of operations for financing leases. Leases with a term of 12 months or less may be accounted for similar to how operating leases were accounted for under the prior guidance. In July 2018, the FASB issued </w:t>
      </w:r>
      <w:r>
        <w:rPr>
          <w:rFonts w:ascii="Arial" w:cs="Arial" w:eastAsia="Arial" w:hAnsi="Arial"/>
          <w:sz w:val="16"/>
          <w:szCs w:val="16"/>
          <w:i w:val="1"/>
          <w:iCs w:val="1"/>
          <w:color w:val="auto"/>
        </w:rPr>
        <w:t>ASU</w:t>
      </w:r>
      <w:r>
        <w:rPr>
          <w:rFonts w:ascii="Arial" w:cs="Arial" w:eastAsia="Arial" w:hAnsi="Arial"/>
          <w:sz w:val="16"/>
          <w:szCs w:val="16"/>
          <w:color w:val="auto"/>
        </w:rPr>
        <w:t xml:space="preserve"> </w:t>
      </w:r>
      <w:r>
        <w:rPr>
          <w:rFonts w:ascii="Arial" w:cs="Arial" w:eastAsia="Arial" w:hAnsi="Arial"/>
          <w:sz w:val="16"/>
          <w:szCs w:val="16"/>
          <w:i w:val="1"/>
          <w:iCs w:val="1"/>
          <w:color w:val="auto"/>
        </w:rPr>
        <w:t>No. 2018-11, Leases (Topic 842)</w:t>
      </w:r>
      <w:r>
        <w:rPr>
          <w:rFonts w:ascii="Arial" w:cs="Arial" w:eastAsia="Arial" w:hAnsi="Arial"/>
          <w:sz w:val="16"/>
          <w:szCs w:val="16"/>
          <w:color w:val="auto"/>
        </w:rPr>
        <w:t>, which added an optional transition method that allows companies to adopt the standard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The Company adopted ASU 2016-02 on January 1, 2022 using the modified retrospective approach and elected the package of practical expedients to use in transition, which permitted the Company to not reassess, under the new standard, its prior conclusions about lease identification and lease classification. The adoption resulted in the addition of $33.5 million of operating lease right-of-use assets, and $34.0 million of operating lease liabilities, a decrease of $0.2 million to deferred rent and a decrease of $0.3 million to retained earnings for the cumulative effect of initially applying the new standard. The adoption did not have a material impact on the Company’s Condensed Consolidated Statements of Operations, Condensed Consolidated Statements of Stockholders’ Equity or Condensed Consolidated Statements of Cash Flows. See Note 9, “Leases” for additional information related to the Company’s leases and accounting policy elections.</w:t>
      </w:r>
    </w:p>
    <w:p>
      <w:pPr>
        <w:spacing w:after="0" w:line="18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Financial Instruments </w:t>
      </w:r>
      <w:r>
        <w:rPr>
          <w:rFonts w:ascii="Arial" w:cs="Arial" w:eastAsia="Arial" w:hAnsi="Arial"/>
          <w:sz w:val="16"/>
          <w:szCs w:val="16"/>
          <w:color w:val="auto"/>
        </w:rPr>
        <w:t>(“ASU 2016-13”), which requires the measurement and recognition of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6"/>
          <w:szCs w:val="16"/>
          <w:i w:val="1"/>
          <w:iCs w:val="1"/>
          <w:color w:val="auto"/>
        </w:rPr>
        <w:t>Codification Improvements to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narrowed the scope and changed the effective date for nonpublic entities for ASU 2016-</w:t>
      </w:r>
    </w:p>
    <w:p>
      <w:pPr>
        <w:spacing w:after="0" w:line="2" w:lineRule="exact"/>
        <w:rPr>
          <w:sz w:val="20"/>
          <w:szCs w:val="20"/>
          <w:color w:val="auto"/>
        </w:rPr>
      </w:pPr>
    </w:p>
    <w:p>
      <w:pPr>
        <w:ind w:right="200" w:firstLine="8"/>
        <w:spacing w:after="0" w:line="253"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FASB subsequently issued supplemental guidance within ASU 2019-05,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Transition Relief </w:t>
      </w:r>
      <w:r>
        <w:rPr>
          <w:rFonts w:ascii="Arial" w:cs="Arial" w:eastAsia="Arial" w:hAnsi="Arial"/>
          <w:sz w:val="18"/>
          <w:szCs w:val="18"/>
          <w:color w:val="auto"/>
        </w:rPr>
        <w:t>(“ASU 2019-05”). ASU 2019-05 provides an option to irrevocably elect the fair value option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previously measured at amortized cost basis. For public entities that are SEC filers, excluding entities eligible to be smaller reporting companies, ASU 2016-13 is effective for annual periods beginning</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after December 15, 2019, including interim periods within those fiscal years. For all other entities, ASU 2016-13 is effective for annual periods beginning after December 15, 2022, including interim periods within those fiscal years. Early adoption is permitted. As an “emerging growth company”, the Company is not yet required to adopt the standard and is currently evaluating the impact that the adoption of ASU 2016-13 will have on its consolidated financial statements.</w:t>
      </w:r>
    </w:p>
    <w:p>
      <w:pPr>
        <w:spacing w:after="0" w:line="18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which provides optional expedients and exceptions for applying GAAP to contracts, hedging relationships, and other transactions affected by the discontinuation of the London Interbank Offered Rate (“LIBOR”) or by another reference rate expected to be discontinued.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that certain optional expedients and exceptions in Topic 848 for contract modifications and hedge accounting apply to derivatives that are affected by the discounting transition. Specifically, this guidance applies to derivative instruments that use an interest rate for margining, discounting, or contract price alignment that is modified as a result of reference rate reform. This guidance is effective for all entities upon issuance on March 12, 2020 and may be applied through December 31, 2022. The expedients and exceptions in this guidance are optional. The Company elected the optional expedient in connection with amending its interest rate swap to replace the reference rate from LIBOR to SOFR to consider the amendment as a continuation of the existing contract without having to perform an assessment that would otherwise be required under GAAP.</w:t>
      </w:r>
    </w:p>
    <w:p>
      <w:pPr>
        <w:spacing w:after="0" w:line="18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from Contracts with Customers </w:t>
      </w:r>
      <w:r>
        <w:rPr>
          <w:rFonts w:ascii="Arial" w:cs="Arial" w:eastAsia="Arial" w:hAnsi="Arial"/>
          <w:sz w:val="16"/>
          <w:szCs w:val="16"/>
          <w:color w:val="auto"/>
        </w:rPr>
        <w:t>(“ASU 2021-08”), which amends ASC 805 by requiring acquiring entities to apply ASC 606</w:t>
      </w:r>
      <w:r>
        <w:rPr>
          <w:rFonts w:ascii="Arial" w:cs="Arial" w:eastAsia="Arial" w:hAnsi="Arial"/>
          <w:sz w:val="16"/>
          <w:szCs w:val="16"/>
          <w:i w:val="1"/>
          <w:iCs w:val="1"/>
          <w:color w:val="auto"/>
        </w:rPr>
        <w:t xml:space="preserve"> </w:t>
      </w:r>
      <w:r>
        <w:rPr>
          <w:rFonts w:ascii="Arial" w:cs="Arial" w:eastAsia="Arial" w:hAnsi="Arial"/>
          <w:sz w:val="16"/>
          <w:szCs w:val="16"/>
          <w:color w:val="auto"/>
        </w:rPr>
        <w:t>to recognize and measure contract assets and contract liabilities in a business combination. For public entities, ASU 2021-08 is effective for fiscal years, including interim periods within those fiscal years, beginning after December 15, 2022. For all 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Company is currently evaluating ASU 2021-08 and its potential impact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Trojan Leisure Products, LLC d/b/a Radiant Pools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November 24, 2021, Latham Pool Products acquired Trojan Leisure Products, LLC d/b/a Radiant Pools (“Radiant”) for a total purchase price of $90.7 million (the “Radiant Acquisition”). The results of Radiant’s operations have been included in the consolidated financial statements since that date. Radiant specializes in manufacturing proprietary vinyl liner aluminum swimming pools which can be built completely in-ground, semi-inground, or above ground. As a result, this acquisition expanded the Company’s product offerings. In connection with the Radiant Acquisition, consideration paid was $90.7 million in cash, or $90.5 million net of cash acquired of $0.2 million. The cash consideration was funded, in part, through long-term debt proceeds of $50.0 million. The Company incurred $2.9 million in transaction costs.</w:t>
      </w:r>
    </w:p>
    <w:p>
      <w:pPr>
        <w:spacing w:after="0" w:line="19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Subsequent to the acquisition date, there was an additional amount due to the seller of $0.4 million related to the finalization of the net working capital adjustment, which was accounted for as a measurement period adjustment. The measurement period adjustment resulted in an increase in the total consideration transferred of $0.4 million and an increase to goodwill of $0.4 million. The net working capital adjustment was paid during the fiscal quarter ended July 2, 2022.</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accounted for the Radiant Acquisition using the acquisition method of accounting in accordance with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customer relationships and backlog were valued using the multi-period excess earnings method, whereas trade names, technology and pool designs were valued using the relief from royalty method. The Company recorded the assets acquired and liabilities assumed at their respective fair values as of the acquisition date.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summarizes the purchase price allocation for the Radiant Acquisition: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November 24, 2021</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Allocation of purchase price: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Trade receivables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82,709</w:t>
            </w: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r>
      <w:tr>
        <w:trPr>
          <w:trHeight w:val="21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fair value of net assets acquired, excluding goodwill:</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77,007</w:t>
            </w:r>
          </w:p>
        </w:tc>
      </w:tr>
      <w:tr>
        <w:trPr>
          <w:trHeight w:val="209"/>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w:t>
            </w:r>
          </w:p>
        </w:tc>
      </w:tr>
      <w:tr>
        <w:trPr>
          <w:trHeight w:val="20"/>
        </w:trPr>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excess of the purchase price over the fair value of the identifiable assets acquired and the liabilities assumed in the Radiant Acquisition was allocated to goodwill in the amount of $14.1 million. Goodwill resulting from the Radiant Acquisition was attributable to the expanded market share and product offerings. Goodwill resulting from the Radiant Acquisition is deductible for tax purposes.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allocated a portion of the purchase price to specific intangible asset categories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Definite-lived intangible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Dealer relationships</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Pool designs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7,900</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 months</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three fiscal quarters ended October 1, 2022 or October 2,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upon acquisition or remeasured to fair value when an impairment charge is recognized. Such fair value measurements are based predominantly on Level 2 and Level 3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The Company considers the carrying amounts of cash, trade receivables, prepaid expenses and other current assets, accounts payable, and accrued expenses and other current liabilities, to approximate fair value due to the short-term maturities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22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Term loans (see Note 7) are carried at amortized cost; however, the Company estimates the fair value of term loans for disclosure purposes. The fair value of term loans is determined using inputs based on observable market data of a non-public exchange, which are classified as Level 2 inputs. The following table sets forth the carrying amount and fair value of its term loans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October 1, 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2021</w:t>
            </w:r>
          </w:p>
        </w:tc>
      </w:tr>
      <w:tr>
        <w:trPr>
          <w:trHeight w:val="119"/>
        </w:trPr>
        <w:tc>
          <w:tcPr>
            <w:tcW w:w="37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2"/>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Estimated</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Estimated</w:t>
            </w:r>
          </w:p>
        </w:tc>
        <w:tc>
          <w:tcPr>
            <w:tcW w:w="180" w:type="dxa"/>
            <w:vAlign w:val="bottom"/>
          </w:tcPr>
          <w:p>
            <w:pPr>
              <w:spacing w:after="0"/>
              <w:rPr>
                <w:sz w:val="10"/>
                <w:szCs w:val="10"/>
                <w:color w:val="auto"/>
              </w:rPr>
            </w:pPr>
          </w:p>
        </w:tc>
      </w:tr>
      <w:tr>
        <w:trPr>
          <w:trHeight w:val="171"/>
        </w:trPr>
        <w:tc>
          <w:tcPr>
            <w:tcW w:w="3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4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Term Loan</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313,301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278,838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Amended Term Loan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280,408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281,926</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Company estimates the fair value of the interest rate swap (see Note 7) on a quarterly basis using Level 2 inputs, including the forward SOFR curve. The fair value is estimated by comparing (i) the present value of all future monthly fixed rate payments versus</w:t>
      </w:r>
    </w:p>
    <w:p>
      <w:pPr>
        <w:jc w:val="both"/>
        <w:ind w:right="560"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variable payments based on the forward SOFR curve. As of October 1, 2022 and December 31, 2021, the fair value of the Company’s interest rate swap asset was $4.7 million and $0.5 million, respectively, which was recorded within other assets on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60" w:firstLine="324"/>
        <w:spacing w:after="0" w:line="311" w:lineRule="auto"/>
        <w:rPr>
          <w:sz w:val="20"/>
          <w:szCs w:val="20"/>
          <w:color w:val="auto"/>
        </w:rPr>
      </w:pPr>
      <w:r>
        <w:rPr>
          <w:rFonts w:ascii="Arial" w:cs="Arial" w:eastAsia="Arial" w:hAnsi="Arial"/>
          <w:sz w:val="16"/>
          <w:szCs w:val="16"/>
          <w:color w:val="auto"/>
        </w:rPr>
        <w:t>The carrying amount of goodwill as of October 1, 2022 and as of December 31, 2021 was $128.1 million and $128.9 million, respectively. The change in the carrying value during the three fiscal quarters ended October 1, 2022 was due to an increase of $0.4 million as a result of a measurement period adjustment (see Note 3) and fluctuations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October 1, 2022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October 1, 2022</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Patented technology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Pool designs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Dealer relationships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197,376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154,617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393,493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315,064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Company recognized $7.2 million and $21.5 million of amortization expense related to intangible assets during the fiscal quarter and three fiscal quarters ended October 1, 2022, respectively. The Company recognized $5.5 million and $16.6 million of amortization expense related to intangible assets during the fiscal quarter and three fiscal quarters ended October 2, 2021, respectively.</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as of December 31, 2021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148,100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132,157</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Patented technology</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Pool designs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Dealer relationships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197,376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166,560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393,493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rPr>
              <w:t>Estimated Future</w:t>
            </w:r>
          </w:p>
        </w:tc>
        <w:tc>
          <w:tcPr>
            <w:tcW w:w="0" w:type="dxa"/>
            <w:vAlign w:val="bottom"/>
          </w:tcPr>
          <w:p>
            <w:pPr>
              <w:spacing w:after="0"/>
              <w:rPr>
                <w:sz w:val="1"/>
                <w:szCs w:val="1"/>
                <w:color w:val="auto"/>
              </w:rPr>
            </w:pPr>
          </w:p>
        </w:tc>
      </w:tr>
      <w:tr>
        <w:trPr>
          <w:trHeight w:val="171"/>
        </w:trPr>
        <w:tc>
          <w:tcPr>
            <w:tcW w:w="80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26,528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205,048</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315,064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Inventories,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October 1, 2022</w:t>
            </w:r>
          </w:p>
        </w:tc>
        <w:tc>
          <w:tcPr>
            <w:tcW w:w="20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96,480</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32,046</w:t>
            </w:r>
          </w:p>
        </w:tc>
        <w:tc>
          <w:tcPr>
            <w:tcW w:w="200" w:type="dxa"/>
            <w:vAlign w:val="bottom"/>
            <w:tcBorders>
              <w:bottom w:val="single" w:sz="8" w:color="CCEEFF"/>
            </w:tcBorders>
          </w:tcPr>
          <w:p>
            <w:pPr>
              <w:spacing w:after="0"/>
              <w:rPr>
                <w:sz w:val="18"/>
                <w:szCs w:val="18"/>
                <w:color w:val="auto"/>
              </w:rPr>
            </w:pPr>
          </w:p>
        </w:tc>
      </w:tr>
      <w:tr>
        <w:trPr>
          <w:trHeight w:val="210"/>
        </w:trPr>
        <w:tc>
          <w:tcPr>
            <w:tcW w:w="40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166,430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109,556</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outstanding debt obligations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1, 2022</w:t>
            </w:r>
          </w:p>
        </w:tc>
        <w:tc>
          <w:tcPr>
            <w:tcW w:w="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Term Loan</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Amended Term Loan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284,009</w:t>
            </w: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CCEEFF"/>
          </w:tcPr>
          <w:p>
            <w:pPr>
              <w:spacing w:after="0"/>
              <w:rPr>
                <w:sz w:val="18"/>
                <w:szCs w:val="18"/>
                <w:color w:val="auto"/>
              </w:rPr>
            </w:pPr>
          </w:p>
        </w:tc>
      </w:tr>
      <w:tr>
        <w:trPr>
          <w:trHeight w:val="209"/>
        </w:trPr>
        <w:tc>
          <w:tcPr>
            <w:tcW w:w="540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280,408</w:t>
            </w:r>
          </w:p>
        </w:tc>
        <w:tc>
          <w:tcPr>
            <w:tcW w:w="2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220" w:type="dxa"/>
            <w:vAlign w:val="bottom"/>
            <w:shd w:val="clear" w:color="auto" w:fill="CCEEFF"/>
          </w:tcPr>
          <w:p>
            <w:pPr>
              <w:spacing w:after="0"/>
              <w:rPr>
                <w:sz w:val="18"/>
                <w:szCs w:val="18"/>
                <w:color w:val="auto"/>
              </w:rPr>
            </w:pP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1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310,051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263,188</w:t>
            </w:r>
          </w:p>
        </w:tc>
        <w:tc>
          <w:tcPr>
            <w:tcW w:w="22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February 23, 2022, Latham Pool Products entered into an agreement (the “New Credit Agreement”) with Barclays Bank PLC, which provides a senior secured multicurrency revolving line of credit (the “New Revolving Credit Facility”) in an initial principal amount of $75.0 million and a U.S. Dollar senior secured term loan facility (the “New Term Loan Facility”) in an initial principal amount of $325.0 million (the “Refinancing”). On the closing date, proceeds under the New Credit Agreement were used to repay $294.0 million and terminate the Credit Agreement (as defined below) and for general corporate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Revolving Credit Facility</w:t>
      </w:r>
    </w:p>
    <w:p>
      <w:pPr>
        <w:spacing w:after="0" w:line="225"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On February 23, 2022, Latham Pool Products entered into the New Credit Agreement with Barclays Bank PLC, which provides a senior secured multicurrency revolving line of credit in an initial principal amount of $75.0 million. 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0.25% to 0.50%, depending on the First Lien Net Leverage Ratio (as defined in the New Credit Agreement, the “First Lien Net Leverage Ratio”). Borrowings under the New Revolving Credit Facility are due at maturity.</w:t>
      </w:r>
    </w:p>
    <w:p>
      <w:pPr>
        <w:spacing w:after="0" w:line="185"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The Company incurred debt issuance costs of $0.8 million related to the New Revolving Credit Facility. The debt issuance costs were recorded within other assets on the condensed consolidated balance and are being amortized over the life of the New Revolving Credit Facility.</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1, 2022, there were no outstanding borrowings on the New Revolving Credit Facility.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Term Loan Facility</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Pursuant to the New Credit Agreement, Latham Pool Products also borrowed $325.0 million in term loans. The New Term Loan Facility matures on February 23, 2029. Loans outstanding under the New Term Loan Facility bear interest, at the borrower’s option, at a rate per annum based on Term SOFR (as defined in the New Credit Agreement), plus a margin ranging from 3.75% to 4.00%, depending on the First Lien Net Leverage Ratio, or based on the Base Rate (as defined in the Credit Agreement), plus a margin ranging from 2.75% to 3.00%, depending on the First Lien Net Leverage Ratio. Loans under the Term Loan Facility are subject to scheduled quarterly amortization payments of $812,500, equal to 0.25% of the initial principal amount of the Term Loan Facility. The New Credit Agreement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6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recorded $6.1 million of debt issuance costs and $4.9 million of debt discount related to the New Term Loan Facility as a direct reduction to the carrying amount of long-term debt on the condensed consolidated balance sheet.</w:t>
      </w:r>
    </w:p>
    <w:p>
      <w:pPr>
        <w:spacing w:after="0" w:line="17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Outstanding borrowings as of October 1, 2022 were $313.3 million, net of discount and debt issuance costs of $10.1 million. In connection with the New Term Loan, the Company is subject to various negative, reporting, financial and other covenants, including maintaining specific liquidity measurements.</w:t>
      </w:r>
    </w:p>
    <w:p>
      <w:pPr>
        <w:spacing w:after="0" w:line="18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As of October 1, 2022, the unamortized debt issuance costs and discount on the New Term Loan were $5.6 million and $4.5 million, respectively. The effective interest rate was 7.45% at October 1, 2022, including the impact of the Company’s interest rate swap.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1, 2022, the Company was in compliance with all financial covenants under the New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Revolving Credit Facility</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that included a revolving line of credit (the “Revolver”) and letters of credit (“Letters of Credit” or collectively with the Revolver, the “Revolving Credit Facility”) in the amount of up to $30 million, as well as a Term Loan (as described and defined below). The Revolving Credit Facility was utilized to finance ongoing general corporate and working capital needs. The Revolving Credit Facility was terminated in connection with the Refinancing.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Term Loan Facility</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“Term Loan”). The Term Loan was amended on May 29, 2019, to provide additional borrowings of $23.0 million, which was accounted for as a modification to the Term Loan, to fund the Company’s acquisition of Narellan Group Pty Limited and its subsidiaries (the “First Amendment”). On October 14, 2020, Latham Pool Products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Latham Pool Products amended its Term Loan to revise the applicable reporting requirements (the “Fourth Amendment”). On November 24, 2021, Latham Pool Products amended the Term Loan to provide additional borrowings of $50 million (the “Fifth Amendment”). The proceeds from this incremental term loan were used to finance the Radiant Acquisition in part. The Term Loan, collectively with the First Amendment, Second Amendment, Third Amendment, the Fourth Amendment and the Fifth Amendment, is referred to as the “Amended Term Loan.” The Amended Term Loan was repaid and terminated in connection with the Refinancing.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Interest rate risk associated with the New Credit Agreement is managed through an interest rate swap that the Company executed on April 30, 2020. The swap has an effective date of May 18, 2020 and a termination date of May 18, 2023. In February of 2022, the Company amended its interest rate swap to change the index rate from LIBOR to SOFR in connection with the entry into the New Credit Agreement. Under the terms of the amended swap, the Company fixed its SOFR borrowing rate at 0.496% on a notional amount of $200.0 million. The interest rate swap is not designated as a hedging instrument for accounting purposes (see Note 2 and Note 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Principal payments due on the outstanding debt in the next five fiscal years, excluding any potential payments based on excess cash flow levels,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5"/>
              </w:rPr>
              <w:t>Term Loan Facility</w:t>
            </w: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309,562</w:t>
            </w:r>
          </w:p>
        </w:tc>
      </w:tr>
      <w:tr>
        <w:trPr>
          <w:trHeight w:val="209"/>
        </w:trPr>
        <w:tc>
          <w:tcPr>
            <w:tcW w:w="8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323,375</w:t>
            </w:r>
          </w:p>
        </w:tc>
      </w:tr>
      <w:tr>
        <w:trPr>
          <w:trHeight w:val="20"/>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The obligations under the New Credit Agreement are guaranteed by certain wholly owned subsidiaries (the “Guarantors”) of the Company as defined in the security agreement. The obligations under the New Credit Agreement are secured by substantially all of the Guarantors’ tangible and intangible assets, including their accounts receivables, equipment, intellectual property, inventory, cash and cash equivalents, deposit accounts and security accounts. The New Credit Agreement also restricts payments and other distributions unless certain conditions are met, which could restrict the Company’s ability to pay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PRODUCT WARRANTIES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warranty reserve activity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7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October 1, 2022</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3"/>
              </w:rPr>
              <w:t>October 2, 2021</w:t>
            </w:r>
          </w:p>
        </w:tc>
        <w:tc>
          <w:tcPr>
            <w:tcW w:w="22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Settlements made (in cash or in kind)</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220" w:type="dxa"/>
            <w:vAlign w:val="bottom"/>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2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January 1, 2022, the Company adopted ASU 2016-02, “Leases (Topic 842),” and the related amendments (collectively “ASC 842”).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 (ASC 840).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has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7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Company leases vehicles, manufacturing facilities, office space, land, and equipment under operating leases. The Company determines if an arrangement is a lease at inception. A contract is or contains a lease if the contract conveys the right to control the use of an identified asset for a period of time in exchange for consideration. The Company does not have material finance leases.</w:t>
      </w:r>
    </w:p>
    <w:p>
      <w:pPr>
        <w:spacing w:after="0" w:line="14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components of lease expense for the fiscal quarter and three fiscal quarters ended October 1, 2022 were as follows (in thousands):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expense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expense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expense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68"/>
        <w:spacing w:after="0"/>
        <w:rPr>
          <w:sz w:val="20"/>
          <w:szCs w:val="20"/>
          <w:color w:val="auto"/>
        </w:rPr>
      </w:pPr>
      <w:r>
        <w:rPr>
          <w:rFonts w:ascii="Arial" w:cs="Arial" w:eastAsia="Arial" w:hAnsi="Arial"/>
          <w:sz w:val="14"/>
          <w:szCs w:val="14"/>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0541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jc w:val="center"/>
        <w:ind w:left="-68"/>
        <w:spacing w:after="0"/>
        <w:rPr>
          <w:sz w:val="20"/>
          <w:szCs w:val="20"/>
          <w:color w:val="auto"/>
        </w:rPr>
      </w:pPr>
      <w:r>
        <w:rPr>
          <w:rFonts w:ascii="Arial" w:cs="Arial" w:eastAsia="Arial" w:hAnsi="Arial"/>
          <w:sz w:val="14"/>
          <w:szCs w:val="14"/>
          <w:b w:val="1"/>
          <w:bCs w:val="1"/>
          <w:color w:val="auto"/>
        </w:rPr>
        <w:t>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-3175</wp:posOffset>
            </wp:positionV>
            <wp:extent cx="629221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ind w:left="1189" w:hanging="1189"/>
        <w:spacing w:after="0"/>
        <w:tabs>
          <w:tab w:leader="none" w:pos="1189" w:val="left"/>
        </w:tabs>
        <w:numPr>
          <w:ilvl w:val="0"/>
          <w:numId w:val="5"/>
        </w:numPr>
        <w:rPr>
          <w:rFonts w:ascii="Arial" w:cs="Arial" w:eastAsia="Arial" w:hAnsi="Arial"/>
          <w:sz w:val="15"/>
          <w:szCs w:val="15"/>
          <w:color w:val="auto"/>
        </w:rPr>
      </w:pPr>
      <w:r>
        <w:rPr>
          <w:rFonts w:ascii="Arial" w:cs="Arial" w:eastAsia="Arial" w:hAnsi="Arial"/>
          <w:sz w:val="15"/>
          <w:szCs w:val="15"/>
          <w:color w:val="auto"/>
        </w:rPr>
        <w:t>2,295</w:t>
      </w:r>
    </w:p>
    <w:p>
      <w:pPr>
        <w:spacing w:after="0" w:line="42" w:lineRule="exact"/>
        <w:rPr>
          <w:rFonts w:ascii="Arial" w:cs="Arial" w:eastAsia="Arial" w:hAnsi="Arial"/>
          <w:sz w:val="15"/>
          <w:szCs w:val="15"/>
          <w:color w:val="auto"/>
        </w:rPr>
      </w:pPr>
    </w:p>
    <w:p>
      <w:pPr>
        <w:ind w:left="1409"/>
        <w:spacing w:after="0"/>
        <w:rPr>
          <w:rFonts w:ascii="Arial" w:cs="Arial" w:eastAsia="Arial" w:hAnsi="Arial"/>
          <w:sz w:val="15"/>
          <w:szCs w:val="15"/>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20320</wp:posOffset>
            </wp:positionV>
            <wp:extent cx="629221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054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1189" w:hanging="1189"/>
        <w:spacing w:after="0"/>
        <w:tabs>
          <w:tab w:leader="none" w:pos="1189" w:val="left"/>
        </w:tabs>
        <w:numPr>
          <w:ilvl w:val="0"/>
          <w:numId w:val="6"/>
        </w:numPr>
        <w:rPr>
          <w:rFonts w:ascii="Arial" w:cs="Arial" w:eastAsia="Arial" w:hAnsi="Arial"/>
          <w:sz w:val="15"/>
          <w:szCs w:val="15"/>
          <w:color w:val="auto"/>
        </w:rPr>
      </w:pPr>
      <w:r>
        <w:rPr>
          <w:rFonts w:ascii="Arial" w:cs="Arial" w:eastAsia="Arial" w:hAnsi="Arial"/>
          <w:sz w:val="15"/>
          <w:szCs w:val="15"/>
          <w:color w:val="auto"/>
        </w:rPr>
        <w:t>2,494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10541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53340</wp:posOffset>
            </wp:positionV>
            <wp:extent cx="10541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40"/>
        <w:spacing w:after="0" w:line="256" w:lineRule="auto"/>
        <w:rPr>
          <w:sz w:val="20"/>
          <w:szCs w:val="20"/>
          <w:color w:val="auto"/>
        </w:rPr>
      </w:pPr>
      <w:r>
        <w:rPr>
          <w:rFonts w:ascii="Arial" w:cs="Arial" w:eastAsia="Arial" w:hAnsi="Arial"/>
          <w:sz w:val="14"/>
          <w:szCs w:val="14"/>
          <w:b w:val="1"/>
          <w:bCs w:val="1"/>
          <w:u w:val="single" w:color="auto"/>
          <w:color w:val="auto"/>
        </w:rPr>
        <w:t xml:space="preserve">Three Fiscal Quarters Ended </w:t>
      </w:r>
      <w:r>
        <w:rPr>
          <w:rFonts w:ascii="Arial" w:cs="Arial" w:eastAsia="Arial" w:hAnsi="Arial"/>
          <w:sz w:val="14"/>
          <w:szCs w:val="14"/>
          <w:b w:val="1"/>
          <w:bCs w:val="1"/>
          <w:color w:val="auto"/>
        </w:rPr>
        <w:t>October 1, 2022</w:t>
      </w:r>
    </w:p>
    <w:tbl>
      <w:tblPr>
        <w:tblLayout w:type="fixed"/>
        <w:tblInd w:w="0" w:type="dxa"/>
        <w:tblCellMar>
          <w:top w:w="0" w:type="dxa"/>
          <w:left w:w="0" w:type="dxa"/>
          <w:bottom w:w="0" w:type="dxa"/>
          <w:right w:w="0" w:type="dxa"/>
        </w:tblCellMar>
      </w:tblPr>
      <w:tr>
        <w:trPr>
          <w:trHeight w:val="185"/>
        </w:trPr>
        <w:tc>
          <w:tcPr>
            <w:tcW w:w="740" w:type="dxa"/>
            <w:vAlign w:val="bottom"/>
            <w:tcBorders>
              <w:top w:val="single" w:sz="8" w:color="auto"/>
            </w:tcBorders>
            <w:gridSpan w:val="2"/>
          </w:tcPr>
          <w:p>
            <w:pPr>
              <w:jc w:val="right"/>
              <w:ind w:right="567"/>
              <w:spacing w:after="0" w:line="18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8"/>
                <w:szCs w:val="18"/>
                <w:color w:val="auto"/>
              </w:rPr>
              <w:t>6,799</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09"/>
        </w:trPr>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471" w:space="720"/>
            <w:col w:w="1589" w:space="280"/>
            <w:col w:w="1860"/>
          </w:cols>
          <w:pgMar w:left="980" w:top="665" w:right="99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supplemental information related to leases as of October 1, 2022:</w:t>
      </w:r>
    </w:p>
    <w:p>
      <w:pPr>
        <w:spacing w:after="0" w:line="23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October 1,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3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table below presents supplemental information related to the cash flows for operating leases recorded on the condensed consolidated statements of cash flows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65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October 1, 2022</w:t>
            </w:r>
          </w:p>
        </w:tc>
        <w:tc>
          <w:tcPr>
            <w:tcW w:w="1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54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6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5,249</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maturities of operating lease liabilities as of October 1, 2022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 Leases</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fiscal 2022</w:t>
            </w:r>
          </w:p>
        </w:tc>
        <w:tc>
          <w:tcPr>
            <w:tcW w:w="2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2023</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8,162</w:t>
            </w:r>
          </w:p>
        </w:tc>
        <w:tc>
          <w:tcPr>
            <w:tcW w:w="2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2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2025</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7,259</w:t>
            </w:r>
          </w:p>
        </w:tc>
        <w:tc>
          <w:tcPr>
            <w:tcW w:w="2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240" w:type="dxa"/>
            <w:vAlign w:val="bottom"/>
            <w:shd w:val="clear" w:color="auto" w:fill="CCEEFF"/>
          </w:tcPr>
          <w:p>
            <w:pPr>
              <w:spacing w:after="0"/>
              <w:rPr>
                <w:sz w:val="18"/>
                <w:szCs w:val="18"/>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16,136</w:t>
            </w:r>
          </w:p>
        </w:tc>
        <w:tc>
          <w:tcPr>
            <w:tcW w:w="240" w:type="dxa"/>
            <w:vAlign w:val="bottom"/>
            <w:tcBorders>
              <w:bottom w:val="single" w:sz="8" w:color="CCEEFF"/>
            </w:tcBorders>
          </w:tcPr>
          <w:p>
            <w:pPr>
              <w:spacing w:after="0"/>
              <w:rPr>
                <w:sz w:val="18"/>
                <w:szCs w:val="18"/>
                <w:color w:val="auto"/>
              </w:rPr>
            </w:pPr>
          </w:p>
        </w:tc>
      </w:tr>
      <w:tr>
        <w:trPr>
          <w:trHeight w:val="210"/>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47,386</w:t>
            </w:r>
          </w:p>
        </w:tc>
        <w:tc>
          <w:tcPr>
            <w:tcW w:w="240" w:type="dxa"/>
            <w:vAlign w:val="bottom"/>
            <w:shd w:val="clear" w:color="auto" w:fill="CCEEFF"/>
          </w:tcPr>
          <w:p>
            <w:pPr>
              <w:spacing w:after="0"/>
              <w:rPr>
                <w:sz w:val="18"/>
                <w:szCs w:val="18"/>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w:t>
            </w:r>
          </w:p>
        </w:tc>
        <w:tc>
          <w:tcPr>
            <w:tcW w:w="240" w:type="dxa"/>
            <w:vAlign w:val="bottom"/>
            <w:tcBorders>
              <w:bottom w:val="single" w:sz="8" w:color="CCEEFF"/>
            </w:tcBorders>
          </w:tcPr>
          <w:p>
            <w:pPr>
              <w:spacing w:after="0"/>
              <w:rPr>
                <w:sz w:val="18"/>
                <w:szCs w:val="18"/>
                <w:color w:val="auto"/>
              </w:rPr>
            </w:pPr>
          </w:p>
        </w:tc>
      </w:tr>
      <w:tr>
        <w:trPr>
          <w:trHeight w:val="209"/>
        </w:trPr>
        <w:tc>
          <w:tcPr>
            <w:tcW w:w="5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Present value of lease liability</w:t>
            </w:r>
          </w:p>
        </w:tc>
        <w:tc>
          <w:tcPr>
            <w:tcW w:w="2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40,032</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SALES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Company’s disaggregation of net sales by product line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3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October 1, 2022</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2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1, 2022</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00" w:type="dxa"/>
            <w:vAlign w:val="bottom"/>
          </w:tcPr>
          <w:p>
            <w:pPr>
              <w:spacing w:after="0"/>
              <w:rPr>
                <w:sz w:val="12"/>
                <w:szCs w:val="12"/>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In-ground Swimming Pools</w:t>
            </w:r>
          </w:p>
        </w:tc>
        <w:tc>
          <w:tcPr>
            <w:tcW w:w="1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102,334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326,290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Covers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122,848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94,354</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Liners</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111,534</w:t>
            </w:r>
          </w:p>
        </w:tc>
        <w:tc>
          <w:tcPr>
            <w:tcW w:w="100" w:type="dxa"/>
            <w:vAlign w:val="bottom"/>
            <w:shd w:val="clear" w:color="auto" w:fill="CCEEFF"/>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189,398</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161,957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587,812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491,592</w:t>
            </w:r>
          </w:p>
        </w:tc>
        <w:tc>
          <w:tcPr>
            <w:tcW w:w="10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effective income tax rate for the fiscal quarter and three fiscal quarters ended October 1, 2022 was 43.4% and 65.6%, respectively, compared to (223.8)% and (39.3)% for the fiscal quarter and three fiscal quarters ended October 2, 2021. The difference between the U.S. federal statutory income tax rate and the Company’s effective income tax rate for both the fiscal quarter and three fiscal quarters ended October 1, 2022 was primarily attributable to the discrete impact of stock-based compensation expense for which there is no associated tax benefit. The difference between the U.S. federal statutory income tax rate and the Company’s effective income tax rate for both the fiscal quarter and three fiscal quarters ended October 2, 2021 was also primarily attributable to the discrete impact of stock-based compensation expense.</w:t>
      </w:r>
    </w:p>
    <w:p>
      <w:pPr>
        <w:spacing w:after="0" w:line="19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Inflation Reduction Act ("IRA") was passed into law on August 16, 2022. Key provisions from the IRA include the implementation of a 15% corporate alternative minimum tax, an excise tax on stock buybacks, and significant tax incentives for energy and climate initiatives. Enactment of the IRA has not impacted the Company’s financial condition, results of operations or cash flows for the period ended October 1, 2022 and the Company does not expect a material impact on its future results.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 Initial Public Offering and Reorganization</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April 13, 2021, the Company’s certificate of incorporation was amended and restated. On April 13, 2021, the Company effected a 109,673.709-for-one stock split of its issued and outstanding shares of common stock. Accordingly, all share and per share data included in these condensed consolidated financial statements and notes thereto have been adjusted retroactively to reflect the impact of the amended and restated certificate of incorporation and the stock split.</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Prior to the closing of the Company’s IPO on April 27, 2021, the Company’s parent entity, Parent, merged with and into Latham Group, Inc. (the “Reorganization”).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Common Stock</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January 11, 2022, the Company completed an offering of 13,800,000 shares of common stock, par value $0.0001 per share, including the exercise in full by the underwriters of their option to purchase up to 1,800,000 additional shares of common stock, at a public offering price of $19.50 per share. The Company received proceeds of $257.7 million from this offering, net of $11.4 million of underwriting fees. The proceeds of $257.7 million were used to purchase 13,800,000 shares of common stock from certain of the Company’s stockholders, primarily investment funds managed by the Sponsor and Wynnchurch Capital, L.P., and also a small percentage of shares of common stock owned by some of the Company’s directors and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May 10, 2022, the Company approved a stock repurchase program (the “Repurchase Program”), which authorized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fiscal quarter ended July 2, 2022, the Company repurchased and concurrently retired 2,026,231 shares of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 stock for an aggregate amount of $15.0 million, pursuant to the Repurchase Program. As of October 1, 2022,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$85.0 million remained available for share repurchases pursuant to the Repurchase Program. The Company accounts for the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repurchase price over the par value of shares acquired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April 12, 2021, the Company’s stockholders approved the 2021 Omnibus Incentive Plan (the “Omnibus Incentive Plan”), which became effective on April 22, 2021, upon pricing of the IPO.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is $750,000.</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stock-based compensation expense: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40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October 1, 2022</w:t>
            </w:r>
          </w:p>
        </w:tc>
        <w:tc>
          <w:tcPr>
            <w:tcW w:w="1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2022</w:t>
            </w:r>
          </w:p>
        </w:tc>
        <w:tc>
          <w:tcPr>
            <w:tcW w:w="1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00" w:type="dxa"/>
            <w:vAlign w:val="bottom"/>
            <w:tcBorders>
              <w:bottom w:val="single" w:sz="8" w:color="CCEEFF"/>
            </w:tcBorders>
          </w:tcPr>
          <w:p>
            <w:pPr>
              <w:spacing w:after="0"/>
              <w:rPr>
                <w:sz w:val="12"/>
                <w:szCs w:val="12"/>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97,741</w:t>
            </w:r>
          </w:p>
        </w:tc>
        <w:tc>
          <w:tcPr>
            <w:tcW w:w="100" w:type="dxa"/>
            <w:vAlign w:val="bottom"/>
            <w:tcBorders>
              <w:bottom w:val="single" w:sz="8" w:color="CCEEFF"/>
            </w:tcBorders>
          </w:tcPr>
          <w:p>
            <w:pPr>
              <w:spacing w:after="0"/>
              <w:rPr>
                <w:sz w:val="18"/>
                <w:szCs w:val="18"/>
                <w:color w:val="auto"/>
              </w:rPr>
            </w:pPr>
          </w:p>
        </w:tc>
      </w:tr>
      <w:tr>
        <w:trPr>
          <w:trHeight w:val="210"/>
        </w:trPr>
        <w:tc>
          <w:tcPr>
            <w:tcW w:w="40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October 1, 2022, total unrecognized stock-based compensation expense related to all unvested stock-based awards was $32.7 million, which is expected to be recognized over a weighted-average period of 1.21 years.</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option awards granted: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060" w:type="dxa"/>
            <w:vAlign w:val="bottom"/>
          </w:tcPr>
          <w:p>
            <w:pPr>
              <w:jc w:val="right"/>
              <w:ind w:right="36"/>
              <w:spacing w:after="0"/>
              <w:rPr>
                <w:sz w:val="20"/>
                <w:szCs w:val="20"/>
                <w:color w:val="auto"/>
              </w:rPr>
            </w:pPr>
            <w:r>
              <w:rPr>
                <w:rFonts w:ascii="Arial" w:cs="Arial" w:eastAsia="Arial" w:hAnsi="Arial"/>
                <w:sz w:val="14"/>
                <w:szCs w:val="14"/>
                <w:b w:val="1"/>
                <w:bCs w:val="1"/>
                <w:color w:val="auto"/>
              </w:rPr>
              <w:t>Three Fiscal Quarters Ended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760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October 1, 2022</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tcPr>
          <w:p>
            <w:pPr>
              <w:jc w:val="right"/>
              <w:spacing w:after="0"/>
              <w:rPr>
                <w:sz w:val="20"/>
                <w:szCs w:val="20"/>
                <w:color w:val="auto"/>
              </w:rPr>
            </w:pPr>
            <w:r>
              <w:rPr>
                <w:rFonts w:ascii="Arial" w:cs="Arial" w:eastAsia="Arial" w:hAnsi="Arial"/>
                <w:sz w:val="18"/>
                <w:szCs w:val="18"/>
                <w:color w:val="auto"/>
              </w:rPr>
              <w:t>39.67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represents the Company’s restricted stock awards activity during the three fiscal quarters ended October 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38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5,803,124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Granted</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Forfeited</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(480,385)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1, 2022</w:t>
            </w:r>
          </w:p>
        </w:tc>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3,949,479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40" w:type="dxa"/>
            <w:vAlign w:val="bottom"/>
            <w:vMerge w:val="restart"/>
          </w:tcPr>
          <w:p>
            <w:pPr>
              <w:jc w:val="right"/>
              <w:ind w:right="2270"/>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represents the Company’s restricted stock units activity during the three fiscal quarters ended October 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210,012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stock option activity during the three fiscal quarters ended October 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 Term</w:t>
            </w:r>
          </w:p>
        </w:tc>
        <w:tc>
          <w:tcPr>
            <w:tcW w:w="1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January 1,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1,500,149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Expired</w:t>
            </w:r>
          </w:p>
        </w:tc>
        <w:tc>
          <w:tcPr>
            <w:tcW w:w="840" w:type="dxa"/>
            <w:vAlign w:val="bottom"/>
          </w:tcPr>
          <w:p>
            <w:pPr>
              <w:jc w:val="right"/>
              <w:spacing w:after="0"/>
              <w:rPr>
                <w:sz w:val="20"/>
                <w:szCs w:val="20"/>
                <w:color w:val="auto"/>
              </w:rPr>
            </w:pPr>
            <w:r>
              <w:rPr>
                <w:rFonts w:ascii="Arial" w:cs="Arial" w:eastAsia="Arial" w:hAnsi="Arial"/>
                <w:sz w:val="18"/>
                <w:szCs w:val="18"/>
                <w:color w:val="auto"/>
              </w:rPr>
              <w:t>(1,557)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October 1,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2,081,058</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15.11</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9.15</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October 1,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2,081,058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9.15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Options exercisable at October 1, 2022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179,714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vMerge w:val="continue"/>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Arial" w:cs="Arial" w:eastAsia="Arial" w:hAnsi="Arial"/>
          <w:sz w:val="10"/>
          <w:szCs w:val="10"/>
          <w:color w:val="auto"/>
        </w:rPr>
        <w:t>.</w:t>
      </w:r>
      <w:r>
        <w:rPr>
          <w:rFonts w:ascii="Arial" w:cs="Arial" w:eastAsia="Arial" w:hAnsi="Arial"/>
          <w:sz w:val="18"/>
          <w:szCs w:val="18"/>
          <w:color w:val="auto"/>
        </w:rPr>
        <w:t xml:space="preserve"> The weighted average grant-date fair value of stock options granted during the three fiscal quarters ended October 1, 2022 was $5.56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Fiscal Quarter Ended</w:t>
            </w:r>
          </w:p>
        </w:tc>
        <w:tc>
          <w:tcPr>
            <w:tcW w:w="14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5000" w:type="dxa"/>
            <w:vAlign w:val="bottom"/>
          </w:tcPr>
          <w:p>
            <w:pPr>
              <w:spacing w:after="0"/>
              <w:rPr>
                <w:sz w:val="12"/>
                <w:szCs w:val="12"/>
                <w:color w:val="auto"/>
              </w:rPr>
            </w:pPr>
          </w:p>
        </w:tc>
        <w:tc>
          <w:tcPr>
            <w:tcW w:w="12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October 1, 2022</w:t>
            </w: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October 2, 2021</w:t>
            </w:r>
          </w:p>
        </w:tc>
        <w:tc>
          <w:tcPr>
            <w:tcW w:w="140" w:type="dxa"/>
            <w:vAlign w:val="bottom"/>
          </w:tcPr>
          <w:p>
            <w:pPr>
              <w:spacing w:after="0"/>
              <w:rPr>
                <w:sz w:val="12"/>
                <w:szCs w:val="12"/>
                <w:color w:val="auto"/>
              </w:rPr>
            </w:pPr>
          </w:p>
        </w:tc>
        <w:tc>
          <w:tcPr>
            <w:tcW w:w="12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October 1, 2022</w:t>
            </w: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October 2, 2021</w:t>
            </w:r>
          </w:p>
        </w:tc>
        <w:tc>
          <w:tcPr>
            <w:tcW w:w="20" w:type="dxa"/>
            <w:vAlign w:val="bottom"/>
          </w:tcPr>
          <w:p>
            <w:pPr>
              <w:spacing w:after="0"/>
              <w:rPr>
                <w:sz w:val="12"/>
                <w:szCs w:val="12"/>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Net income (loss) attributable to common stockholders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11,876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(11,296)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13,339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(56,361)</w:t>
            </w:r>
          </w:p>
        </w:tc>
        <w:tc>
          <w:tcPr>
            <w:tcW w:w="20" w:type="dxa"/>
            <w:vAlign w:val="bottom"/>
          </w:tcPr>
          <w:p>
            <w:pPr>
              <w:spacing w:after="0"/>
              <w:rPr>
                <w:sz w:val="18"/>
                <w:szCs w:val="18"/>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113,171,655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112,153,832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113,521,425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110,121,240</w:t>
            </w:r>
          </w:p>
        </w:tc>
        <w:tc>
          <w:tcPr>
            <w:tcW w:w="20" w:type="dxa"/>
            <w:vAlign w:val="bottom"/>
          </w:tcPr>
          <w:p>
            <w:pPr>
              <w:spacing w:after="0"/>
              <w:rPr>
                <w:sz w:val="18"/>
                <w:szCs w:val="18"/>
                <w:color w:val="auto"/>
              </w:rPr>
            </w:pPr>
          </w:p>
        </w:tc>
      </w:tr>
      <w:tr>
        <w:trPr>
          <w:trHeight w:val="210"/>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113,202,846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112,153,832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114,867,164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110,121,240</w:t>
            </w:r>
          </w:p>
        </w:tc>
        <w:tc>
          <w:tcPr>
            <w:tcW w:w="20" w:type="dxa"/>
            <w:vAlign w:val="bottom"/>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(loss) per share attributable to common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r>
      <w:tr>
        <w:trPr>
          <w:trHeight w:val="209"/>
        </w:trPr>
        <w:tc>
          <w:tcPr>
            <w:tcW w:w="5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October 1, 2022 and December 31, 2021, 113,171,655 and 113,642,487 shares of common stock are issued and outstanding for accounting purposes, respectively.</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includes the number of shares that may be dilutive common shares in the future that were not included in the computation of diluted net income (loss) per share because the effect was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260" w:type="dxa"/>
            <w:vAlign w:val="bottom"/>
            <w:gridSpan w:val="4"/>
          </w:tcPr>
          <w:p>
            <w:pPr>
              <w:ind w:left="380"/>
              <w:spacing w:after="0"/>
              <w:rPr>
                <w:sz w:val="20"/>
                <w:szCs w:val="20"/>
                <w:color w:val="auto"/>
              </w:rPr>
            </w:pPr>
            <w:r>
              <w:rPr>
                <w:rFonts w:ascii="Arial" w:cs="Arial" w:eastAsia="Arial" w:hAnsi="Arial"/>
                <w:sz w:val="14"/>
                <w:szCs w:val="14"/>
                <w:b w:val="1"/>
                <w:bCs w:val="1"/>
                <w:color w:val="auto"/>
              </w:rPr>
              <w:t>Fiscal Quarter Ended</w:t>
            </w:r>
          </w:p>
        </w:tc>
        <w:tc>
          <w:tcPr>
            <w:tcW w:w="22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5400" w:type="dxa"/>
            <w:vAlign w:val="bottom"/>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October 1, 2022</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40" w:type="dxa"/>
            <w:vAlign w:val="bottom"/>
          </w:tcPr>
          <w:p>
            <w:pPr>
              <w:spacing w:after="0"/>
              <w:rPr>
                <w:sz w:val="12"/>
                <w:szCs w:val="12"/>
                <w:color w:val="auto"/>
              </w:rPr>
            </w:pPr>
          </w:p>
        </w:tc>
        <w:tc>
          <w:tcPr>
            <w:tcW w:w="11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October 1, 2022</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12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3,842,873</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2,952,422</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1,280,958</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6,813,166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80" w:type="dxa"/>
            <w:vAlign w:val="bottom"/>
          </w:tcPr>
          <w:p>
            <w:pPr>
              <w:jc w:val="right"/>
              <w:spacing w:after="0"/>
              <w:rPr>
                <w:sz w:val="20"/>
                <w:szCs w:val="20"/>
                <w:color w:val="auto"/>
              </w:rPr>
            </w:pPr>
            <w:r>
              <w:rPr>
                <w:rFonts w:ascii="Arial" w:cs="Arial" w:eastAsia="Arial" w:hAnsi="Arial"/>
                <w:sz w:val="18"/>
                <w:szCs w:val="18"/>
                <w:color w:val="auto"/>
              </w:rPr>
              <w:t>212,183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146,398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108,570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84,866</w:t>
            </w:r>
          </w:p>
        </w:tc>
        <w:tc>
          <w:tcPr>
            <w:tcW w:w="1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1,655,462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Starting in 2020, BrightAI has rendered services to the Company, for which the cost was capitalized as internal-use software. A co-founder of BrightAI Services has served on the Company’s board of directors since December 9, 2020. During the three fiscal quarters ended October 1, 2022 and the year ended December 31, 2021, the Company incurred $0.4 million and $2.1 million, respectively, associated with services performed by BrightAI, which is recorded as construction in progress within property and equipment, net on the condensed consolidated balance sheet as of October 1, 2022. As of October 1, 2022 and December 31, 2021, the Company had accounts payable related to BrightAI of $0.8 million and $0.9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Reimbursement and Management Fees</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IPO.</w:t>
      </w:r>
    </w:p>
    <w:p>
      <w:pPr>
        <w:spacing w:after="0" w:line="157"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spacing w:after="0" w:line="16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There were no management fees incurred by the Company during the fiscal and three fiscal quarters ended October 1, 2022 and October 2, 2021. The Company recognized $0.2 million for the reimbursement of out-of-pocket costs and expenses to the Sponsor and $0.1 million for the reimbursement of out-of-pocket costs and expenses to the Wynnchurch Capital, L.P. during the fiscal quarter and three fiscal quarters ended October 1, 2022. The Company recognized less than $0.1 million for the reimbursement of out-of-pocket costs and expenses to the Sponsor and Wynnchurch Capital, L.P. during three fiscal quarters ended October 2, 2021. As of October 1, 2022, there was $0.2 million outstanding amounts payable to the Sponsor and no outstanding amounts payable to Wynnchurch Capital, L.P. As of December 31, 2021, there were no outstanding amounts payable to the Sponsor and Wynnchurch Capital, L.P.</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November 8, 2022, the Company approved a cost reduction plan focused on efforts to improve efficiencies and decrease costs. The plan involves the closure of the Company’s manufacturing facility in Bossier City, Louisiana, and a reduction to the Company’s current workforce. The Company expects to incur charges for employee severance and related costs, as well as fixed asset and facility related expenses, of approximately $2.0 million. These costs will be recognized in the fourth quarter of 2022 and in the first quarter of 2023.</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2021 Annual Report on Form 10-K filed with the Securities and Exchange Commission, or SEC, on March 10, 2022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Certain statements in this report are forward-looking statements that involve risk, assumptions and uncertainties, such as statements of our plans, objectives, expectations, intentions and forecasts. In addition, our management may from time to time make oral forward-looking statements. All statements, other than statements of historical facts, are forward-looking statements. These forward-looking statements are generally identified by the use of forward-looking terminology, including the terms “anticipate,” “believe,” “confident,” “continue,” “could,” “depend,” “estimate,” “expect,” “intend,” “likely,” “may,” “plan,” “possible,” “potential,” “predict,” “project,” “should,” “target,” “will,” “would” and, in each case, their negative or other various or comparable terminology. Our actual results and the timing of selected events could differ materially from those discussed in these forward-looking statements as a result of various factors, including those set forth under the section of this Quarterly Report on Form 10-Q titled “Risk Factors” and elsewhere in this Quarterly Report on Form 10-Q. These statements involve known and unknown risks, uncertainties and other important factors that may cause our actual results, performance or achievements to be materially different, negatively or positively, from any future results, performance or achievements expressed or implied by the forward-looking statements. Important factors that could cause our results to vary from expectations include, but are not limited to secular shifts in consumer demand for swimming pools and spending on outdoor living spaces; slow pace of material conversion from concrete pools to fiberglass pools in the pool industry; general economic conditions and uncertainties affecting markets in which we operate and economic volatility that could adversely impact our business, including the COVID-19 pandemic and inflation; the impact of the war between the Russian Federation and Ukraine, including impact of sanctions imposed by Western governments; changes in access to consumer credit or increases in interest rates impacting consumers’ ability to finance their purchases of pools; the impact of weather on our business; our ability to attract new customers and retain existing customers, including the ability to generate additional potential sales leads for our dealers and the ability to convert leads generated into ultimate sales of products to consumers; our ability to sustain further growth and to manage it effectively; the ability of our suppliers to continue to deliver the quantity or quality of materials sufficient to meet our needs to manufacture our products; the availability and cost of third-party transportation services for our products and raw materials; product quality issues; our ability to successfully defend litigation brought against us; our ability to adequately obtain, maintain, protect and enforce our intellectual property and proprietary rights and claims of intellectual property and proprietary right infringement, misappropriation or other violation by competitors and third parties; failure to hire and retain qualified employees and personnel; exposure to risks associated with international sales and operations, including foreign currency exchange rates, corruption and instability; security breaches, cyber-attacks and other interruptions to our and our third-party service providers’ technological and physical infrastructures; catastrophic events, including war, terrorism and other international conflicts, public health issues or natural catastrophes and accidents; risk of increased regulation of our operations, particularly related to environmental laws; fluctuations in our operating results; inability to compete successfully against current and future competitors; inability to achieve projected savings from our cost reduction initiatives; and other risks, uncertainties and factors set forth in this Quarterly Report on Form 10-Q, including those set forth under section titled “Risk Factors.” These forward-looking statements reflect our views with respect to future events as of the date of this Quarterly Report on Form 10-Q and are based on assumptions and subject to risks and uncertainties. Given these uncertainties, you should not place undue reliance on these forward-looking statements. These forward-looking statements represent our estimates and assumptions only as of the date of this Quarterly Report on Form 10-Q and,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You should read this Quarterly Report on Form 10-Q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are the largest designer, manufacturer and marketer of in-ground residential swimming pools in North America, Australia and New Zealand. We hold the #1 market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7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8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over 2,300 employees across over 30 facilities.</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fiscal quarter ended October 1, 2022</w:t>
      </w:r>
    </w:p>
    <w:p>
      <w:pPr>
        <w:spacing w:after="0" w:line="225" w:lineRule="exact"/>
        <w:rPr>
          <w:sz w:val="20"/>
          <w:szCs w:val="20"/>
          <w:color w:val="auto"/>
        </w:rPr>
      </w:pPr>
    </w:p>
    <w:p>
      <w:pPr>
        <w:ind w:left="680" w:right="2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net sales of 16.9%, or $27.4 million, to $189.4 million for the fiscal quarter ended October 1, 2022, compared to $162.0 million for the fiscal quarter ended October 2, 2021.</w:t>
      </w:r>
    </w:p>
    <w:p>
      <w:pPr>
        <w:spacing w:after="0" w:line="170" w:lineRule="exact"/>
        <w:rPr>
          <w:rFonts w:ascii="Arial" w:cs="Arial" w:eastAsia="Arial" w:hAnsi="Arial"/>
          <w:sz w:val="18"/>
          <w:szCs w:val="18"/>
          <w:color w:val="auto"/>
        </w:rPr>
      </w:pPr>
    </w:p>
    <w:p>
      <w:pPr>
        <w:jc w:val="both"/>
        <w:ind w:left="680" w:right="40" w:hanging="321"/>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net income of $23.2 million, to $11.9 million for the fiscal quarter ended October 1, 2022, compared to a net loss of $11.3 million for the fiscal quarter ended October 2, 2021, representing an 6.3% net income margin for the fiscal quarter ended October 1, 2022.</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Adjusted EBITDA (as defined below) of $6.2 million, to $42.3 million for the fiscal quarter ended October 1, 2022, compared to $36.1 million for the fiscal quarter ended October 2,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three fiscal quarters ended October 1, 2022</w:t>
      </w:r>
    </w:p>
    <w:p>
      <w:pPr>
        <w:spacing w:after="0" w:line="225" w:lineRule="exact"/>
        <w:rPr>
          <w:sz w:val="20"/>
          <w:szCs w:val="20"/>
          <w:color w:val="auto"/>
        </w:rPr>
      </w:pPr>
    </w:p>
    <w:p>
      <w:pPr>
        <w:ind w:left="68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net sales of 19.6%, or $96.2 million, to $587.8 million for the three fiscal quarters ended October 1, 2022, compared to $491.6 million for the three fiscal quarters ended October 2, 2021.</w:t>
      </w:r>
    </w:p>
    <w:p>
      <w:pPr>
        <w:spacing w:after="0" w:line="170" w:lineRule="exact"/>
        <w:rPr>
          <w:rFonts w:ascii="Arial" w:cs="Arial" w:eastAsia="Arial" w:hAnsi="Arial"/>
          <w:sz w:val="18"/>
          <w:szCs w:val="18"/>
          <w:color w:val="auto"/>
        </w:rPr>
      </w:pPr>
    </w:p>
    <w:p>
      <w:pPr>
        <w:jc w:val="both"/>
        <w:ind w:left="680" w:right="80" w:hanging="321"/>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net income of $69.7 million, to $13.3 million for the three fiscal quarters ended October 1, 2022, compared to a net loss of $56.4 million for the three fiscal quarters ended October 2, 2021, representing an 2.3% net income margin for the three fiscal quarters ended October 1, 2022.</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Adjusted EBITDA of $26.4 million, to $138.9 million for the three fiscal quarters ended October 1, 2022, compared to $112.5 million for the three fiscal quarters ended October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Update</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Market conditions continue to evolve. Our wholesale distribution partners continue to destock packaged pool inventory levels as they service dealer demand through existing supply. This is resulting in continued volume declines in our packaged pool products in the fourth quarter. Additionally, while interest in pool ownership remains strong, some homeowners are taking more time on their purchase decisions and establishing installation dates in light of the current macroeconomic environment. We have responded to these dynamics with immediate actions to reduce our costs.</w:t>
      </w:r>
    </w:p>
    <w:p>
      <w:pPr>
        <w:spacing w:after="0" w:line="18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On November 8, 2022, we approved a cost reduction plan to optimize our production and shift schedules, implement a workforce reduction, and streamline our cover and liner manufacturing footprint with the planned closure of our Bossier City, Louisiana facility in the first quarter of 2023. We expect to incur charges for employee severance and related costs, as well as fixed asset and facility related expenses, of approximately $2.0 million. These costs will be recognized in the fourth quarter of 2022 and the first quarter of 2023. We expect to generate annual operating expense savings of approximately $12.0 million in fiscal 2023 as a result of our cost reduction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Inflation Reduction Act ("IRA") was passed into law on August 16, 2022. Key provisions from the IRA include the implementation of a 15% corporate alternative minimum tax, an excise tax on stock buybacks, and significant tax incentives for energy and climate initiatives. Enactment of the IRA has not impacted our financial condition, results of operations or cash flows for the period ended October 1, 2022 and we do not expect a material impact on our future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and solid pool covers that protect pools against debris and cold or inclement weather and automatic safety covers for pools that can be operated with a switch.</w:t>
      </w:r>
    </w:p>
    <w:p>
      <w:pPr>
        <w:spacing w:after="0" w:line="17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4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Gross margin is gross profit as a percentage of our net sales. Gross margin is dependent upon several factors, such as changes in prices of raw materials, the volume and relative sales mix among product lines, the average price of our products sold and plant performance, among other factors. Gross margin is also impacted by the costs of distribution and occupancy costs, which can vary.</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use Adjusted EBITDA and Adjusted EBITDA margin to supplement GAAP measures of performance to evaluate the effectiveness of our business strategies, to make budgeting decisions, to establish our annual management incentive bonus plan compensation and to compare our performance against that of other peer companies using similar measures. We define Adjusted EBITDA as net income (loss) plus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loss on extinguishment of debt, (xi) other, (xii) underwriting fees related to offering of common stock, (xiii) Odessa fire and (xiv) IPO costs. We believe excluding these items allows for better comparison of our financial results across reporting periods.</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define Adjusted EBITDA margin as Adjusted EBITDA divided by net sales. Our definitions of Adjusted EBITDA and Adjusted EBITDA margin may not be comparable to similarly titled measures of other companies.</w:t>
      </w:r>
    </w:p>
    <w:p>
      <w:pPr>
        <w:spacing w:after="0" w:line="170"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For a discussion of Adjusted EBITDA and Adjusted EBITDA margin and the limitations on their use, and the reconciliation of Adjusted EBITDA to net income (loss), the most directly comparable GAAP financial measure, and our calculation of Adjusted EBITDA margin see “—Non-GAAP Financial Measures”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Ended October 1, 2022 Compared to Fiscal Quarter Ended October 2,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results of operations for the fiscal quarter ended October 1, 2022 and October 2,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w w:val="95"/>
              </w:rPr>
              <w:t>Fiscal Quarter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vMerge w:val="restart"/>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October 1, 2022</w:t>
            </w:r>
          </w:p>
        </w:tc>
        <w:tc>
          <w:tcPr>
            <w:tcW w:w="140" w:type="dxa"/>
            <w:vAlign w:val="bottom"/>
            <w:vMerge w:val="restart"/>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2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2"/>
              </w:rPr>
              <w:t>October 2, 2021</w:t>
            </w: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Change</w:t>
            </w:r>
          </w:p>
        </w:tc>
        <w:tc>
          <w:tcPr>
            <w:tcW w:w="740" w:type="dxa"/>
            <w:vAlign w:val="bottom"/>
          </w:tcPr>
          <w:p>
            <w:pPr>
              <w:spacing w:after="0" w:line="119" w:lineRule="exact"/>
              <w:rPr>
                <w:sz w:val="20"/>
                <w:szCs w:val="20"/>
                <w:color w:val="auto"/>
              </w:rPr>
            </w:pPr>
            <w:r>
              <w:rPr>
                <w:rFonts w:ascii="Arial" w:cs="Arial" w:eastAsia="Arial" w:hAnsi="Arial"/>
                <w:sz w:val="13"/>
                <w:szCs w:val="13"/>
                <w:b w:val="1"/>
                <w:bCs w:val="1"/>
                <w:color w:val="auto"/>
              </w:rPr>
              <w:t>Change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Sales</w:t>
            </w: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spacing w:after="0"/>
              <w:rPr>
                <w:sz w:val="20"/>
                <w:szCs w:val="20"/>
                <w:color w:val="auto"/>
              </w:rPr>
            </w:pPr>
            <w:r>
              <w:rPr>
                <w:rFonts w:ascii="Arial" w:cs="Arial" w:eastAsia="Arial" w:hAnsi="Arial"/>
                <w:sz w:val="14"/>
                <w:szCs w:val="14"/>
                <w:b w:val="1"/>
                <w:bCs w:val="1"/>
                <w:color w:val="auto"/>
                <w:w w:val="89"/>
              </w:rPr>
              <w:t>of Net Sales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tcPr>
          <w:p>
            <w:pPr>
              <w:jc w:val="right"/>
              <w:ind w:right="112"/>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130,521</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110,965</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19,556</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(21,323)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(2,538)</w:t>
            </w: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other expense, net</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9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5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3680" w:type="dxa"/>
            <w:vAlign w:val="bottom"/>
            <w:gridSpan w:val="3"/>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42,252</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36,107</w:t>
            </w:r>
          </w:p>
        </w:tc>
        <w:tc>
          <w:tcPr>
            <w:tcW w:w="140" w:type="dxa"/>
            <w:vAlign w:val="bottom"/>
            <w:vMerge w:val="continue"/>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6,145</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8"/>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income (loss),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Net sales were $189.4 million for the fiscal quarter ended October 1, 2022, compared to $162.0 million for the fiscal quarter ended October 2, 2021. The $27.4 million, or 16.9%, increase in net sales was due to a $27.6 million increase from pricing, partially offset by a $0.2 million decrease from volume. The $27.6 million price increase reflects the impact of pricing actions to address inflation. The $0.2 million volume decrease was largely in packaged pools, which were impacted by continued destocking in the</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wholesale distribution channel. The increase in total net sales of $27.4 million across our product lines consisted of $18.3 million for in-ground swimming pools, $1.3 million for liners and $7.8 million for covers.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Cost of sales was $130.5 million for the fiscal quarter ended October 1, 2022, compared to $111.0 million for the fiscal quarter ended October 2, 2021. Gross margin decreased by 0.4%, to 31.1% of net sales for the fiscal quarter ended October 1, 2022 compared to 31.5% of net sales for the fiscal quarter ended October 2, 2021. The $19.5 million, or 17.6%, increase in cost of sales was primarily the result of cost inflation, partially offset by a $1.2 million decrease in non-cash stock-based compensation expense. The 0.4% decrease in gross margin was primarily driven by pricing actions that offset inflation, although not at a magnitude to hold gross margins year-over-year, and negative fixed cost leverage, partially offset by benefits from the build of inventory to return to normal lead times.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Selling, general and administrative expense was $26.7 million for the fiscal quarter ended October 1, 2022, compared to $48.1 million for the fiscal quarter ended October 2, 2021, and decreased as a percentage of net sales by 15.6%. The $21.4 million, or 44.4%, decrease in selling, general and administrative expense was primarily due to a $19.4 million decrease in non-cash stock-based compensation expense and lower employee incentive accruals.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Amortization was $7.2 million for the fiscal quarter ended October 1, 2022, compared to $5.5 million for the fiscal quarter ended October 2, 2021. The $1.7 million, or 30.4%, increase in amortization was due to the increase in our definite-lived intangible assets resulting from our acquisition of Trojan Leisure Products, LLC d/b/a Radiant Pools (“Radiant”) in November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Interest expense was $4.3 million for the fiscal quarter ended October 1, 2022, compared to $4.3 million for the fiscal quarter ended October 2, 2021. Interest expense remained flat primarily due to an unrealized gain related to the change in fair value of our interest rate swap, offset by an increase in the outstanding balance of long-term debt and higher amortization of deferred financing costs and debt discount for the fiscal quarter ended October 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Other expense (income), net was $1.1 million for the fiscal quarter ended October 1, 2022, compared to ($2.5) million for the fiscal quarter ended October 2, 2021. The $3.6 million increase in other expense was primarily due to a non-recurring $3.9 million gain related to the partial sale of our equity method investment for the fiscal quarter ended October 2, 2021 and a favorable change in net foreign currency transaction gains and losses associated with our international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Earnings from our equity method investment in Premier Pools &amp; Spa were $1.3 million for the fiscal quarter ended October 1, 2022, compared to $0.8 million for the fiscal quarter ended October 2, 2021, primarily due to the financial performance of Premier Pools &amp; Spa, partially offset by our reduced ownership interest during the fiscal quarter ended October 1, 2022 as compared to the fiscal quarter ended October 2,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Income tax expense was $9.1 million for the fiscal quarter ended October 1, 2022, compared to $7.8 million for the fiscal quarter ended October 2, 2021. Our effective tax rate was 43.4% for the fiscal quarter ended October 1, 2022, compared to (223.8)% for the fiscal quarter ended October 2, 2021. The difference between the U.S. federal statutory income tax rate and our effective income tax rate for both the fiscal quarters ended October 1, 2022 and October 2, 2021 was primarily attributable to the discrete impact of stock-based compensation expense for which there is no associated tax benefit.</w:t>
      </w:r>
    </w:p>
    <w:p>
      <w:pPr>
        <w:sectPr>
          <w:pgSz w:w="11900" w:h="16838" w:orient="portrait"/>
          <w:cols w:equalWidth="0" w:num="1">
            <w:col w:w="9860"/>
          </w:cols>
          <w:pgMar w:left="980" w:top="665" w:right="1059"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Net income was $11.9 million for the fiscal quarter ended October 1, 2022, compared to $11.3 million of net loss for the fiscal quarter ended October 2, 2021. The $23.2 million, or 205.1%, increase in net income was primarily due to the factors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Margin</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Net income margin was 6.3% for the fiscal quarter ended October 1, 2022, compared to net loss margin of 7.0% for the fiscal quarter ended October 2, 2021. The 13.3% increase in net income margin was due to a $23.2 million increase in net income and a $27.4 million increase in net sales, compared to the fiscal quarter ended October 2, 2021 due to the factors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Adjusted EBITDA was $42.3 million for the fiscal quarter ended October 1, 2022, compared to $36.1 million for the fiscal quarter ended October 2, 2021. The $6.2 million, or 17.0%, increase in Adjusted EBITDA was primarily due to the increase in net sales, as well as the other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Adjusted EBITDA margin was 22.3% for the fiscal quarter ended October 1, 2022, compared to 22.3% for the fiscal quarter ended October 2, 2021. Adjusted EBITDA margin remained flat primarily due to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Fiscal Quarters Ended October 1, 2022 Compared to Three Fiscal Quarters Ended October 2,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results of operations for the three fiscal quarters ended October 1, 2022 and October 2,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Three Fiscal Quarters Ended</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vMerge w:val="restart"/>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October 1, 2022</w:t>
            </w:r>
          </w:p>
        </w:tc>
        <w:tc>
          <w:tcPr>
            <w:tcW w:w="140" w:type="dxa"/>
            <w:vAlign w:val="bottom"/>
            <w:vMerge w:val="restart"/>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vMerge w:val="restart"/>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October 2, 2021</w:t>
            </w:r>
          </w:p>
        </w:tc>
        <w:tc>
          <w:tcPr>
            <w:tcW w:w="140" w:type="dxa"/>
            <w:vAlign w:val="bottom"/>
            <w:vMerge w:val="restart"/>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Change</w:t>
            </w: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Change %</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240" w:type="dxa"/>
            <w:vAlign w:val="bottom"/>
            <w:vMerge w:val="continue"/>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of Net Sales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right"/>
              <w:ind w:right="132"/>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587,812</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491,592</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390,674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329,805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60,869</w:t>
            </w:r>
          </w:p>
        </w:tc>
        <w:tc>
          <w:tcPr>
            <w:tcW w:w="1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197,138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161,787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113,778</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170,532</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(56,754)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w w:val="99"/>
              </w:rPr>
              <w:t>Underwriting fees related to offering of common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3"/>
          </w:tcPr>
          <w:p>
            <w:pPr>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11,437</w:t>
            </w:r>
          </w:p>
        </w:tc>
        <w:tc>
          <w:tcPr>
            <w:tcW w:w="140" w:type="dxa"/>
            <w:vAlign w:val="bottom"/>
          </w:tcPr>
          <w:p>
            <w:pPr>
              <w:spacing w:after="0"/>
              <w:rPr>
                <w:sz w:val="20"/>
                <w:szCs w:val="20"/>
                <w:color w:val="auto"/>
              </w:rPr>
            </w:pPr>
          </w:p>
        </w:tc>
        <w:tc>
          <w:tcPr>
            <w:tcW w:w="840" w:type="dxa"/>
            <w:vAlign w:val="bottom"/>
            <w:gridSpan w:val="2"/>
          </w:tcPr>
          <w:p>
            <w:pPr>
              <w:jc w:val="right"/>
              <w:ind w:right="11"/>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3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11,437</w:t>
            </w:r>
          </w:p>
        </w:tc>
        <w:tc>
          <w:tcPr>
            <w:tcW w:w="14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21,504</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50,419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(25,305)</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75,724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20,843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(11,650)</w:t>
            </w:r>
          </w:p>
        </w:tc>
        <w:tc>
          <w:tcPr>
            <w:tcW w:w="1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0.6 %</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 other expense, net</w:t>
            </w: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38,738</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25,399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15,908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80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3800" w:type="dxa"/>
            <w:vAlign w:val="bottom"/>
            <w:gridSpan w:val="3"/>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138,867</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w:t>
            </w:r>
          </w:p>
        </w:tc>
        <w:tc>
          <w:tcPr>
            <w:tcW w:w="2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112,475</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26,392</w:t>
            </w: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8"/>
        <w:spacing w:after="0" w:line="277"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income (loss), the most directly comparable GAAP measure, and for information regarding our use of Adjusted EBITDA.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sales were $587.8 million for the three fiscal quarters ended October 1, 2022, compared to $491.6 million for three fiscal quarters ended October 2, 2021. The $96.2 million, or 19.6%, increase in net sales was due to a $97.4 million increase from pricing, partially offset by a $1.2 million decrease from volume. The $97.4 million price increase reflects the impact of pricing actions to address inflation. The increase in total net sales of $96.2 million across our product lines consisted of $40.6 million for in-ground swimming pools, $27.1 million for liners and $28.5 million for covers.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Cost of sales was $390.7 million for the three fiscal quarters ended October 1, 2022, compared to $329.8 million for the three fiscal quarters ended October 2, 2021. Gross margin increased by 0.6%, to 33.5% of net sales for the three fiscal quarters ended October 1, 2022 compared to 32.9% of net sales for the three fiscal quarters ended October 2, 2021. The $60.9 million, or 18.5%, increase in cost of sales was primarily the result of cost inflation, partially offset by a $3.8 million decrease in non-cash stock-based compensation expense. The 0.6% increase in gross margin was primarily driven by lower non-cash stock-based compensation expense and benefits from the build of inventory, partially offset by pricing actions that offset inflation, although not at a magnitude to hold gross margins year-over-year.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Selling, general and administrative expense was $113.8 million for the three fiscal quarters ended October 1, 2022, compared to $170.5 million for the three fiscal quarters ended October 2, 2021, and decreased as a percentage of net sales by 15.3%. The $56.7 million, or 33.3%, decrease in selling, general and administrative expense was primarily due to a $60.4 million decrease in non-cash stock-based compensation expense, partially offset by a $1.2 million increase in ongoing public company costs, and an increase in insurance and travel related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Fees Related to Offering of Common Stock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Underwriting fees related to our offering of common stock were $11.4 million for the three fiscal quarters ended October 1, 2022, related to the offering that was completed in January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Amortization was $21.5 million for the three fiscal quarters ended October 1, 2022, compared to $16.6 million for the three fiscal quarters ended October 2, 2021. The $4.9 million, or 29.9%, increase in amortization was due to the increase in our definite-lived intangible assets resulting from our acquisition of Radiant in November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Interest expense was $9.2 million for the three fiscal quarters ended October 1, 2022, compared to $20.8 million for the three fiscal quarters ended October 2, 2021. The $11.6 million, or 55.9%, decrease in interest expense was primarily due to lower amortization of deferred financing costs and debt discount and a lower effective interest rate due to the refinancing, compared to the three fiscal quarters ended October 2, 2021. In addition, interest expense for the three fiscal quarters ended October 1, 2022 was partially offset by an unrealized gain of $4.2 million related to the change in fair value of our interest rate swap.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Loss on extinguishment of debt was $3.5 million for the three fiscal quarters ended October 1, 2022, compared to none for the three fiscal quarters ended October 2, 2021, as our debt refinancing was completed in February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Other expense (income), net was $1.6 million for the three fiscal quarters ended October 1, 2022, compared to ($3.9) million for the three fiscal quarters ended October 2, 2021. The $5.5 million increase in other expense was primarily due to a non-recurring $3.9</w:t>
      </w:r>
    </w:p>
    <w:p>
      <w:pPr>
        <w:sectPr>
          <w:pgSz w:w="11900" w:h="16838" w:orient="portrait"/>
          <w:cols w:equalWidth="0" w:num="1">
            <w:col w:w="9860"/>
          </w:cols>
          <w:pgMar w:left="980" w:top="665" w:right="105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million gain related to the partial sale of our equity method investment for the three fiscal quarters ended October 2, 2021 and an unfavorable change in net foreign currency transaction gains and losses associated with our international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Earnings from our equity method investment in Premier Pools &amp; Spa were $2.6 million for the three fiscal quarters ended October 1, 2022, compared to $1.8 million for the three fiscal quarters ended October 2, 2021, primarily due to the financial performance of Premier Pools &amp; Spa, partially offset by our reduced ownership interest during the three fiscal quarters ended October 1, 2022 as compared to the three fiscal quarters ended October 2,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Income tax expense was $25.4 million for the three fiscal quarters ended October 1, 2022, compared to $15.9 million for the three fiscal quarters ended October 2, 2021. Our effective tax rate was 65.6% for the three fiscal quarters ended October 1, 2022, compared to (39.3)% for the three fiscal quarters ended October 2, 2021. The difference between the U.S. federal statutory income tax rate and our effective income tax rate for both the three fiscal quarters ended October 1, 2022 and October 2, 2021 was primarily attributable to the discrete impact of stock-based compensation expense for which there is no associated tax benefit.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Net income was $13.3 million for the three fiscal quarters ended October 1, 2022, compared to $56.4 million of net loss for the three fiscal quarters ended October 2, 2021. The $69.7 million, or 123.7%, increase in net income was primarily due to the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Margin</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Net income margin was 2.3% for the three fiscal quarters ended October 1, 2022, compared to net loss margin of 11.5% for the three fiscal quarters ended October 2, 2021. The 13.8% increase in net income margin was due to a $69.7 million increase in net income and a $96.2 million increase in net sales, compared to the three fiscal quarters ended October 2, 2021 due to the factors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Adjusted EBITDA was $138.9 million for the three fiscal quarters ended October 1, 2022, compared to $112.5 million for the three fiscal quarters ended October 2, 2021. The $26.4 million, or 23.5%, increase in Adjusted EBITDA was primarily due to the increase in net sales, as well as the other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Adjusted EBITDA margin was 23.6% for the three fiscal quarters ended October 1, 2022, compared to 22.9% for the three fiscal quarters ended October 2, 2021. The 0.7% increase in Adjusted EBITDA margin was primarily due to a $26.4 million increase in Adjusted EBITDA and a $96.2 million increase in net sales, compared to the three fiscal quarters ended October 2, 2021, as well as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compare our performance against that of other companies using similar measures, and as a performance measure in certain employee incentive programs.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are non-cash items or which we do not believe are indicative of our core operating performance, such as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loss on extinguishment of debt, (xi) other, (xii) underwriting fees related to offering of common stock, (xiii) Odessa fire and (xiv) IPO costs.</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7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84" w:lineRule="exact"/>
        <w:rPr>
          <w:sz w:val="20"/>
          <w:szCs w:val="20"/>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every expenditure, future requirements for capital expenditures or contractual commitments;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1000" w:right="18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the interest expense, or the amounts necessary to service interest or principal payments, on our outstanding debt;</w:t>
      </w:r>
    </w:p>
    <w:p>
      <w:pPr>
        <w:spacing w:after="0" w:line="170" w:lineRule="exact"/>
        <w:rPr>
          <w:rFonts w:ascii="Arial" w:cs="Arial" w:eastAsia="Arial" w:hAnsi="Arial"/>
          <w:sz w:val="18"/>
          <w:szCs w:val="18"/>
          <w:color w:val="auto"/>
        </w:rPr>
      </w:pPr>
    </w:p>
    <w:p>
      <w:pPr>
        <w:ind w:left="1000" w:right="3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pacing w:after="0" w:line="170" w:lineRule="exact"/>
        <w:rPr>
          <w:rFonts w:ascii="Arial" w:cs="Arial" w:eastAsia="Arial" w:hAnsi="Arial"/>
          <w:sz w:val="18"/>
          <w:szCs w:val="18"/>
          <w:color w:val="auto"/>
        </w:rPr>
      </w:pPr>
    </w:p>
    <w:p>
      <w:pPr>
        <w:ind w:left="1000" w:right="2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non-cash equity compensation, which will remain a key element of our overall equity-based compensation package; and</w:t>
      </w:r>
    </w:p>
    <w:p>
      <w:pPr>
        <w:spacing w:after="0" w:line="170"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pacing w:after="0" w:line="1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ectPr>
          <w:pgSz w:w="11900" w:h="16838" w:orient="portrait"/>
          <w:cols w:equalWidth="0" w:num="1">
            <w:col w:w="9880"/>
          </w:cols>
          <w:pgMar w:left="980" w:top="665" w:right="103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our net income to Adjusted EBITDA for the periods presented and the calculation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margin: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jc w:val="right"/>
              <w:ind w:right="530"/>
              <w:spacing w:after="0"/>
              <w:rPr>
                <w:sz w:val="20"/>
                <w:szCs w:val="20"/>
                <w:color w:val="auto"/>
              </w:rPr>
            </w:pPr>
            <w:r>
              <w:rPr>
                <w:rFonts w:ascii="Arial" w:cs="Arial" w:eastAsia="Arial" w:hAnsi="Arial"/>
                <w:sz w:val="14"/>
                <w:szCs w:val="14"/>
                <w:b w:val="1"/>
                <w:bCs w:val="1"/>
                <w:color w:val="auto"/>
              </w:rPr>
              <w:t>Fiscal Quarter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center"/>
              <w:ind w:right="210"/>
              <w:spacing w:after="0"/>
              <w:rPr>
                <w:sz w:val="20"/>
                <w:szCs w:val="20"/>
                <w:color w:val="auto"/>
              </w:rPr>
            </w:pPr>
            <w:r>
              <w:rPr>
                <w:rFonts w:ascii="Arial" w:cs="Arial" w:eastAsia="Arial" w:hAnsi="Arial"/>
                <w:sz w:val="14"/>
                <w:szCs w:val="14"/>
                <w:b w:val="1"/>
                <w:bCs w:val="1"/>
                <w:color w:val="auto"/>
                <w:w w:val="93"/>
              </w:rPr>
              <w:t>Three Fiscal Quarters Ended</w:t>
            </w:r>
          </w:p>
        </w:tc>
      </w:tr>
      <w:tr>
        <w:trPr>
          <w:trHeight w:val="142"/>
        </w:trPr>
        <w:tc>
          <w:tcPr>
            <w:tcW w:w="2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October 1, 2022</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2021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2022</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October 2, 2021</w:t>
            </w:r>
          </w:p>
        </w:tc>
        <w:tc>
          <w:tcPr>
            <w:tcW w:w="160" w:type="dxa"/>
            <w:vAlign w:val="bottom"/>
          </w:tcPr>
          <w:p>
            <w:pPr>
              <w:spacing w:after="0"/>
              <w:rPr>
                <w:sz w:val="12"/>
                <w:szCs w:val="12"/>
                <w:color w:val="auto"/>
              </w:rPr>
            </w:pPr>
          </w:p>
        </w:tc>
      </w:tr>
      <w:tr>
        <w:trPr>
          <w:trHeight w:val="128"/>
        </w:trPr>
        <w:tc>
          <w:tcPr>
            <w:tcW w:w="24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(dollars in</w:t>
            </w: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(56,361)</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9,560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23,689</w:t>
            </w:r>
          </w:p>
        </w:tc>
        <w:tc>
          <w:tcPr>
            <w:tcW w:w="16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15,908</w:t>
            </w:r>
          </w:p>
        </w:tc>
        <w:tc>
          <w:tcPr>
            <w:tcW w:w="16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Restructuring charges (a)</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(b)</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104,578</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Unrealized losses on foreign currency transactions (c)</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initiative costs (d)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Acquisition and integration related costs (e)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 (f)</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Other, net (g)</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(3,626)</w:t>
            </w:r>
          </w:p>
        </w:tc>
        <w:tc>
          <w:tcPr>
            <w:tcW w:w="16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fees related to offering of common stock (h)</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Odessa fire (i)</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IPO Costs (j)</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60" w:type="dxa"/>
            <w:vAlign w:val="bottom"/>
            <w:shd w:val="clear" w:color="auto" w:fill="CCEEFF"/>
          </w:tcPr>
          <w:p>
            <w:pPr>
              <w:spacing w:after="0"/>
              <w:rPr>
                <w:sz w:val="18"/>
                <w:szCs w:val="18"/>
                <w:color w:val="auto"/>
              </w:rPr>
            </w:pPr>
          </w:p>
        </w:tc>
      </w:tr>
      <w:tr>
        <w:trPr>
          <w:trHeight w:val="250"/>
        </w:trPr>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Adjusted EBITDA</w:t>
            </w:r>
          </w:p>
        </w:tc>
        <w:tc>
          <w:tcPr>
            <w:tcW w:w="5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42,252</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138,867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112,475</w:t>
            </w:r>
          </w:p>
        </w:tc>
        <w:tc>
          <w:tcPr>
            <w:tcW w:w="160" w:type="dxa"/>
            <w:vAlign w:val="bottom"/>
            <w:tcBorders>
              <w:bottom w:val="single" w:sz="8" w:color="CCEEFF"/>
            </w:tcBorders>
          </w:tcPr>
          <w:p>
            <w:pPr>
              <w:spacing w:after="0"/>
              <w:rPr>
                <w:sz w:val="21"/>
                <w:szCs w:val="21"/>
                <w:color w:val="auto"/>
              </w:rPr>
            </w:pPr>
          </w:p>
        </w:tc>
      </w:tr>
      <w:tr>
        <w:trPr>
          <w:trHeight w:val="196"/>
        </w:trPr>
        <w:tc>
          <w:tcPr>
            <w:tcW w:w="4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189,398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161,957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587,812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491,592</w:t>
            </w:r>
          </w:p>
        </w:tc>
        <w:tc>
          <w:tcPr>
            <w:tcW w:w="160" w:type="dxa"/>
            <w:vAlign w:val="bottom"/>
            <w:shd w:val="clear" w:color="auto" w:fill="CCEEFF"/>
          </w:tcPr>
          <w:p>
            <w:pPr>
              <w:spacing w:after="0"/>
              <w:rPr>
                <w:sz w:val="17"/>
                <w:szCs w:val="17"/>
                <w:color w:val="auto"/>
              </w:rPr>
            </w:pPr>
          </w:p>
        </w:tc>
      </w:tr>
      <w:tr>
        <w:trPr>
          <w:trHeight w:val="256"/>
        </w:trPr>
        <w:tc>
          <w:tcPr>
            <w:tcW w:w="4700" w:type="dxa"/>
            <w:vAlign w:val="bottom"/>
            <w:gridSpan w:val="2"/>
          </w:tcPr>
          <w:p>
            <w:pPr>
              <w:spacing w:after="0"/>
              <w:rPr>
                <w:sz w:val="20"/>
                <w:szCs w:val="20"/>
                <w:color w:val="auto"/>
              </w:rPr>
            </w:pPr>
            <w:r>
              <w:rPr>
                <w:rFonts w:ascii="Arial" w:cs="Arial" w:eastAsia="Arial" w:hAnsi="Arial"/>
                <w:sz w:val="18"/>
                <w:szCs w:val="18"/>
                <w:color w:val="auto"/>
              </w:rPr>
              <w:t>Net income (loss) margin</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196"/>
        </w:trPr>
        <w:tc>
          <w:tcPr>
            <w:tcW w:w="47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margin</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1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2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6"/>
        </w:trPr>
        <w:tc>
          <w:tcPr>
            <w:tcW w:w="248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10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severance and other costs for our executive management changes.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unrealized foreign currency transaction losses associated with our international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fees paid to external consultants for our strategic initiatives.</w:t>
      </w:r>
    </w:p>
    <w:p>
      <w:pPr>
        <w:spacing w:after="0" w:line="9" w:lineRule="exact"/>
        <w:rPr>
          <w:rFonts w:ascii="Arial" w:cs="Arial" w:eastAsia="Arial" w:hAnsi="Arial"/>
          <w:sz w:val="18"/>
          <w:szCs w:val="18"/>
          <w:color w:val="auto"/>
        </w:rPr>
      </w:pPr>
    </w:p>
    <w:p>
      <w:pPr>
        <w:ind w:right="100" w:firstLine="8"/>
        <w:spacing w:after="0" w:line="250"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acquisition and integration costs primarily related to the acquisition of Radiant, the equity investment in Premier Pools &amp; Spas, as well as other costs related to potential transactions.</w:t>
      </w: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loss on extinguishment of debt in connection with our Refinancing (as defined below).</w:t>
      </w:r>
    </w:p>
    <w:p>
      <w:pPr>
        <w:spacing w:after="0" w:line="9" w:lineRule="exact"/>
        <w:rPr>
          <w:rFonts w:ascii="Arial" w:cs="Arial" w:eastAsia="Arial" w:hAnsi="Arial"/>
          <w:sz w:val="18"/>
          <w:szCs w:val="18"/>
          <w:color w:val="auto"/>
        </w:rPr>
      </w:pPr>
    </w:p>
    <w:p>
      <w:pPr>
        <w:ind w:right="200" w:firstLine="8"/>
        <w:spacing w:after="0" w:line="25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costs consist of other discrete items as determined by management, primarily including (i) fees paid to external advisors for various matters, (ii) non-cash adjustments to record the step-up in the fair value of inventory related to the acquisitions of GL International, LLC and Radiant, which are amortized through cost of sales in the condensed consolidated statements of operations, (iii) gain on sale of equity method investment, and (iv) other items.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underwriting fees related to our offering of common stock that was completed in January 2022.</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costs incurred and insurance recoveries related to a production facility fire in Odessa, Texas.</w:t>
      </w:r>
    </w:p>
    <w:p>
      <w:pPr>
        <w:spacing w:after="0" w:line="9" w:lineRule="exact"/>
        <w:rPr>
          <w:rFonts w:ascii="Arial" w:cs="Arial" w:eastAsia="Arial" w:hAnsi="Arial"/>
          <w:sz w:val="18"/>
          <w:szCs w:val="18"/>
          <w:color w:val="auto"/>
        </w:rPr>
      </w:pPr>
    </w:p>
    <w:p>
      <w:pPr>
        <w:ind w:right="300" w:firstLine="8"/>
        <w:spacing w:after="0" w:line="260" w:lineRule="auto"/>
        <w:tabs>
          <w:tab w:leader="none" w:pos="2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expenses are primarily composed of legal, accounting and professional fees incurred in connection with our IPO (as defined below) that are not capitalizable, which are included within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primary sources of liquidity are net cash provided by operating activities and availability under our New Revolving Credit Facility (as defined below). Historically, we have funded working capital requirements, capital expenditures, payments related to acquisitions, and debt service requirements with internally generated cash on hand and through our term loan and revolving credit facilities (as defined below under “—Our Indebtedness”) and through the issuance of shares of our common stock. Our primary cash needs are to fund working capital, capital expenditures, debt service requirements, any acquisitions we may undertake and any share repurchases we may make. As of October 1, 2022, we had $30.6 million of cash, $313.3 million of outstanding borrowings on the New Term Loan (as defined below) and an additional $75.0 million of availability under our New Revolving Credit Facility, which was undrawn.</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spacing w:after="0" w:line="1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believe that our existing cash, cash generated from operations and availability under our New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On February 23, 2022, Latham Pool Products, Inc. (“Latham Pool Products”), our wholly owned subsidiary, entered into an agreement (the “New Credit Agreement”) with Barclays Bank PLC, which provides a senior secured multicurrency revolving line of credit in an initial principal amount of $75.0 million (the “New Revolving Credit Facility”) and a U.S. Dollar senior secured term loan facility (the “New Term Loan Facility”) in an initial principal amount of $325.0 million (the “Refinancing”). On the closing date, proceeds under the agreement were used to repay and replace $294.0 million under, and terminate, the Credit Agreement (as defined below) and for general corporate purposes.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Revolving Credit Facility</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(as defined in the New Credit Agreement, the “First Lien Net Leverage Ratio”. The New Revolving Credit Facility is not subject to amortization.</w:t>
      </w:r>
    </w:p>
    <w:p>
      <w:pPr>
        <w:spacing w:after="0" w:line="17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are also required to meet certain financial covenants, including maintaining specific liquidity measurements. There are also negative covenants, including certain restrictions on our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1, 2022 we had no outstanding borrowings under the New Revolving Credit Facility.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Term Loan Facility</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New Term Loan matures on February 23, 2029. Loans outstanding under the New Term Loan bear interest, at the borrower’s option, at a rate per annum based on Term SOFR (as defined in the New Credit Agreement), plus a margin ranging from 3.75% to 4.00%, depending on the First Lien Net Leverage Ratio, or based on the Base Rate (as defined in the New Credit Agreement), plus a margin ranging from 2.75% to 3.00%, depending on the First Lien Net Leverage Ratio. Loans under the New Term Loan are subject to scheduled quarterly amortization payments equal to 0.25% of the initial principal amount of the New Term Loan.</w:t>
      </w:r>
    </w:p>
    <w:p>
      <w:pPr>
        <w:spacing w:after="0" w:line="161"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The obligations under the New Credit Agreement are guaranteed by certain of our wholly owned subsidiaries as defined in the security agreement. The obligations under the New Credit Agreement are secured by substantially all of the guarantors’ tangible and intangible assets, including, but not limited to, their accounts receivables, equipment, intellectual property, inventory, cash and cash equivalents, deposit accounts and security accounts. The New Credit Agreement also restricts payments and other distributions unless certain conditions are met, which could restrict our ability to pay dividends.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1, 2022 we had $313.3 million of outstanding borrowings under the New Term Loan.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October 1, 2022, we were in compliance with all covenants under the New Revolving Credit Facility and the New Term Loan.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Prior Revolving Credit Facility</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that included a revolving line of credit (the “Revolver”) and letters of credit (“Letters of Credit” or collectively with the Revolver, the “Revolving Credit Facility”), as well as a Term Loan (as described and defined below). The Revolving Credit Facility was utilized to finance ongoing general corporate and working capital needs with the Revolver of up to $30.0 million. The Revolving Credit Facility was terminated in connection with the Refinancing.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Prior Term Loan Facility</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“Term Loan”). The Term Loan was amended on May 29, 2019, to provide additional borrowings of $23.0 million, which was accounted for as a modification to the Term Loan, to fund our acquisition of Narellan Group Pty Limited and its subsidiaries (the “First Amendment”). On October 14, 2020, we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we amended our Term Loan to revise the applicable reporting requirements (the “Fourth Amendment”). On November 24, 2021, we amended the Term Loan to provide additional borrowings of $50.0 million (the “Fifth Amendment”). The proceeds from this incremental term loan were used to finance the Radiant Acquisition in part. The Term Loan, collectively with the First Amendment, Second Amendment, Third Amendment, the Fourth Amendment and the Fifth Amendment, is referred to as the “Amended Term Loan.” The Amended Term Loan was terminated in connection with the Refinancing.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On May 10, 2022, we approved a stock repurchase program (the “Repurchase Program”), which authorized us to repurchase up to $100 million of our shares of common stock over the next three years. We may effect these repurchases in open market transactions, privately negotiated purchases or other acquisitions. We are not obligated to repurchase any of our shares of our common stock under the Repurchase Program and the timing and amount of any repurchases will depend on market conditions, our stock price, alternative uses of capital, the terms of our debt instruments and other factors. During the three fiscal quarters ended October 1, 2022, we repurchased and concurrently retired 2,026,231 shares of our common stock for an aggregate amount of $15.0 million, pursuant to the Repurchase Program. As of October 1, 2022, approximately $85.0 million remained available for share repurchases pursuant to our Repurchase Program.</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Fiscal Quarters Ended</w:t>
            </w:r>
          </w:p>
        </w:tc>
      </w:tr>
      <w:tr>
        <w:trPr>
          <w:trHeight w:val="142"/>
        </w:trPr>
        <w:tc>
          <w:tcPr>
            <w:tcW w:w="5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3"/>
              </w:rPr>
              <w:t>October 1, 2022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3"/>
              </w:rPr>
              <w:t>October 2, 2021</w:t>
            </w:r>
          </w:p>
        </w:tc>
      </w:tr>
      <w:tr>
        <w:trPr>
          <w:trHeight w:val="128"/>
        </w:trPr>
        <w:tc>
          <w:tcPr>
            <w:tcW w:w="50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jc w:val="right"/>
              <w:ind w:right="853"/>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(11,966)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09"/>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w:t>
            </w:r>
          </w:p>
        </w:tc>
        <w:tc>
          <w:tcPr>
            <w:tcW w:w="2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31,559</w:t>
            </w:r>
          </w:p>
        </w:tc>
      </w:tr>
      <w:tr>
        <w:trPr>
          <w:trHeight w:val="20"/>
        </w:trPr>
        <w:tc>
          <w:tcPr>
            <w:tcW w:w="5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During the three fiscal quarters ended October 1, 2022, operating activities provided $5.2 million of cash. Net income, after adjustments for non-cash items, provided cash of $105.4 million. Cash provided by operating activities was further driven by changes in our operating assets and liabilities, which used $100.1 million. Net cash used in changes in our operating assets and liabilities for the three fiscal quarters ended October 1, 2022 consisted primarily of a $44.9 million increase in trade receivables, a $59.1 million increase in inventories, a $2.1 million increase in income tax receivable, a $0.4 million increase in other assets, a $0.1 million decrease in accrued expenses and other current liabilities, partially offset by a $2.5 million decrease in prepaid expenses and other current assets, a $3.7 million increase in accounts payable, and a $0.3 million increase in other long-term liabilities. The change in trade receivables was primarily due to the timing of, and increase in, net sales, and the increase in inventories was primarily due to a strategic decision to carry more inventory, as well as higher costs. The changes in accrued expenses and other current liabilities and accounts payable were primarily due to volume of purchases and timing of payments.</w:t>
      </w:r>
    </w:p>
    <w:p>
      <w:pPr>
        <w:spacing w:after="0" w:line="18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During the three fiscal quarters ended October 2, 2021, operating activities provided $29.4 million of cash. Net income, after adjustments for non-cash items, provided cash of $75.3 million. Cash provided by operating activities was further driven by changes in our operating assets and liabilities, which used $45.9 million. Net cash used in changes in our operating assets and liabilities for the three fiscal quarters ended October 2, 2021 consisted primarily of a $43.1 million increase in trade receivables, a $16.1 million increase in inventories, a $4.8 million increase in prepaid expenses and other current assets, a $1.8 million increase in income tax receivable, and a $0.5 million increase in other assets, partially offset by a $10.6 million increase in accounts payable, a $9.7 million increase in accrued expenses and other current liabilities, and a $0.1 million increase in other long-term liabilities. The change in trade receivables was primarily due to the timing of and increase in net sales, and the increase in inventories was primarily due to increased production and cost inflation. The changes in accrued expenses and other current liabilities and accounts payable were primarily due to volume of purchases and timing of payments.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three fiscal quarters ended October 1, 2022, investing activities used $29.4 million of cash, primarily consisting of purchases of property and equipment for $29.0 million and the settlement of the net working capital adjustment related to the acquisition of Radiant for $0.4 million. The purchase of property and equipment was primarily to expand capacity for inventory production in order to meet increasing customer demand.</w:t>
      </w:r>
    </w:p>
    <w:p>
      <w:pPr>
        <w:spacing w:after="0" w:line="18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During the three fiscal quarters ended October 2, 2021, investing activities used $12.0 million of cash, primarily consisting of purchases of property and equipment for $19.2 million, partially offset by proceeds from the sale of equity method investment of $6.8 million and return of equity method investment of $0.4 million. The purchase of property and equipment was primarily to expand capacity for inventory production in order to meet increasing customer demand.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During the three fiscal quarters ended October 1, 2022, financing activities provided $12.6 million of cash, primarily consisting of proceeds from long-term debt borrowings in connection with the Refinancing of $320.1 million, proceeds from the sale of common stock of $257.7 million and borrowings on revolving credit facilities of $25.0 million, partially offset by repayments on long-term debt</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borrowings of $285.6 million, the repurchase and retirement of common stock of $272.7 million, repayments on revolving credit facility borrowings of $25.0 million, and deferred financing fees paid of $6.9 million.</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During the three fiscal quarters ended October 2, 2021, financing activities provided $14.3 million of cash, primarily consisting of proceeds from our initial public offering, completed on April 27, 2021 (the “IPO”), net of underwriting discounts, commissions and offering costs of $399.3 million, proceeds from long-term debt borrowings of $172.8 million and borrowings on the revolving credit facilities of $16.0 million, partially offset by the repurchase and retirement of common stock of $281.6 million, payments on long-term debt borrowings of $164.8 million, dividends to Class A unitholders of $110.0 million, and payments on revolving credit facility borrowings of $16.0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changes, outside of the ordinary course of business, to our contractual obligations during the three fiscal quarters ended October 1, 2022 from those described under the heading “Management’s Discussion and Analysis of Financial Condition and Results of Operations—Contractual Obligations” in our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under the heading “Management’s Discussion and Analysis of Financial Condition and Results of Operations—Critical Accounting Policies and Estimates” in our Annual Report.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Annual Report as well as Note 2 - Summary of Significant Accounting Policies in the notes to the condensed consolidated financial statements included in Part I, Item 1, of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40" w:firstLine="324"/>
        <w:spacing w:after="0" w:line="305" w:lineRule="auto"/>
        <w:rPr>
          <w:sz w:val="20"/>
          <w:szCs w:val="20"/>
          <w:color w:val="auto"/>
        </w:rPr>
      </w:pPr>
      <w:r>
        <w:rPr>
          <w:rFonts w:ascii="Arial" w:cs="Arial" w:eastAsia="Arial" w:hAnsi="Arial"/>
          <w:sz w:val="15"/>
          <w:szCs w:val="15"/>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Changes in these rates may have an impact on future cash flow and earnings. We manage these risks through normal operating and financing activities. During the three fiscal quarters ended October 1, 2022,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with the participation of our CEO and CFO, has evaluated the effectiveness of our disclosure controls and procedures (as defined in Rules 13a-15(e) and 15d-15(e) under the Securities Exchange Act of 1934, as amended (the “Exchange Act”), as of the end of the period covered by this Form 10-Q. Based on such evaluation, our CEO and CFO have concluded that as of October 1,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We are involved in various lawsuits, claims and other legal proceedings arising out of or incidental to the conduct of our business. While it is not possible to determine the ultimate disposition of each of these matters, we do not believe that their ultimate disposition will have a material adverse effect on our business,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disclosed under the heading “Risk Factors” in our Annual Report, the risk factors that materially affect our business, financial condition or results of operations. There have been no material changes from the risk factors previously disclosed other than the risk factors set forth below. You should carefully consider the risk factors set forth in the Annual Report and the other information set forth elsewhere in this Form 10-Q. You should be aware that these risk factors and other information may not described every risk that we face. Additional risks and uncertainties not currently known to us or that we currently deem to be immaterial also may materially adversely affect our business, financial condition and/or operating results.</w:t>
      </w:r>
    </w:p>
    <w:p>
      <w:pPr>
        <w:spacing w:after="0" w:line="17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b w:val="1"/>
          <w:bCs w:val="1"/>
          <w:i w:val="1"/>
          <w:iCs w:val="1"/>
          <w:color w:val="auto"/>
        </w:rPr>
        <w:t>We depend on a global network of third-party suppliers to provide components and raw materials essential to the manufacturing of our pools and price increases or deviations in the quality of the raw materials used to manufacture our products could adversely affect our net sales and operating results.</w:t>
      </w:r>
    </w:p>
    <w:p>
      <w:pPr>
        <w:spacing w:after="0" w:line="18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rely on manufacturers and other suppliers to provide us with the components and raw materials to manufacture our products. The primary raw materials used in our products are polyvinyl chloride (“PVC”) plastic, galvanized steel, fiberglass, aluminum, carbon fiber, Kevlar fiber, various resins, gelcoat, polypropylene fabric and roving. 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results of operations. While we believe that our relationships with our current suppliers are sufficient to provide the 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For example, in 2021 and continuing in 2022, we experienced and continue to experience raw material shortages, particularly of resin, which limited our fiberglass pool production and decreased our profitability in 2021 and may impact us similarly in the future. Although we have taken actions to increase and diversify our resin and other raw materials supply base, we may not succeed in procuring sufficient supply of resin and other raw materials that we need, which could result in lost sales and a decline in our profitability.</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increases in the cost of the raw materials used to manufacture our products could adversely affect our operating results. The cost of many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We are experiencing inflationary pressures in certain areas of our business, including with respect to prices of our raw materials and employee wages, although, to date, we have been able to offset such pressures, to some extent, through price increases and other measures. If we are unable to increase our prices or experience a delay in our ability to increase our prices or to recover such increases in our costs, our gross profit will suffer. In addition, increases in the price of our products to compensate for increased costs of raw materials may reduce demand for our products and adversely affect our competitive position.</w:t>
      </w:r>
    </w:p>
    <w:p>
      <w:pPr>
        <w:spacing w:after="0" w:line="18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b w:val="1"/>
          <w:bCs w:val="1"/>
          <w:i w:val="1"/>
          <w:iCs w:val="1"/>
          <w:color w:val="auto"/>
        </w:rPr>
        <w:t>An interruption of our production capability at one or more of our manufacturing facilities from accident, calamity or other causes, or events affecting the global economy, could adversely affect our business and results of operations</w:t>
      </w:r>
      <w:r>
        <w:rPr>
          <w:rFonts w:ascii="Arial" w:cs="Arial" w:eastAsia="Arial" w:hAnsi="Arial"/>
          <w:sz w:val="16"/>
          <w:szCs w:val="16"/>
          <w:color w:val="auto"/>
        </w:rPr>
        <w:t>.</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(such as the fire at our Texas facility in April 2022 that resulted in a total loss of the manufacturing facility),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Any of these events could result in substantial repair costs and higher operating costs.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could adversely impact our financial condition and results of operations.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Inflation in the United States began to rise significantly in the second half of the calendar year of 2021 and continued to increase in the first nine months of 2022. This is primarily believed to be the result of the economic impacts from the COVID-19 pandemic, including the global supply chain disruptions, strong economic recovery and associated widespread demand for goods, government stimulus packages, and the war between Russia and Ukraine, among other factors. For instance, global supply chain disruptions have resulted in shortages in materials and services. Such shortages have resulted in inflationary cost increases for labor, materials, and services, and could continue to cause costs to increase as well as scarcity of certain products. Global supply chain disruptions continue to persist, and may become worse due to the war in Ukraine, the COVID-19 pandemic-related lock-downs in China or for other reasons. We are experiencing inflationary pressures in certain areas of our business, including with respect to prices of our raw materials and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In addition, the demand for our products may soften as we continue to increase the prices of our products to offset the inflationary pressure. To the extent we are unable to recover higher operating costs resulting from inflation or otherwise mitigate the impact of such costs on our business, or to continue to grow our sales volumes, our net sales and gross margins could decrease, and our financial condition and results of operations could be adversely affected.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and political change could adversely impact our financial condition and results of operations.</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Our business has been and could continue to be adversely affected by events over which we have limited or no control, including pandemics, recessions, general or specific inflations, trade restrictions, changes to tax laws, changes to other laws, and armed conflicts, among others. These events may disrupt the supply and prices of raw materials or labor required to produce the products we sell, affect the ability of our customers to operate their businesses such that they lessen their purchases from us, and affect the ability</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of potential consumers of our products to purchase them. These effects may occur in any of the markets in which we compete. The current military conflict between Russia and Ukraine could adversely affect our operations, and related sanctions and other actions that have been or may be enacted by the United States, the European Union, or other governing entities could adversely affect our business, our business partners, our suppliers, and our customers. While our operations are primarily within North America and we have no operations in Russia or Ukraine, and we do not have direct exposure to customers and vendors in Russia and Ukraine, we continue to monitor any adverse impact that such events may have on the global economy in general, on our business and operations and on the businesses and operations of our business partners, suppliers and customers.</w:t>
      </w:r>
    </w:p>
    <w:p>
      <w:pPr>
        <w:spacing w:after="0" w:line="17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The demand for our swimming pools and related products may be adversely affected by unfavorable economic conditions and trends in consumer spending.</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 swimming pool is a consumer discretionary purchase. Consumer discretionary spending affects our sales and is impacted by factors outside of our control, including general economic conditions, the residential housing market, unemployment rates and wage levels, interest rate fluctuations, inflation, disposable income levels, consumer confidence and access to credit. In economic downturns such as many are forecasting for the fourth quarter 2022 and continuing throughout 2023, the demand for swimming pools and related products may decline, often corresponding with declines in discretionary consumer spending, the growth rate of pool eligible households and swimming pool construction. This cyclicality in consumer demand for our products means that the results for any prior period may not be indicative of results for any future period.</w:t>
      </w:r>
    </w:p>
    <w:p>
      <w:pPr>
        <w:spacing w:after="0" w:line="17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addition, consumer demand for swimming pools is impacted by consumer demand for, and spending on, outdoor living spaces. While we believe consumers have increased spending on outdoor living in recent years, the level of spending could decrease in the future if interest rates continue to rise, access to credit tightens or the economy contracts.</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Any substantial deterioration in general economic conditions that diminishes consumer confidence or discretionary income may reduce our sales and materially adversely affect our business, financial condition and results of operations. Even in generally favorable economic conditions, severe and/or prolonged downturns in the housing market could have a material adverse impact on our financial performance. Such downturns expose us to certain additional risks, including, but not limited to the risk of dealer closures or bankruptcies, which could shrink our potential customer base and inhibit our ability to collect on those dealers’ receivables. Further, a recessionary economic environment could weaken the financial condition of our suppliers potentially leading to shortages of critical raw materials, manufacturing equipment, components and services.</w:t>
      </w:r>
    </w:p>
    <w:p>
      <w:pPr>
        <w:spacing w:after="0" w:line="17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believe that consumers’ access to consumer credit is a factor enabling the purchase of new pools because a significant percentage of consumers finance their pool installations. Tightening consumer credit or increases in interest rates could prevent consumers from obtaining financing for pools, which could negatively impact our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On May 10, 2022, we approved a stock repurchase program, which authorized us to repurchase up to $100.0 million of our shares of common stock over the next three years.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October 1, 2022, approximately $85.0 million remained available for share repurchases pursuant to the repurchase program. We did not repurchase any shares of our common stock during the fiscal quarter ended October 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November 8, 2022, we approved a cost reduction plan to optimize our production and shift schedules, implement a workforce reduction, and streamline our cover and liner manufacturing footprint with the planned closure of our Bossier City, Louisiana facility in the first quarter of 2023.</w:t>
      </w:r>
    </w:p>
    <w:p>
      <w:pPr>
        <w:spacing w:after="0" w:line="184" w:lineRule="exact"/>
        <w:rPr>
          <w:sz w:val="20"/>
          <w:szCs w:val="20"/>
          <w:color w:val="auto"/>
        </w:rPr>
      </w:pPr>
    </w:p>
    <w:p>
      <w:pPr>
        <w:ind w:right="460" w:firstLine="324"/>
        <w:spacing w:after="0" w:line="311" w:lineRule="auto"/>
        <w:rPr>
          <w:sz w:val="20"/>
          <w:szCs w:val="20"/>
          <w:color w:val="auto"/>
        </w:rPr>
      </w:pPr>
      <w:r>
        <w:rPr>
          <w:rFonts w:ascii="Arial" w:cs="Arial" w:eastAsia="Arial" w:hAnsi="Arial"/>
          <w:sz w:val="16"/>
          <w:szCs w:val="16"/>
          <w:color w:val="auto"/>
        </w:rPr>
        <w:t>We expect to incur charges for employee severance and related costs, as well as fixed asset and facility related expenses, of approximately $2.0 million. These costs will be recognized in the fourth quarter of 2022 into the first quarter of 2023. We expect to generate annual operating expense savings of approximately $12.0 million in fiscal 2023 as a result of our cost reduction plan.</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w:t>
            </w:r>
          </w:p>
        </w:tc>
        <w:tc>
          <w:tcPr>
            <w:tcW w:w="87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8700" w:type="dxa"/>
            <w:vAlign w:val="bottom"/>
            <w:gridSpan w:val="4"/>
          </w:tcPr>
          <w:p>
            <w:pPr>
              <w:spacing w:after="0" w:line="190" w:lineRule="exact"/>
              <w:rPr>
                <w:sz w:val="20"/>
                <w:szCs w:val="20"/>
                <w:color w:val="auto"/>
              </w:rPr>
            </w:pPr>
            <w:r>
              <w:rPr>
                <w:rFonts w:ascii="Arial" w:cs="Arial" w:eastAsia="Arial" w:hAnsi="Arial"/>
                <w:sz w:val="18"/>
                <w:szCs w:val="18"/>
                <w:color w:val="0000EE"/>
              </w:rPr>
              <w:t xml:space="preserve">Certification of CEO, pursuant to SEC Rule 13a-14(a) and 15d-14(a) </w:t>
            </w:r>
            <w:r>
              <w:rPr>
                <w:rFonts w:ascii="Arial" w:cs="Arial" w:eastAsia="Arial" w:hAnsi="Arial"/>
                <w:sz w:val="18"/>
                <w:szCs w:val="18"/>
                <w:color w:val="000000"/>
              </w:rPr>
              <w:t>(filed 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7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700" w:type="dxa"/>
            <w:vAlign w:val="bottom"/>
            <w:gridSpan w:val="4"/>
          </w:tcPr>
          <w:p>
            <w:pPr>
              <w:spacing w:after="0" w:line="196" w:lineRule="exact"/>
              <w:rPr>
                <w:sz w:val="20"/>
                <w:szCs w:val="20"/>
                <w:color w:val="auto"/>
              </w:rPr>
            </w:pPr>
            <w:r>
              <w:rPr>
                <w:rFonts w:ascii="Arial" w:cs="Arial" w:eastAsia="Arial" w:hAnsi="Arial"/>
                <w:sz w:val="18"/>
                <w:szCs w:val="18"/>
                <w:color w:val="0000EE"/>
              </w:rPr>
              <w:t xml:space="preserve">Certification of CFO, pursuant to SEC Rule 13a-14(a) and 15d-14(a) </w:t>
            </w:r>
            <w:r>
              <w:rPr>
                <w:rFonts w:ascii="Arial" w:cs="Arial" w:eastAsia="Arial" w:hAnsi="Arial"/>
                <w:sz w:val="18"/>
                <w:szCs w:val="18"/>
                <w:color w:val="000000"/>
              </w:rPr>
              <w:t>(filed 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7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Certification by the CEO, pursuant to 18 U.S.C. Section 1350, as adopted pursuant to Section 906 of the Sarbanes-Oxley</w:t>
            </w:r>
          </w:p>
        </w:tc>
      </w:tr>
      <w:tr>
        <w:trPr>
          <w:trHeight w:val="196"/>
        </w:trPr>
        <w:tc>
          <w:tcPr>
            <w:tcW w:w="1160" w:type="dxa"/>
            <w:vAlign w:val="bottom"/>
          </w:tcPr>
          <w:p>
            <w:pPr>
              <w:spacing w:after="0"/>
              <w:rPr>
                <w:sz w:val="17"/>
                <w:szCs w:val="17"/>
                <w:color w:val="auto"/>
              </w:rPr>
            </w:pPr>
          </w:p>
        </w:tc>
        <w:tc>
          <w:tcPr>
            <w:tcW w:w="8700" w:type="dxa"/>
            <w:vAlign w:val="bottom"/>
            <w:gridSpan w:val="4"/>
          </w:tcPr>
          <w:p>
            <w:pPr>
              <w:spacing w:after="0" w:line="196" w:lineRule="exact"/>
              <w:rPr>
                <w:sz w:val="20"/>
                <w:szCs w:val="20"/>
                <w:color w:val="auto"/>
              </w:rPr>
            </w:pPr>
            <w:r>
              <w:rPr>
                <w:rFonts w:ascii="Arial" w:cs="Arial" w:eastAsia="Arial" w:hAnsi="Arial"/>
                <w:sz w:val="18"/>
                <w:szCs w:val="18"/>
                <w:color w:val="0000EE"/>
              </w:rPr>
              <w:t xml:space="preserve">Act of 2002 </w:t>
            </w:r>
            <w:r>
              <w:rPr>
                <w:rFonts w:ascii="Arial" w:cs="Arial" w:eastAsia="Arial" w:hAnsi="Arial"/>
                <w:sz w:val="18"/>
                <w:szCs w:val="18"/>
                <w:color w:val="000000"/>
              </w:rPr>
              <w:t>(furnished herewith)</w:t>
            </w: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700" w:type="dxa"/>
            <w:vAlign w:val="bottom"/>
            <w:gridSpan w:val="4"/>
          </w:tcPr>
          <w:p>
            <w:pPr>
              <w:spacing w:after="0" w:line="196" w:lineRule="exact"/>
              <w:rPr>
                <w:sz w:val="20"/>
                <w:szCs w:val="20"/>
                <w:color w:val="auto"/>
              </w:rPr>
            </w:pPr>
            <w:r>
              <w:rPr>
                <w:rFonts w:ascii="Arial" w:cs="Arial" w:eastAsia="Arial" w:hAnsi="Arial"/>
                <w:sz w:val="18"/>
                <w:szCs w:val="18"/>
                <w:color w:val="0000EE"/>
                <w:w w:val="90"/>
              </w:rPr>
              <w:t>Certification by the CFO, pursuant to 18 U.S.C. Section 1350, as adopted pursuant to Section 906 of the Sarbanes-Oxley</w:t>
            </w:r>
          </w:p>
        </w:tc>
      </w:tr>
      <w:tr>
        <w:trPr>
          <w:trHeight w:val="196"/>
        </w:trPr>
        <w:tc>
          <w:tcPr>
            <w:tcW w:w="1160" w:type="dxa"/>
            <w:vAlign w:val="bottom"/>
          </w:tcPr>
          <w:p>
            <w:pPr>
              <w:spacing w:after="0"/>
              <w:rPr>
                <w:sz w:val="17"/>
                <w:szCs w:val="17"/>
                <w:color w:val="auto"/>
              </w:rPr>
            </w:pPr>
          </w:p>
        </w:tc>
        <w:tc>
          <w:tcPr>
            <w:tcW w:w="868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 xml:space="preserve">Act of 2002 </w:t>
            </w:r>
            <w:r>
              <w:rPr>
                <w:rFonts w:ascii="Arial" w:cs="Arial" w:eastAsia="Arial" w:hAnsi="Arial"/>
                <w:sz w:val="18"/>
                <w:szCs w:val="18"/>
                <w:color w:val="000000"/>
              </w:rPr>
              <w:t>(furnished herewith)</w:t>
            </w: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870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w:t>
            </w:r>
          </w:p>
        </w:tc>
      </w:tr>
      <w:tr>
        <w:trPr>
          <w:trHeight w:val="216"/>
        </w:trPr>
        <w:tc>
          <w:tcPr>
            <w:tcW w:w="1160" w:type="dxa"/>
            <w:vAlign w:val="bottom"/>
          </w:tcPr>
          <w:p>
            <w:pPr>
              <w:spacing w:after="0"/>
              <w:rPr>
                <w:sz w:val="18"/>
                <w:szCs w:val="18"/>
                <w:color w:val="auto"/>
              </w:rPr>
            </w:pPr>
          </w:p>
        </w:tc>
        <w:tc>
          <w:tcPr>
            <w:tcW w:w="8700" w:type="dxa"/>
            <w:vAlign w:val="bottom"/>
            <w:gridSpan w:val="4"/>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87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87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15684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63" w:lineRule="exact"/>
        <w:rPr>
          <w:sz w:val="20"/>
          <w:szCs w:val="20"/>
          <w:color w:val="auto"/>
        </w:rPr>
      </w:pPr>
    </w:p>
    <w:p>
      <w:pPr>
        <w:ind w:left="1160" w:hanging="115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60" w:right="540" w:hanging="1151"/>
        <w:spacing w:after="0" w:line="276"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signed original of the written statement required by Section 906 has been provided to the Company and will be retained by the Company and forwarded to the SEC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2022</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Robert L. Masson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Robert L. Masson 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5" w:right="1319" w:bottom="1440" w:gutter="0" w:footer="0" w:header="0"/>
        </w:sectPr>
      </w:pPr>
    </w:p>
    <w:bookmarkStart w:id="43" w:name="page44"/>
    <w:bookmarkEnd w:id="43"/>
    <w:p>
      <w:pPr>
        <w:jc w:val="right"/>
        <w:spacing w:after="0"/>
        <w:rPr>
          <w:sz w:val="20"/>
          <w:szCs w:val="20"/>
          <w:color w:val="auto"/>
        </w:rPr>
      </w:pPr>
      <w:r>
        <w:rPr>
          <w:rFonts w:ascii="Arial" w:cs="Arial" w:eastAsia="Arial" w:hAnsi="Arial"/>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LATHAM GROUP, INC.</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Latham Group, Inc.;</w:t>
      </w:r>
    </w:p>
    <w:p>
      <w:pPr>
        <w:spacing w:after="0" w:line="217" w:lineRule="exact"/>
        <w:rPr>
          <w:rFonts w:ascii="Arial" w:cs="Arial" w:eastAsia="Arial" w:hAnsi="Arial"/>
          <w:sz w:val="21"/>
          <w:szCs w:val="21"/>
          <w:color w:val="auto"/>
        </w:rPr>
      </w:pPr>
    </w:p>
    <w:p>
      <w:pPr>
        <w:jc w:val="both"/>
        <w:ind w:left="660" w:right="20" w:hanging="328"/>
        <w:spacing w:after="0" w:line="271"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20"/>
          <w:szCs w:val="20"/>
          <w:color w:val="auto"/>
        </w:rPr>
      </w:pPr>
    </w:p>
    <w:p>
      <w:pPr>
        <w:jc w:val="both"/>
        <w:ind w:left="660" w:hanging="328"/>
        <w:spacing w:after="0" w:line="252"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21"/>
          <w:szCs w:val="21"/>
          <w:color w:val="auto"/>
        </w:rPr>
      </w:pPr>
    </w:p>
    <w:p>
      <w:pPr>
        <w:jc w:val="both"/>
        <w:ind w:left="660" w:hanging="328"/>
        <w:spacing w:after="0" w:line="249"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1"/>
          <w:szCs w:val="21"/>
          <w:color w:val="auto"/>
        </w:rPr>
      </w:pPr>
    </w:p>
    <w:p>
      <w:pPr>
        <w:jc w:val="both"/>
        <w:ind w:left="1300" w:hanging="320"/>
        <w:spacing w:after="0" w:line="271" w:lineRule="auto"/>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1300" w:hanging="320"/>
        <w:spacing w:after="0" w:line="249"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21"/>
          <w:szCs w:val="21"/>
          <w:color w:val="auto"/>
        </w:rPr>
      </w:pPr>
    </w:p>
    <w:p>
      <w:pPr>
        <w:jc w:val="both"/>
        <w:ind w:left="660" w:right="20" w:hanging="328"/>
        <w:spacing w:after="0" w:line="252"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21"/>
          <w:szCs w:val="21"/>
          <w:color w:val="auto"/>
        </w:rPr>
      </w:pPr>
    </w:p>
    <w:p>
      <w:pPr>
        <w:jc w:val="both"/>
        <w:ind w:left="1300" w:hanging="320"/>
        <w:spacing w:after="0" w:line="252"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21"/>
          <w:szCs w:val="21"/>
          <w:color w:val="auto"/>
        </w:rPr>
      </w:pPr>
    </w:p>
    <w:p>
      <w:pPr>
        <w:ind w:left="1300" w:right="20" w:hanging="320"/>
        <w:spacing w:after="0" w:line="264"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November 10,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1"/>
                <w:szCs w:val="21"/>
                <w:i w:val="1"/>
                <w:iCs w:val="1"/>
                <w:color w:val="auto"/>
                <w:w w:val="89"/>
              </w:rPr>
              <w:t>/s/ Scott M. Rajeski</w:t>
            </w:r>
          </w:p>
        </w:tc>
      </w:tr>
      <w:tr>
        <w:trPr>
          <w:trHeight w:val="223"/>
        </w:trPr>
        <w:tc>
          <w:tcPr>
            <w:tcW w:w="4960" w:type="dxa"/>
            <w:vAlign w:val="bottom"/>
          </w:tcPr>
          <w:p>
            <w:pPr>
              <w:spacing w:after="0"/>
              <w:rPr>
                <w:sz w:val="19"/>
                <w:szCs w:val="19"/>
                <w:color w:val="auto"/>
              </w:rPr>
            </w:pPr>
          </w:p>
        </w:tc>
        <w:tc>
          <w:tcPr>
            <w:tcW w:w="4960" w:type="dxa"/>
            <w:vAlign w:val="bottom"/>
          </w:tcPr>
          <w:p>
            <w:pPr>
              <w:jc w:val="center"/>
              <w:spacing w:after="0" w:line="223" w:lineRule="exact"/>
              <w:rPr>
                <w:sz w:val="20"/>
                <w:szCs w:val="20"/>
                <w:color w:val="auto"/>
              </w:rPr>
            </w:pPr>
            <w:r>
              <w:rPr>
                <w:rFonts w:ascii="Arial" w:cs="Arial" w:eastAsia="Arial" w:hAnsi="Arial"/>
                <w:sz w:val="21"/>
                <w:szCs w:val="21"/>
                <w:color w:val="auto"/>
                <w:w w:val="92"/>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0"/>
              </w:rPr>
              <w:t>Chief Executive Officer and President</w:t>
            </w:r>
          </w:p>
        </w:tc>
      </w:tr>
      <w:tr>
        <w:trPr>
          <w:trHeight w:val="264"/>
        </w:trPr>
        <w:tc>
          <w:tcPr>
            <w:tcW w:w="496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1"/>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LATHAM GROUP, INC.</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I, Robert L. Masson II, certify that:</w:t>
      </w:r>
    </w:p>
    <w:p>
      <w:pPr>
        <w:spacing w:after="0" w:line="9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Latham Group, Inc.;</w:t>
      </w:r>
    </w:p>
    <w:p>
      <w:pPr>
        <w:spacing w:after="0" w:line="217" w:lineRule="exact"/>
        <w:rPr>
          <w:rFonts w:ascii="Arial" w:cs="Arial" w:eastAsia="Arial" w:hAnsi="Arial"/>
          <w:sz w:val="21"/>
          <w:szCs w:val="21"/>
          <w:color w:val="auto"/>
        </w:rPr>
      </w:pPr>
    </w:p>
    <w:p>
      <w:pPr>
        <w:jc w:val="both"/>
        <w:ind w:left="660" w:right="20" w:hanging="328"/>
        <w:spacing w:after="0" w:line="271"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20"/>
          <w:szCs w:val="20"/>
          <w:color w:val="auto"/>
        </w:rPr>
      </w:pPr>
    </w:p>
    <w:p>
      <w:pPr>
        <w:jc w:val="both"/>
        <w:ind w:left="660" w:hanging="328"/>
        <w:spacing w:after="0" w:line="252" w:lineRule="auto"/>
        <w:tabs>
          <w:tab w:leader="none" w:pos="6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21"/>
          <w:szCs w:val="21"/>
          <w:color w:val="auto"/>
        </w:rPr>
      </w:pPr>
    </w:p>
    <w:p>
      <w:pPr>
        <w:jc w:val="both"/>
        <w:ind w:left="660" w:hanging="328"/>
        <w:spacing w:after="0" w:line="249" w:lineRule="auto"/>
        <w:tabs>
          <w:tab w:leader="none" w:pos="6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6"/>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6"/>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1"/>
          <w:szCs w:val="21"/>
          <w:color w:val="auto"/>
        </w:rPr>
      </w:pPr>
    </w:p>
    <w:p>
      <w:pPr>
        <w:jc w:val="both"/>
        <w:ind w:left="1300" w:hanging="320"/>
        <w:spacing w:after="0" w:line="271" w:lineRule="auto"/>
        <w:tabs>
          <w:tab w:leader="none" w:pos="1300" w:val="left"/>
        </w:tabs>
        <w:numPr>
          <w:ilvl w:val="1"/>
          <w:numId w:val="1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1300" w:hanging="320"/>
        <w:spacing w:after="0" w:line="249" w:lineRule="auto"/>
        <w:tabs>
          <w:tab w:leader="none" w:pos="1300" w:val="left"/>
        </w:tabs>
        <w:numPr>
          <w:ilvl w:val="1"/>
          <w:numId w:val="16"/>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21"/>
          <w:szCs w:val="21"/>
          <w:color w:val="auto"/>
        </w:rPr>
      </w:pPr>
    </w:p>
    <w:p>
      <w:pPr>
        <w:jc w:val="both"/>
        <w:ind w:left="660" w:right="20" w:hanging="328"/>
        <w:spacing w:after="0" w:line="252" w:lineRule="auto"/>
        <w:tabs>
          <w:tab w:leader="none" w:pos="6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21"/>
          <w:szCs w:val="21"/>
          <w:color w:val="auto"/>
        </w:rPr>
      </w:pPr>
    </w:p>
    <w:p>
      <w:pPr>
        <w:jc w:val="both"/>
        <w:ind w:left="1300" w:hanging="320"/>
        <w:spacing w:after="0" w:line="252" w:lineRule="auto"/>
        <w:tabs>
          <w:tab w:leader="none" w:pos="1300" w:val="left"/>
        </w:tabs>
        <w:numPr>
          <w:ilvl w:val="1"/>
          <w:numId w:val="16"/>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21"/>
          <w:szCs w:val="21"/>
          <w:color w:val="auto"/>
        </w:rPr>
      </w:pPr>
    </w:p>
    <w:p>
      <w:pPr>
        <w:ind w:left="1300" w:right="20" w:hanging="320"/>
        <w:spacing w:after="0" w:line="264" w:lineRule="auto"/>
        <w:tabs>
          <w:tab w:leader="none" w:pos="1300" w:val="left"/>
        </w:tabs>
        <w:numPr>
          <w:ilvl w:val="1"/>
          <w:numId w:val="16"/>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November 10,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1"/>
                <w:szCs w:val="21"/>
                <w:i w:val="1"/>
                <w:iCs w:val="1"/>
                <w:color w:val="auto"/>
                <w:w w:val="90"/>
              </w:rPr>
              <w:t>/s/ Robert L. Masson II</w:t>
            </w:r>
          </w:p>
        </w:tc>
      </w:tr>
      <w:tr>
        <w:trPr>
          <w:trHeight w:val="223"/>
        </w:trPr>
        <w:tc>
          <w:tcPr>
            <w:tcW w:w="4960" w:type="dxa"/>
            <w:vAlign w:val="bottom"/>
          </w:tcPr>
          <w:p>
            <w:pPr>
              <w:spacing w:after="0"/>
              <w:rPr>
                <w:sz w:val="19"/>
                <w:szCs w:val="19"/>
                <w:color w:val="auto"/>
              </w:rPr>
            </w:pPr>
          </w:p>
        </w:tc>
        <w:tc>
          <w:tcPr>
            <w:tcW w:w="4960" w:type="dxa"/>
            <w:vAlign w:val="bottom"/>
          </w:tcPr>
          <w:p>
            <w:pPr>
              <w:jc w:val="center"/>
              <w:spacing w:after="0" w:line="223" w:lineRule="exact"/>
              <w:rPr>
                <w:sz w:val="20"/>
                <w:szCs w:val="20"/>
                <w:color w:val="auto"/>
              </w:rPr>
            </w:pPr>
            <w:r>
              <w:rPr>
                <w:rFonts w:ascii="Arial" w:cs="Arial" w:eastAsia="Arial" w:hAnsi="Arial"/>
                <w:sz w:val="21"/>
                <w:szCs w:val="21"/>
                <w:color w:val="auto"/>
                <w:w w:val="91"/>
              </w:rPr>
              <w:t>Robert L. Masson II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2"/>
              </w:rPr>
              <w:t>Chief Financial Officer</w:t>
            </w:r>
          </w:p>
        </w:tc>
      </w:tr>
      <w:tr>
        <w:trPr>
          <w:trHeight w:val="264"/>
        </w:trPr>
        <w:tc>
          <w:tcPr>
            <w:tcW w:w="496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1"/>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Latham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period ending October 1, 2022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Scott M. Rajeski, Chief Executive Officer of the Company, certify, pursuant to 18 U.S.C. Section 1350, as adopted pursuant to Section 906 of the Sarbanes-Oxley Act of 2002, that:</w:t>
      </w:r>
    </w:p>
    <w:p>
      <w:pPr>
        <w:spacing w:after="0" w:line="185" w:lineRule="exact"/>
        <w:rPr>
          <w:sz w:val="20"/>
          <w:szCs w:val="20"/>
          <w:color w:val="auto"/>
        </w:rPr>
      </w:pPr>
    </w:p>
    <w:p>
      <w:pPr>
        <w:ind w:left="660" w:right="20" w:hanging="328"/>
        <w:spacing w:after="0" w:line="250"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November 10,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9"/>
              </w:rPr>
              <w:t>/s/ Scott M. Rajeski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0"/>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89"/>
              </w:rPr>
              <w:t>Chief Executive Officer and President</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the Quarterly Report of Latham Group, Inc. (the “</w:t>
      </w:r>
      <w:r>
        <w:rPr>
          <w:rFonts w:ascii="Arial" w:cs="Arial" w:eastAsia="Arial" w:hAnsi="Arial"/>
          <w:sz w:val="21"/>
          <w:szCs w:val="21"/>
          <w:u w:val="single" w:color="auto"/>
          <w:color w:val="auto"/>
        </w:rPr>
        <w:t>Company</w:t>
      </w:r>
      <w:r>
        <w:rPr>
          <w:rFonts w:ascii="Arial" w:cs="Arial" w:eastAsia="Arial" w:hAnsi="Arial"/>
          <w:sz w:val="21"/>
          <w:szCs w:val="21"/>
          <w:color w:val="auto"/>
        </w:rPr>
        <w:t>”) on Form 10-Q for the period ending October 1, 2022 as filed with the Securities and Exchange Commission on the date hereof (the “</w:t>
      </w:r>
      <w:r>
        <w:rPr>
          <w:rFonts w:ascii="Arial" w:cs="Arial" w:eastAsia="Arial" w:hAnsi="Arial"/>
          <w:sz w:val="21"/>
          <w:szCs w:val="21"/>
          <w:u w:val="single" w:color="auto"/>
          <w:color w:val="auto"/>
        </w:rPr>
        <w:t>Report</w:t>
      </w:r>
      <w:r>
        <w:rPr>
          <w:rFonts w:ascii="Arial" w:cs="Arial" w:eastAsia="Arial" w:hAnsi="Arial"/>
          <w:sz w:val="21"/>
          <w:szCs w:val="21"/>
          <w:color w:val="auto"/>
        </w:rPr>
        <w:t>”), I, Robert L. Masson II, Chief Financial Officer of the Company, certify, pursuant to 18 U.S.C. Section 1350, as adopted pursuant to Section 906 of the Sarbanes-Oxley Act of 2002, that:</w:t>
      </w:r>
    </w:p>
    <w:p>
      <w:pPr>
        <w:spacing w:after="0" w:line="174" w:lineRule="exact"/>
        <w:rPr>
          <w:sz w:val="20"/>
          <w:szCs w:val="20"/>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November 10, 2022</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90"/>
              </w:rPr>
              <w:t>/s/ Robert L. Masson II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1"/>
              </w:rPr>
              <w:t>Robert L. Masson II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92"/>
              </w:rPr>
              <w:t>Chief Financial Officer</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3"/>
    </w:lvl>
  </w:abstractNum>
  <w:abstractNum w:abstractNumId="3">
    <w:nsid w:val="1F16E9E8"/>
    <w:multiLevelType w:val="hybridMultilevel"/>
    <w:lvl w:ilvl="0">
      <w:lvlJc w:val="left"/>
      <w:lvlText w:val="(%1)"/>
      <w:numFmt w:val="lowerRoman"/>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2022-11-10T18:12:14Z</dcterms:created>
  <dcterms:modified xsi:type="dcterms:W3CDTF">2022-11-10T18:12:14Z</dcterms:modified>
</cp:coreProperties>
</file>