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May 6, 2026</w:t>
      </w:r>
    </w:p>
    <w:p>
      <w:pPr>
        <w:spacing w:after="0" w:line="30"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w:t>
      </w:r>
    </w:p>
    <w:p>
      <w:pPr>
        <w:spacing w:after="0" w:line="3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1437640</wp:posOffset>
            </wp:positionH>
            <wp:positionV relativeFrom="paragraph">
              <wp:posOffset>88265</wp:posOffset>
            </wp:positionV>
            <wp:extent cx="425831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258310" cy="8255"/>
                    </a:xfrm>
                    <a:prstGeom prst="rect">
                      <a:avLst/>
                    </a:prstGeom>
                    <a:noFill/>
                  </pic:spPr>
                </pic:pic>
              </a:graphicData>
            </a:graphic>
          </wp:anchor>
        </w:drawing>
      </w:r>
    </w:p>
    <w:p>
      <w:pPr>
        <w:spacing w:after="0" w:line="2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S-8</w:t>
      </w:r>
    </w:p>
    <w:p>
      <w:pPr>
        <w:spacing w:after="0" w:line="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STATEMENT</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1437640</wp:posOffset>
            </wp:positionH>
            <wp:positionV relativeFrom="paragraph">
              <wp:posOffset>88900</wp:posOffset>
            </wp:positionV>
            <wp:extent cx="425831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258310" cy="8255"/>
                    </a:xfrm>
                    <a:prstGeom prst="rect">
                      <a:avLst/>
                    </a:prstGeom>
                    <a:noFill/>
                  </pic:spPr>
                </pic:pic>
              </a:graphicData>
            </a:graphic>
          </wp:anchor>
        </w:drawing>
      </w:r>
    </w:p>
    <w:p>
      <w:pPr>
        <w:spacing w:after="0" w:line="26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Latham Group, Inc.</w:t>
      </w:r>
    </w:p>
    <w:p>
      <w:pPr>
        <w:spacing w:after="0" w:line="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1437640</wp:posOffset>
            </wp:positionH>
            <wp:positionV relativeFrom="paragraph">
              <wp:posOffset>88265</wp:posOffset>
            </wp:positionV>
            <wp:extent cx="425831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258310" cy="8255"/>
                    </a:xfrm>
                    <a:prstGeom prst="rect">
                      <a:avLst/>
                    </a:prstGeom>
                    <a:noFill/>
                  </pic:spPr>
                </pic:pic>
              </a:graphicData>
            </a:graphic>
          </wp:anchor>
        </w:drawing>
      </w:r>
    </w:p>
    <w:p>
      <w:pPr>
        <w:spacing w:after="0" w:line="310" w:lineRule="exact"/>
        <w:rPr>
          <w:sz w:val="24"/>
          <w:szCs w:val="24"/>
          <w:color w:val="auto"/>
        </w:rPr>
      </w:pPr>
    </w:p>
    <w:tbl>
      <w:tblPr>
        <w:tblLayout w:type="fixed"/>
        <w:tblInd w:w="720" w:type="dxa"/>
        <w:tblCellMar>
          <w:top w:w="0" w:type="dxa"/>
          <w:left w:w="0" w:type="dxa"/>
          <w:bottom w:w="0" w:type="dxa"/>
          <w:right w:w="0" w:type="dxa"/>
        </w:tblCellMar>
      </w:tblPr>
      <w:tr>
        <w:trPr>
          <w:trHeight w:val="209"/>
        </w:trPr>
        <w:tc>
          <w:tcPr>
            <w:tcW w:w="5420" w:type="dxa"/>
            <w:vAlign w:val="bottom"/>
          </w:tcPr>
          <w:p>
            <w:pPr>
              <w:jc w:val="center"/>
              <w:ind w:right="105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760" w:type="dxa"/>
            <w:vAlign w:val="bottom"/>
          </w:tcPr>
          <w:p>
            <w:pPr>
              <w:jc w:val="right"/>
              <w:ind w:right="771"/>
              <w:spacing w:after="0"/>
              <w:rPr>
                <w:sz w:val="20"/>
                <w:szCs w:val="20"/>
                <w:color w:val="auto"/>
              </w:rPr>
            </w:pPr>
            <w:r>
              <w:rPr>
                <w:rFonts w:ascii="Times New Roman" w:cs="Times New Roman" w:eastAsia="Times New Roman" w:hAnsi="Times New Roman"/>
                <w:sz w:val="18"/>
                <w:szCs w:val="18"/>
                <w:b w:val="1"/>
                <w:bCs w:val="1"/>
                <w:color w:val="auto"/>
              </w:rPr>
              <w:t>83-2797583</w:t>
            </w:r>
          </w:p>
        </w:tc>
      </w:tr>
      <w:tr>
        <w:trPr>
          <w:trHeight w:val="254"/>
        </w:trPr>
        <w:tc>
          <w:tcPr>
            <w:tcW w:w="5420" w:type="dxa"/>
            <w:vAlign w:val="bottom"/>
          </w:tcPr>
          <w:p>
            <w:pPr>
              <w:jc w:val="center"/>
              <w:ind w:right="1071"/>
              <w:spacing w:after="0"/>
              <w:rPr>
                <w:sz w:val="20"/>
                <w:szCs w:val="20"/>
                <w:color w:val="auto"/>
              </w:rPr>
            </w:pPr>
            <w:r>
              <w:rPr>
                <w:rFonts w:ascii="Times New Roman" w:cs="Times New Roman" w:eastAsia="Times New Roman" w:hAnsi="Times New Roman"/>
                <w:sz w:val="18"/>
                <w:szCs w:val="18"/>
                <w:color w:val="auto"/>
                <w:w w:val="98"/>
              </w:rPr>
              <w:t>(State or other jurisdiction of incorporation or organization)</w:t>
            </w:r>
          </w:p>
        </w:tc>
        <w:tc>
          <w:tcPr>
            <w:tcW w:w="3760" w:type="dxa"/>
            <w:vAlign w:val="bottom"/>
          </w:tcPr>
          <w:p>
            <w:pPr>
              <w:jc w:val="center"/>
              <w:ind w:left="1071"/>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405"/>
        </w:trPr>
        <w:tc>
          <w:tcPr>
            <w:tcW w:w="5420" w:type="dxa"/>
            <w:vAlign w:val="bottom"/>
          </w:tcPr>
          <w:p>
            <w:pPr>
              <w:jc w:val="center"/>
              <w:ind w:right="1071"/>
              <w:spacing w:after="0"/>
              <w:rPr>
                <w:sz w:val="20"/>
                <w:szCs w:val="20"/>
                <w:color w:val="auto"/>
              </w:rPr>
            </w:pPr>
            <w:r>
              <w:rPr>
                <w:rFonts w:ascii="Times New Roman" w:cs="Times New Roman" w:eastAsia="Times New Roman" w:hAnsi="Times New Roman"/>
                <w:sz w:val="18"/>
                <w:szCs w:val="18"/>
                <w:b w:val="1"/>
                <w:bCs w:val="1"/>
                <w:color w:val="auto"/>
                <w:w w:val="97"/>
              </w:rPr>
              <w:t>787 Watervliet Shaker Road</w:t>
            </w:r>
          </w:p>
        </w:tc>
        <w:tc>
          <w:tcPr>
            <w:tcW w:w="3760" w:type="dxa"/>
            <w:vAlign w:val="bottom"/>
          </w:tcPr>
          <w:p>
            <w:pPr>
              <w:jc w:val="right"/>
              <w:ind w:right="991"/>
              <w:spacing w:after="0"/>
              <w:rPr>
                <w:sz w:val="20"/>
                <w:szCs w:val="20"/>
                <w:color w:val="auto"/>
              </w:rPr>
            </w:pPr>
            <w:r>
              <w:rPr>
                <w:rFonts w:ascii="Times New Roman" w:cs="Times New Roman" w:eastAsia="Times New Roman" w:hAnsi="Times New Roman"/>
                <w:sz w:val="18"/>
                <w:szCs w:val="18"/>
                <w:b w:val="1"/>
                <w:bCs w:val="1"/>
                <w:color w:val="auto"/>
              </w:rPr>
              <w:t>12110</w:t>
            </w:r>
          </w:p>
        </w:tc>
      </w:tr>
      <w:tr>
        <w:trPr>
          <w:trHeight w:val="237"/>
        </w:trPr>
        <w:tc>
          <w:tcPr>
            <w:tcW w:w="5420" w:type="dxa"/>
            <w:vAlign w:val="bottom"/>
          </w:tcPr>
          <w:p>
            <w:pPr>
              <w:jc w:val="center"/>
              <w:ind w:right="1071"/>
              <w:spacing w:after="0"/>
              <w:rPr>
                <w:sz w:val="20"/>
                <w:szCs w:val="20"/>
                <w:color w:val="auto"/>
              </w:rPr>
            </w:pPr>
            <w:r>
              <w:rPr>
                <w:rFonts w:ascii="Times New Roman" w:cs="Times New Roman" w:eastAsia="Times New Roman" w:hAnsi="Times New Roman"/>
                <w:sz w:val="18"/>
                <w:szCs w:val="18"/>
                <w:b w:val="1"/>
                <w:bCs w:val="1"/>
                <w:color w:val="auto"/>
                <w:w w:val="98"/>
              </w:rPr>
              <w:t>Latham, New York</w:t>
            </w:r>
          </w:p>
        </w:tc>
        <w:tc>
          <w:tcPr>
            <w:tcW w:w="3760" w:type="dxa"/>
            <w:vAlign w:val="bottom"/>
          </w:tcPr>
          <w:p>
            <w:pPr>
              <w:spacing w:after="0"/>
              <w:rPr>
                <w:sz w:val="20"/>
                <w:szCs w:val="20"/>
                <w:color w:val="auto"/>
              </w:rPr>
            </w:pPr>
          </w:p>
        </w:tc>
      </w:tr>
      <w:tr>
        <w:trPr>
          <w:trHeight w:val="267"/>
        </w:trPr>
        <w:tc>
          <w:tcPr>
            <w:tcW w:w="5420" w:type="dxa"/>
            <w:vAlign w:val="bottom"/>
          </w:tcPr>
          <w:p>
            <w:pPr>
              <w:jc w:val="center"/>
              <w:ind w:right="1071"/>
              <w:spacing w:after="0"/>
              <w:rPr>
                <w:sz w:val="20"/>
                <w:szCs w:val="20"/>
                <w:color w:val="auto"/>
              </w:rPr>
            </w:pPr>
            <w:r>
              <w:rPr>
                <w:rFonts w:ascii="Times New Roman" w:cs="Times New Roman" w:eastAsia="Times New Roman" w:hAnsi="Times New Roman"/>
                <w:sz w:val="18"/>
                <w:szCs w:val="18"/>
                <w:color w:val="auto"/>
                <w:w w:val="98"/>
              </w:rPr>
              <w:t>(Address of Principal Executive Offices)</w:t>
            </w:r>
          </w:p>
        </w:tc>
        <w:tc>
          <w:tcPr>
            <w:tcW w:w="3760" w:type="dxa"/>
            <w:vAlign w:val="bottom"/>
          </w:tcPr>
          <w:p>
            <w:pPr>
              <w:jc w:val="center"/>
              <w:ind w:left="1071"/>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200" w:lineRule="exact"/>
        <w:rPr>
          <w:sz w:val="24"/>
          <w:szCs w:val="24"/>
          <w:color w:val="auto"/>
        </w:rPr>
      </w:pPr>
    </w:p>
    <w:p>
      <w:pPr>
        <w:spacing w:after="0" w:line="3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Latham Group, Inc. 2021 Omnibus Equity Incentive Plan</w:t>
      </w:r>
    </w:p>
    <w:p>
      <w:pPr>
        <w:spacing w:after="0" w:line="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(Full title of the plan)</w:t>
      </w:r>
    </w:p>
    <w:p>
      <w:pPr>
        <w:spacing w:after="0" w:line="200" w:lineRule="exact"/>
        <w:rPr>
          <w:sz w:val="24"/>
          <w:szCs w:val="24"/>
          <w:color w:val="auto"/>
        </w:rPr>
      </w:pPr>
    </w:p>
    <w:p>
      <w:pPr>
        <w:spacing w:after="0" w:line="2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Sean Gadd</w:t>
      </w:r>
    </w:p>
    <w:p>
      <w:pPr>
        <w:spacing w:after="0" w:line="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Chief Executive Officer, President and Director</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787 Watervliet Shaker Road</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Latham, New York 12110</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(Name and address of agent for service)</w:t>
      </w:r>
    </w:p>
    <w:p>
      <w:pPr>
        <w:spacing w:after="0" w:line="1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800-833-3800</w:t>
      </w:r>
    </w:p>
    <w:p>
      <w:pPr>
        <w:spacing w:after="0" w:line="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1785620</wp:posOffset>
            </wp:positionH>
            <wp:positionV relativeFrom="paragraph">
              <wp:posOffset>88900</wp:posOffset>
            </wp:positionV>
            <wp:extent cx="357949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579495" cy="8255"/>
                    </a:xfrm>
                    <a:prstGeom prst="rect">
                      <a:avLst/>
                    </a:prstGeom>
                    <a:noFill/>
                  </pic:spPr>
                </pic:pic>
              </a:graphicData>
            </a:graphic>
          </wp:anchor>
        </w:drawing>
      </w:r>
    </w:p>
    <w:p>
      <w:pPr>
        <w:spacing w:after="0" w:line="2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Copy to:</w:t>
      </w:r>
    </w:p>
    <w:p>
      <w:pPr>
        <w:spacing w:after="0" w:line="30" w:lineRule="exact"/>
        <w:rPr>
          <w:sz w:val="24"/>
          <w:szCs w:val="24"/>
          <w:color w:val="auto"/>
        </w:rPr>
      </w:pPr>
    </w:p>
    <w:p>
      <w:pPr>
        <w:ind w:left="4840"/>
        <w:spacing w:after="0"/>
        <w:rPr>
          <w:sz w:val="20"/>
          <w:szCs w:val="20"/>
          <w:color w:val="auto"/>
        </w:rPr>
      </w:pPr>
      <w:r>
        <w:rPr>
          <w:rFonts w:ascii="Times New Roman" w:cs="Times New Roman" w:eastAsia="Times New Roman" w:hAnsi="Times New Roman"/>
          <w:sz w:val="18"/>
          <w:szCs w:val="18"/>
          <w:b w:val="1"/>
          <w:bCs w:val="1"/>
          <w:color w:val="auto"/>
        </w:rPr>
        <w:t>Michael S. Ben, Esq.</w:t>
      </w:r>
    </w:p>
    <w:p>
      <w:pPr>
        <w:spacing w:after="0" w:line="7" w:lineRule="exact"/>
        <w:rPr>
          <w:sz w:val="24"/>
          <w:szCs w:val="24"/>
          <w:color w:val="auto"/>
        </w:rPr>
      </w:pPr>
    </w:p>
    <w:p>
      <w:pPr>
        <w:ind w:left="4740"/>
        <w:spacing w:after="0"/>
        <w:rPr>
          <w:sz w:val="20"/>
          <w:szCs w:val="20"/>
          <w:color w:val="auto"/>
        </w:rPr>
      </w:pPr>
      <w:r>
        <w:rPr>
          <w:rFonts w:ascii="Times New Roman" w:cs="Times New Roman" w:eastAsia="Times New Roman" w:hAnsi="Times New Roman"/>
          <w:sz w:val="18"/>
          <w:szCs w:val="18"/>
          <w:b w:val="1"/>
          <w:bCs w:val="1"/>
          <w:color w:val="auto"/>
        </w:rPr>
        <w:t>Joshua W. Damm, Esq.</w:t>
      </w:r>
    </w:p>
    <w:p>
      <w:pPr>
        <w:spacing w:after="0" w:line="1" w:lineRule="exact"/>
        <w:rPr>
          <w:sz w:val="24"/>
          <w:szCs w:val="24"/>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Honigman LLP</w:t>
      </w:r>
    </w:p>
    <w:p>
      <w:pPr>
        <w:jc w:val="center"/>
        <w:spacing w:after="0" w:line="232" w:lineRule="auto"/>
        <w:rPr>
          <w:sz w:val="20"/>
          <w:szCs w:val="20"/>
          <w:color w:val="auto"/>
        </w:rPr>
      </w:pPr>
      <w:r>
        <w:rPr>
          <w:rFonts w:ascii="Times New Roman" w:cs="Times New Roman" w:eastAsia="Times New Roman" w:hAnsi="Times New Roman"/>
          <w:sz w:val="18"/>
          <w:szCs w:val="18"/>
          <w:b w:val="1"/>
          <w:bCs w:val="1"/>
          <w:color w:val="auto"/>
        </w:rPr>
        <w:t>2290 First National Building</w:t>
      </w:r>
    </w:p>
    <w:p>
      <w:pPr>
        <w:jc w:val="center"/>
        <w:spacing w:after="0" w:line="232" w:lineRule="auto"/>
        <w:rPr>
          <w:sz w:val="20"/>
          <w:szCs w:val="20"/>
          <w:color w:val="auto"/>
        </w:rPr>
      </w:pPr>
      <w:r>
        <w:rPr>
          <w:rFonts w:ascii="Times New Roman" w:cs="Times New Roman" w:eastAsia="Times New Roman" w:hAnsi="Times New Roman"/>
          <w:sz w:val="18"/>
          <w:szCs w:val="18"/>
          <w:b w:val="1"/>
          <w:bCs w:val="1"/>
          <w:color w:val="auto"/>
        </w:rPr>
        <w:t>660 Woodward Avenue</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Detroit, Michigan 48226-3506</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(313) 465-7000</w:t>
      </w:r>
    </w:p>
    <w:p>
      <w:pPr>
        <w:spacing w:after="0" w:line="215" w:lineRule="exact"/>
        <w:rPr>
          <w:sz w:val="24"/>
          <w:szCs w:val="24"/>
          <w:color w:val="auto"/>
        </w:rPr>
      </w:pPr>
    </w:p>
    <w:p>
      <w:pPr>
        <w:ind w:right="40" w:firstLine="641"/>
        <w:spacing w:after="0" w:line="255"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Layout w:type="fixed"/>
        <w:tblInd w:w="20" w:type="dxa"/>
        <w:tblCellMar>
          <w:top w:w="0" w:type="dxa"/>
          <w:left w:w="0" w:type="dxa"/>
          <w:bottom w:w="0" w:type="dxa"/>
          <w:right w:w="0" w:type="dxa"/>
        </w:tblCellMar>
      </w:tblPr>
      <w:tr>
        <w:trPr>
          <w:trHeight w:val="387"/>
        </w:trPr>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840" w:type="dxa"/>
            <w:vAlign w:val="bottom"/>
          </w:tcPr>
          <w:p>
            <w:pPr>
              <w:ind w:left="300"/>
              <w:spacing w:after="0"/>
              <w:rPr>
                <w:sz w:val="20"/>
                <w:szCs w:val="20"/>
                <w:color w:val="auto"/>
              </w:rPr>
            </w:pPr>
            <w:r>
              <w:rPr>
                <w:rFonts w:ascii="Wingdings" w:cs="Wingdings" w:eastAsia="Wingdings" w:hAnsi="Wingdings"/>
                <w:sz w:val="18"/>
                <w:szCs w:val="18"/>
                <w:b w:val="1"/>
                <w:bCs w:val="1"/>
                <w:color w:val="auto"/>
              </w:rPr>
              <w:t>o</w:t>
            </w:r>
          </w:p>
        </w:tc>
        <w:tc>
          <w:tcPr>
            <w:tcW w:w="17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Accelerated filer</w:t>
            </w:r>
          </w:p>
        </w:tc>
        <w:tc>
          <w:tcPr>
            <w:tcW w:w="740" w:type="dxa"/>
            <w:vAlign w:val="bottom"/>
          </w:tcPr>
          <w:p>
            <w:pPr>
              <w:ind w:left="200"/>
              <w:spacing w:after="0"/>
              <w:rPr>
                <w:sz w:val="20"/>
                <w:szCs w:val="20"/>
                <w:color w:val="auto"/>
              </w:rPr>
            </w:pPr>
            <w:r>
              <w:rPr>
                <w:rFonts w:ascii="Wingdings" w:cs="Wingdings" w:eastAsia="Wingdings" w:hAnsi="Wingdings"/>
                <w:sz w:val="18"/>
                <w:szCs w:val="18"/>
                <w:b w:val="1"/>
                <w:bCs w:val="1"/>
                <w:color w:val="auto"/>
              </w:rPr>
              <w:t>x</w:t>
            </w:r>
          </w:p>
        </w:tc>
        <w:tc>
          <w:tcPr>
            <w:tcW w:w="2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Non-accelerated filer</w:t>
            </w:r>
          </w:p>
        </w:tc>
        <w:tc>
          <w:tcPr>
            <w:tcW w:w="800" w:type="dxa"/>
            <w:vAlign w:val="bottom"/>
          </w:tcPr>
          <w:p>
            <w:pPr>
              <w:ind w:left="180"/>
              <w:spacing w:after="0"/>
              <w:rPr>
                <w:sz w:val="20"/>
                <w:szCs w:val="20"/>
                <w:color w:val="auto"/>
              </w:rPr>
            </w:pPr>
            <w:r>
              <w:rPr>
                <w:rFonts w:ascii="Wingdings" w:cs="Wingdings" w:eastAsia="Wingdings" w:hAnsi="Wingdings"/>
                <w:sz w:val="18"/>
                <w:szCs w:val="18"/>
                <w:b w:val="1"/>
                <w:bCs w:val="1"/>
                <w:color w:val="auto"/>
              </w:rPr>
              <w:t>o</w:t>
            </w:r>
          </w:p>
        </w:tc>
        <w:tc>
          <w:tcPr>
            <w:tcW w:w="2680" w:type="dxa"/>
            <w:vAlign w:val="bottom"/>
          </w:tcPr>
          <w:p>
            <w:pPr>
              <w:ind w:left="480"/>
              <w:spacing w:after="0" w:line="386" w:lineRule="exact"/>
              <w:rPr>
                <w:sz w:val="20"/>
                <w:szCs w:val="20"/>
                <w:color w:val="auto"/>
              </w:rPr>
            </w:pPr>
            <w:r>
              <w:rPr>
                <w:rFonts w:ascii="Times New Roman" w:cs="Times New Roman" w:eastAsia="Times New Roman" w:hAnsi="Times New Roman"/>
                <w:sz w:val="18"/>
                <w:szCs w:val="18"/>
                <w:color w:val="auto"/>
                <w:w w:val="98"/>
              </w:rPr>
              <w:t xml:space="preserve">Smaller reporting company </w:t>
            </w:r>
            <w:r>
              <w:rPr>
                <w:rFonts w:ascii="Wingdings" w:cs="Wingdings" w:eastAsia="Wingdings" w:hAnsi="Wingdings"/>
                <w:sz w:val="35"/>
                <w:szCs w:val="35"/>
                <w:b w:val="1"/>
                <w:bCs w:val="1"/>
                <w:color w:val="auto"/>
                <w:w w:val="98"/>
                <w:vertAlign w:val="subscript"/>
              </w:rPr>
              <w:t>o</w:t>
            </w:r>
          </w:p>
        </w:tc>
      </w:tr>
      <w:tr>
        <w:trPr>
          <w:trHeight w:val="233"/>
        </w:trPr>
        <w:tc>
          <w:tcPr>
            <w:tcW w:w="19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680" w:type="dxa"/>
            <w:vAlign w:val="bottom"/>
          </w:tcPr>
          <w:p>
            <w:pPr>
              <w:ind w:left="480"/>
              <w:spacing w:after="0"/>
              <w:rPr>
                <w:sz w:val="20"/>
                <w:szCs w:val="20"/>
                <w:color w:val="auto"/>
              </w:rPr>
            </w:pPr>
            <w:r>
              <w:rPr>
                <w:rFonts w:ascii="Times New Roman" w:cs="Times New Roman" w:eastAsia="Times New Roman" w:hAnsi="Times New Roman"/>
                <w:sz w:val="18"/>
                <w:szCs w:val="18"/>
                <w:color w:val="auto"/>
                <w:w w:val="98"/>
              </w:rPr>
              <w:t xml:space="preserve">Emerging growth company </w:t>
            </w:r>
            <w:r>
              <w:rPr>
                <w:rFonts w:ascii="Wingdings" w:cs="Wingdings" w:eastAsia="Wingdings" w:hAnsi="Wingdings"/>
                <w:sz w:val="18"/>
                <w:szCs w:val="18"/>
                <w:b w:val="1"/>
                <w:bCs w:val="1"/>
                <w:color w:val="auto"/>
                <w:w w:val="98"/>
              </w:rPr>
              <w:t>x</w:t>
            </w:r>
          </w:p>
        </w:tc>
      </w:tr>
    </w:tbl>
    <w:p>
      <w:pPr>
        <w:spacing w:after="0" w:line="190" w:lineRule="exact"/>
        <w:rPr>
          <w:sz w:val="24"/>
          <w:szCs w:val="24"/>
          <w:color w:val="auto"/>
        </w:rPr>
      </w:pPr>
    </w:p>
    <w:p>
      <w:pPr>
        <w:ind w:right="280" w:firstLine="641"/>
        <w:spacing w:after="0" w:line="238"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ectPr>
          <w:pgSz w:w="11900" w:h="16838" w:orient="portrait"/>
          <w:cols w:equalWidth="0" w:num="1">
            <w:col w:w="11240"/>
          </w:cols>
          <w:pgMar w:left="320" w:top="1026"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38" w:lineRule="exact"/>
        <w:rPr>
          <w:sz w:val="20"/>
          <w:szCs w:val="20"/>
          <w:color w:val="auto"/>
        </w:rPr>
      </w:pPr>
    </w:p>
    <w:p>
      <w:pPr>
        <w:jc w:val="both"/>
        <w:ind w:firstLine="641"/>
        <w:spacing w:after="0" w:line="23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Latham Group,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has prepared this Registration Statement on Form S-8 (the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in accordance with the requirements of the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to register the issuance of 3,400,000 shares of its common stock, par value $0.0001 per share (the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which are reserved for issuance to eligible participants upon the vesting or exercise of awards granted under the Company’s 2021 Omnibus Equity Incentive Plan, as amended. The Common Stock being registered hereunder is in addition to the 12,830,086 shares of Common Stock registered on the Company’s Registration Statements on Form S-8 filed with the Securities and Exchange Commission (the “</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xml:space="preserve">”) on </w:t>
      </w:r>
      <w:hyperlink r:id="rId12">
        <w:r>
          <w:rPr>
            <w:rFonts w:ascii="Times New Roman" w:cs="Times New Roman" w:eastAsia="Times New Roman" w:hAnsi="Times New Roman"/>
            <w:sz w:val="18"/>
            <w:szCs w:val="18"/>
            <w:u w:val="single" w:color="auto"/>
            <w:color w:val="0000FF"/>
          </w:rPr>
          <w:t>April 22, 2021</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(Commission File No. 333-255439) and </w:t>
      </w:r>
      <w:hyperlink r:id="rId13">
        <w:r>
          <w:rPr>
            <w:rFonts w:ascii="Times New Roman" w:cs="Times New Roman" w:eastAsia="Times New Roman" w:hAnsi="Times New Roman"/>
            <w:sz w:val="18"/>
            <w:szCs w:val="18"/>
            <w:u w:val="single" w:color="auto"/>
            <w:color w:val="0000FF"/>
          </w:rPr>
          <w:t>May 4, 2023</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(Commission File No. 333-271646) (the “</w:t>
      </w:r>
      <w:r>
        <w:rPr>
          <w:rFonts w:ascii="Times New Roman" w:cs="Times New Roman" w:eastAsia="Times New Roman" w:hAnsi="Times New Roman"/>
          <w:sz w:val="18"/>
          <w:szCs w:val="18"/>
          <w:u w:val="single" w:color="auto"/>
          <w:color w:val="auto"/>
        </w:rPr>
        <w:t>Prior Registration Statements</w:t>
      </w:r>
      <w:r>
        <w:rPr>
          <w:rFonts w:ascii="Times New Roman" w:cs="Times New Roman" w:eastAsia="Times New Roman" w:hAnsi="Times New Roman"/>
          <w:sz w:val="18"/>
          <w:szCs w:val="18"/>
          <w:color w:val="auto"/>
        </w:rPr>
        <w:t>”).</w:t>
      </w:r>
    </w:p>
    <w:p>
      <w:pPr>
        <w:spacing w:after="0" w:line="198" w:lineRule="exact"/>
        <w:rPr>
          <w:sz w:val="20"/>
          <w:szCs w:val="20"/>
          <w:color w:val="auto"/>
        </w:rPr>
      </w:pPr>
    </w:p>
    <w:p>
      <w:pPr>
        <w:jc w:val="both"/>
        <w:ind w:firstLine="641"/>
        <w:spacing w:after="0" w:line="239" w:lineRule="auto"/>
        <w:rPr>
          <w:sz w:val="20"/>
          <w:szCs w:val="20"/>
          <w:color w:val="auto"/>
        </w:rPr>
      </w:pPr>
      <w:r>
        <w:rPr>
          <w:rFonts w:ascii="Times New Roman" w:cs="Times New Roman" w:eastAsia="Times New Roman" w:hAnsi="Times New Roman"/>
          <w:sz w:val="18"/>
          <w:szCs w:val="18"/>
          <w:color w:val="auto"/>
        </w:rPr>
        <w:t>This Registration Statement relates to securities of the same class as that to which the Prior Registration Statements relate, and is submitted in accordance with General Instruction E to Form S-8 regarding the registration of additional securities. Pursuant to such instruction, the contents of the Prior Registration Statements are incorporated herein by reference and made part of this Registration Statement, except as amended hereby. In accordance with the instructional note to Part I of Form S-8 as promulgated by the Commission, the information specified by Part I of Form S-8 has been omitted from this Registration Statement.</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34"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b w:val="1"/>
          <w:bCs w:val="1"/>
          <w:color w:val="auto"/>
        </w:rPr>
        <w:t>INFORMATION REQUIRED IN THE REGISTRATION STATEMENT</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Item 3. Incorporation of Documents by Reference</w:t>
      </w:r>
    </w:p>
    <w:p>
      <w:pPr>
        <w:spacing w:after="0" w:line="238" w:lineRule="exact"/>
        <w:rPr>
          <w:sz w:val="20"/>
          <w:szCs w:val="20"/>
          <w:color w:val="auto"/>
        </w:rPr>
      </w:pPr>
    </w:p>
    <w:p>
      <w:pPr>
        <w:jc w:val="both"/>
        <w:ind w:firstLine="641"/>
        <w:spacing w:after="0" w:line="262" w:lineRule="auto"/>
        <w:rPr>
          <w:sz w:val="20"/>
          <w:szCs w:val="20"/>
          <w:color w:val="auto"/>
        </w:rPr>
      </w:pPr>
      <w:r>
        <w:rPr>
          <w:rFonts w:ascii="Times New Roman" w:cs="Times New Roman" w:eastAsia="Times New Roman" w:hAnsi="Times New Roman"/>
          <w:sz w:val="18"/>
          <w:szCs w:val="18"/>
          <w:color w:val="auto"/>
        </w:rPr>
        <w:t>The following documents filed with the Commission by the Company are incorporated by reference in this Registration Statement (other than information in such filings that was "furnished" under applicable Commission rules rather than "filed"):</w:t>
      </w:r>
    </w:p>
    <w:p>
      <w:pPr>
        <w:spacing w:after="0" w:line="189" w:lineRule="exact"/>
        <w:rPr>
          <w:sz w:val="20"/>
          <w:szCs w:val="20"/>
          <w:color w:val="auto"/>
        </w:rPr>
      </w:pPr>
    </w:p>
    <w:p>
      <w:pPr>
        <w:ind w:left="640" w:hanging="313"/>
        <w:spacing w:after="0"/>
        <w:tabs>
          <w:tab w:leader="none" w:pos="6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Company’s Annual Report on Form 10-K for the fiscal year ended December 31, 2025, filed with the Commission on </w:t>
      </w:r>
      <w:hyperlink r:id="rId14">
        <w:r>
          <w:rPr>
            <w:rFonts w:ascii="Times New Roman" w:cs="Times New Roman" w:eastAsia="Times New Roman" w:hAnsi="Times New Roman"/>
            <w:sz w:val="18"/>
            <w:szCs w:val="18"/>
            <w:u w:val="single" w:color="auto"/>
            <w:color w:val="0000FF"/>
          </w:rPr>
          <w:t>March 4, 2026</w:t>
        </w:r>
      </w:hyperlink>
      <w:r>
        <w:rPr>
          <w:rFonts w:ascii="Times New Roman" w:cs="Times New Roman" w:eastAsia="Times New Roman" w:hAnsi="Times New Roman"/>
          <w:sz w:val="18"/>
          <w:szCs w:val="18"/>
          <w:color w:val="auto"/>
        </w:rPr>
        <w:t>.</w:t>
      </w:r>
    </w:p>
    <w:p>
      <w:pPr>
        <w:spacing w:after="0" w:line="233"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Company’s Current Report on Form 8-K, filed with Commission on </w:t>
      </w:r>
      <w:hyperlink r:id="rId15">
        <w:r>
          <w:rPr>
            <w:rFonts w:ascii="Times New Roman" w:cs="Times New Roman" w:eastAsia="Times New Roman" w:hAnsi="Times New Roman"/>
            <w:sz w:val="18"/>
            <w:szCs w:val="18"/>
            <w:u w:val="single" w:color="auto"/>
            <w:color w:val="0000FF"/>
          </w:rPr>
          <w:t>May 5, 2026</w:t>
        </w:r>
      </w:hyperlink>
      <w:r>
        <w:rPr>
          <w:rFonts w:ascii="Times New Roman" w:cs="Times New Roman" w:eastAsia="Times New Roman" w:hAnsi="Times New Roman"/>
          <w:sz w:val="18"/>
          <w:szCs w:val="18"/>
          <w:color w:val="auto"/>
        </w:rPr>
        <w:t>.</w:t>
      </w:r>
    </w:p>
    <w:p>
      <w:pPr>
        <w:spacing w:after="0" w:line="233" w:lineRule="exact"/>
        <w:rPr>
          <w:rFonts w:ascii="Times New Roman" w:cs="Times New Roman" w:eastAsia="Times New Roman" w:hAnsi="Times New Roman"/>
          <w:sz w:val="18"/>
          <w:szCs w:val="18"/>
          <w:color w:val="auto"/>
        </w:rPr>
      </w:pPr>
    </w:p>
    <w:p>
      <w:pPr>
        <w:jc w:val="both"/>
        <w:ind w:left="640" w:hanging="313"/>
        <w:spacing w:after="0" w:line="239" w:lineRule="auto"/>
        <w:tabs>
          <w:tab w:leader="none" w:pos="640" w:val="left"/>
        </w:tabs>
        <w:numPr>
          <w:ilvl w:val="0"/>
          <w:numId w:val="1"/>
        </w:numPr>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auto"/>
        </w:rPr>
        <w:t xml:space="preserve">The information specifically incorporated by reference into the Company’s Annual Report on Form 10-K for the fiscal year ended December 31, </w:t>
      </w:r>
      <w:hyperlink r:id="rId16">
        <w:r>
          <w:rPr>
            <w:rFonts w:ascii="Times New Roman" w:cs="Times New Roman" w:eastAsia="Times New Roman" w:hAnsi="Times New Roman"/>
            <w:sz w:val="18"/>
            <w:szCs w:val="18"/>
            <w:color w:val="auto"/>
          </w:rPr>
          <w:t xml:space="preserve">2025 from our definitive proxy statement for the annual meeting of stockholders held on April 30, 2026, filed with the Commission on </w:t>
        </w:r>
        <w:r>
          <w:rPr>
            <w:rFonts w:ascii="Times New Roman" w:cs="Times New Roman" w:eastAsia="Times New Roman" w:hAnsi="Times New Roman"/>
            <w:sz w:val="18"/>
            <w:szCs w:val="18"/>
            <w:u w:val="single" w:color="auto"/>
            <w:color w:val="0000FF"/>
          </w:rPr>
          <w:t>March 20,</w:t>
        </w:r>
      </w:hyperlink>
      <w:r>
        <w:rPr>
          <w:rFonts w:ascii="Times New Roman" w:cs="Times New Roman" w:eastAsia="Times New Roman" w:hAnsi="Times New Roman"/>
          <w:sz w:val="18"/>
          <w:szCs w:val="18"/>
          <w:color w:val="auto"/>
        </w:rPr>
        <w:t xml:space="preserve"> </w:t>
      </w:r>
      <w:hyperlink r:id="rId16">
        <w:r>
          <w:rPr>
            <w:rFonts w:ascii="Times New Roman" w:cs="Times New Roman" w:eastAsia="Times New Roman" w:hAnsi="Times New Roman"/>
            <w:sz w:val="18"/>
            <w:szCs w:val="18"/>
            <w:u w:val="single" w:color="auto"/>
            <w:color w:val="0000FF"/>
          </w:rPr>
          <w:t>2026</w:t>
        </w:r>
        <w:r>
          <w:rPr>
            <w:rFonts w:ascii="Times New Roman" w:cs="Times New Roman" w:eastAsia="Times New Roman" w:hAnsi="Times New Roman"/>
            <w:sz w:val="18"/>
            <w:szCs w:val="18"/>
            <w:color w:val="000000"/>
          </w:rPr>
          <w:t>.</w:t>
        </w:r>
      </w:hyperlink>
    </w:p>
    <w:p>
      <w:pPr>
        <w:spacing w:after="0" w:line="209" w:lineRule="exact"/>
        <w:rPr>
          <w:rFonts w:ascii="Times New Roman" w:cs="Times New Roman" w:eastAsia="Times New Roman" w:hAnsi="Times New Roman"/>
          <w:sz w:val="18"/>
          <w:szCs w:val="18"/>
          <w:color w:val="0000FF"/>
        </w:rPr>
      </w:pPr>
    </w:p>
    <w:p>
      <w:pPr>
        <w:jc w:val="both"/>
        <w:ind w:left="640" w:hanging="313"/>
        <w:spacing w:after="0" w:line="247" w:lineRule="auto"/>
        <w:tabs>
          <w:tab w:leader="none" w:pos="640" w:val="left"/>
        </w:tabs>
        <w:numPr>
          <w:ilvl w:val="0"/>
          <w:numId w:val="1"/>
        </w:numPr>
        <w:rPr>
          <w:rFonts w:ascii="Times New Roman" w:cs="Times New Roman" w:eastAsia="Times New Roman" w:hAnsi="Times New Roman"/>
          <w:sz w:val="18"/>
          <w:szCs w:val="18"/>
          <w:color w:val="000000"/>
        </w:rPr>
      </w:pPr>
      <w:hyperlink r:id="rId17">
        <w:r>
          <w:rPr>
            <w:rFonts w:ascii="Times New Roman" w:cs="Times New Roman" w:eastAsia="Times New Roman" w:hAnsi="Times New Roman"/>
            <w:sz w:val="18"/>
            <w:szCs w:val="18"/>
            <w:color w:val="auto"/>
          </w:rPr>
          <w:t xml:space="preserve">The description of the Common Stock set forth in the Company’s Registration Statement on Form 8-A, filed with the Commission on </w:t>
        </w:r>
        <w:r>
          <w:rPr>
            <w:rFonts w:ascii="Times New Roman" w:cs="Times New Roman" w:eastAsia="Times New Roman" w:hAnsi="Times New Roman"/>
            <w:sz w:val="18"/>
            <w:szCs w:val="18"/>
            <w:u w:val="single" w:color="auto"/>
            <w:color w:val="0000FF"/>
          </w:rPr>
          <w:t>April 22,</w:t>
        </w:r>
      </w:hyperlink>
      <w:r>
        <w:rPr>
          <w:rFonts w:ascii="Times New Roman" w:cs="Times New Roman" w:eastAsia="Times New Roman" w:hAnsi="Times New Roman"/>
          <w:sz w:val="18"/>
          <w:szCs w:val="18"/>
          <w:color w:val="auto"/>
        </w:rPr>
        <w:t xml:space="preserve"> </w:t>
      </w:r>
      <w:hyperlink r:id="rId17">
        <w:r>
          <w:rPr>
            <w:rFonts w:ascii="Times New Roman" w:cs="Times New Roman" w:eastAsia="Times New Roman" w:hAnsi="Times New Roman"/>
            <w:sz w:val="18"/>
            <w:szCs w:val="18"/>
            <w:u w:val="single" w:color="auto"/>
            <w:color w:val="0000FF"/>
          </w:rPr>
          <w:t>2021</w:t>
        </w:r>
        <w:r>
          <w:rPr>
            <w:rFonts w:ascii="Times New Roman" w:cs="Times New Roman" w:eastAsia="Times New Roman" w:hAnsi="Times New Roman"/>
            <w:sz w:val="18"/>
            <w:szCs w:val="18"/>
            <w:color w:val="000000"/>
          </w:rPr>
          <w:t>, including any amendments or reports filed for the purpose of updating such description, including Exhibit 4.1 to the Company’s Annual</w:t>
        </w:r>
      </w:hyperlink>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 xml:space="preserve">Report on Form 10-K for the fiscal year ended </w:t>
      </w:r>
      <w:hyperlink r:id="rId18">
        <w:r>
          <w:rPr>
            <w:rFonts w:ascii="Times New Roman" w:cs="Times New Roman" w:eastAsia="Times New Roman" w:hAnsi="Times New Roman"/>
            <w:sz w:val="18"/>
            <w:szCs w:val="18"/>
            <w:u w:val="single" w:color="auto"/>
            <w:color w:val="0000FF"/>
          </w:rPr>
          <w:t>December 31, 2025</w:t>
        </w:r>
      </w:hyperlink>
      <w:r>
        <w:rPr>
          <w:rFonts w:ascii="Times New Roman" w:cs="Times New Roman" w:eastAsia="Times New Roman" w:hAnsi="Times New Roman"/>
          <w:sz w:val="18"/>
          <w:szCs w:val="18"/>
          <w:color w:val="000000"/>
          <w:highlight w:val="white"/>
        </w:rPr>
        <w:t>.</w:t>
      </w:r>
    </w:p>
    <w:p>
      <w:pPr>
        <w:spacing w:after="0" w:line="203" w:lineRule="exact"/>
        <w:rPr>
          <w:rFonts w:ascii="Times New Roman" w:cs="Times New Roman" w:eastAsia="Times New Roman" w:hAnsi="Times New Roman"/>
          <w:sz w:val="18"/>
          <w:szCs w:val="18"/>
          <w:color w:val="auto"/>
        </w:rPr>
      </w:pPr>
    </w:p>
    <w:p>
      <w:pPr>
        <w:jc w:val="both"/>
        <w:ind w:firstLine="641"/>
        <w:spacing w:after="0" w:line="242" w:lineRule="auto"/>
        <w:rPr>
          <w:sz w:val="20"/>
          <w:szCs w:val="20"/>
          <w:color w:val="auto"/>
        </w:rPr>
      </w:pPr>
      <w:r>
        <w:rPr>
          <w:rFonts w:ascii="Times New Roman" w:cs="Times New Roman" w:eastAsia="Times New Roman" w:hAnsi="Times New Roman"/>
          <w:sz w:val="18"/>
          <w:szCs w:val="18"/>
          <w:color w:val="auto"/>
        </w:rPr>
        <w:t>In addition, all reports and documents filed by us pursuant to Sections 13(a), 13(c), 14 or 15(d) of the Securities Exchange Act of 1934, as amended (other than information in such filings that was “furnished” under applicable Commission rules rather than “filed”), subsequent to the date hereof and prior to the filing of a post-effective amendment which indicates that all securities offered hereby have been sold or which deregisters all securities then remaining unsold, shall be deemed to be incorporated by reference herein and made a part hereof from the date of the filing of such documents.</w:t>
      </w:r>
    </w:p>
    <w:p>
      <w:pPr>
        <w:sectPr>
          <w:pgSz w:w="11900" w:h="16838" w:orient="portrait"/>
          <w:cols w:equalWidth="0" w:num="1">
            <w:col w:w="11240"/>
          </w:cols>
          <w:pgMar w:left="320" w:top="905" w:right="339" w:bottom="1440" w:gutter="0" w:footer="0" w:header="0"/>
        </w:sect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85" w:lineRule="exact"/>
        <w:rPr>
          <w:rFonts w:ascii="Times New Roman" w:cs="Times New Roman" w:eastAsia="Times New Roman" w:hAnsi="Times New Roman"/>
          <w:sz w:val="18"/>
          <w:szCs w:val="18"/>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1240"/>
          </w:cols>
          <w:pgMar w:left="320" w:top="905" w:right="339" w:bottom="144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i w:val="1"/>
          <w:iCs w:val="1"/>
          <w:color w:val="auto"/>
        </w:rPr>
        <w:t>Item 8. Exhibits</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10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920" w:type="dxa"/>
            <w:vAlign w:val="bottom"/>
            <w:tcBorders>
              <w:bottom w:val="single" w:sz="8" w:color="auto"/>
            </w:tcBorders>
          </w:tcPr>
          <w:p>
            <w:pPr>
              <w:spacing w:after="0"/>
              <w:rPr>
                <w:sz w:val="2"/>
                <w:szCs w:val="2"/>
                <w:color w:val="auto"/>
              </w:rPr>
            </w:pPr>
          </w:p>
        </w:tc>
        <w:tc>
          <w:tcPr>
            <w:tcW w:w="10140" w:type="dxa"/>
            <w:vAlign w:val="bottom"/>
            <w:vMerge w:val="restart"/>
          </w:tcPr>
          <w:p>
            <w:pPr>
              <w:ind w:left="260"/>
              <w:spacing w:after="0"/>
              <w:rPr>
                <w:rFonts w:ascii="Times New Roman" w:cs="Times New Roman" w:eastAsia="Times New Roman" w:hAnsi="Times New Roman"/>
                <w:sz w:val="18"/>
                <w:szCs w:val="18"/>
                <w:color w:val="0000FF"/>
                <w:w w:val="99"/>
              </w:rPr>
            </w:pPr>
            <w:hyperlink r:id="rId19">
              <w:r>
                <w:rPr>
                  <w:rFonts w:ascii="Times New Roman" w:cs="Times New Roman" w:eastAsia="Times New Roman" w:hAnsi="Times New Roman"/>
                  <w:sz w:val="18"/>
                  <w:szCs w:val="18"/>
                  <w:color w:val="0000FF"/>
                  <w:w w:val="99"/>
                </w:rPr>
                <w:t>Amended and Restated Certificate of Incorporation of Latham Group, Inc. (incorporated by reference from Exhibit 3.1 to the Company’s</w:t>
              </w:r>
            </w:hyperlink>
          </w:p>
        </w:tc>
        <w:tc>
          <w:tcPr>
            <w:tcW w:w="0" w:type="dxa"/>
            <w:vAlign w:val="bottom"/>
          </w:tcPr>
          <w:p>
            <w:pPr>
              <w:spacing w:after="0"/>
              <w:rPr>
                <w:sz w:val="1"/>
                <w:szCs w:val="1"/>
                <w:color w:val="auto"/>
              </w:rPr>
            </w:pPr>
          </w:p>
        </w:tc>
      </w:tr>
      <w:tr>
        <w:trPr>
          <w:trHeight w:val="175"/>
        </w:trPr>
        <w:tc>
          <w:tcPr>
            <w:tcW w:w="9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4.1</w:t>
            </w:r>
          </w:p>
        </w:tc>
        <w:tc>
          <w:tcPr>
            <w:tcW w:w="101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920" w:type="dxa"/>
            <w:vAlign w:val="bottom"/>
          </w:tcPr>
          <w:p>
            <w:pPr>
              <w:spacing w:after="0"/>
              <w:rPr>
                <w:sz w:val="20"/>
                <w:szCs w:val="20"/>
                <w:color w:val="auto"/>
              </w:rPr>
            </w:pPr>
          </w:p>
        </w:tc>
        <w:tc>
          <w:tcPr>
            <w:tcW w:w="10140" w:type="dxa"/>
            <w:vAlign w:val="bottom"/>
          </w:tcPr>
          <w:p>
            <w:pPr>
              <w:ind w:left="260"/>
              <w:spacing w:after="0"/>
              <w:rPr>
                <w:rFonts w:ascii="Times New Roman" w:cs="Times New Roman" w:eastAsia="Times New Roman" w:hAnsi="Times New Roman"/>
                <w:sz w:val="18"/>
                <w:szCs w:val="18"/>
                <w:color w:val="0000FF"/>
              </w:rPr>
            </w:pPr>
            <w:hyperlink r:id="rId19">
              <w:r>
                <w:rPr>
                  <w:rFonts w:ascii="Times New Roman" w:cs="Times New Roman" w:eastAsia="Times New Roman" w:hAnsi="Times New Roman"/>
                  <w:sz w:val="18"/>
                  <w:szCs w:val="18"/>
                  <w:color w:val="0000FF"/>
                </w:rPr>
                <w:t>Quarterly Report on Form 10-Q filed on June 3, 2021).</w:t>
              </w:r>
            </w:hyperlink>
          </w:p>
        </w:tc>
        <w:tc>
          <w:tcPr>
            <w:tcW w:w="0" w:type="dxa"/>
            <w:vAlign w:val="bottom"/>
          </w:tcPr>
          <w:p>
            <w:pPr>
              <w:spacing w:after="0"/>
              <w:rPr>
                <w:sz w:val="1"/>
                <w:szCs w:val="1"/>
                <w:color w:val="auto"/>
              </w:rPr>
            </w:pPr>
          </w:p>
        </w:tc>
      </w:tr>
      <w:tr>
        <w:trPr>
          <w:trHeight w:val="222"/>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4.2</w:t>
            </w:r>
          </w:p>
        </w:tc>
        <w:tc>
          <w:tcPr>
            <w:tcW w:w="10140" w:type="dxa"/>
            <w:vAlign w:val="bottom"/>
          </w:tcPr>
          <w:p>
            <w:pPr>
              <w:ind w:left="260"/>
              <w:spacing w:after="0"/>
              <w:rPr>
                <w:rFonts w:ascii="Times New Roman" w:cs="Times New Roman" w:eastAsia="Times New Roman" w:hAnsi="Times New Roman"/>
                <w:sz w:val="18"/>
                <w:szCs w:val="18"/>
                <w:color w:val="0000FF"/>
                <w:w w:val="99"/>
              </w:rPr>
            </w:pPr>
            <w:hyperlink r:id="rId20">
              <w:r>
                <w:rPr>
                  <w:rFonts w:ascii="Times New Roman" w:cs="Times New Roman" w:eastAsia="Times New Roman" w:hAnsi="Times New Roman"/>
                  <w:sz w:val="18"/>
                  <w:szCs w:val="18"/>
                  <w:color w:val="0000FF"/>
                  <w:w w:val="99"/>
                </w:rPr>
                <w:t>Amended and Restated Bylaws of Latham Group, Inc. (incorporated by reference from Exhibit 3.2 to the Company’s Quarterly Report on</w:t>
              </w:r>
            </w:hyperlink>
          </w:p>
        </w:tc>
        <w:tc>
          <w:tcPr>
            <w:tcW w:w="0" w:type="dxa"/>
            <w:vAlign w:val="bottom"/>
          </w:tcPr>
          <w:p>
            <w:pPr>
              <w:spacing w:after="0"/>
              <w:rPr>
                <w:sz w:val="1"/>
                <w:szCs w:val="1"/>
                <w:color w:val="auto"/>
              </w:rPr>
            </w:pPr>
          </w:p>
        </w:tc>
      </w:tr>
      <w:tr>
        <w:trPr>
          <w:trHeight w:val="233"/>
        </w:trPr>
        <w:tc>
          <w:tcPr>
            <w:tcW w:w="920" w:type="dxa"/>
            <w:vAlign w:val="bottom"/>
          </w:tcPr>
          <w:p>
            <w:pPr>
              <w:spacing w:after="0"/>
              <w:rPr>
                <w:sz w:val="20"/>
                <w:szCs w:val="20"/>
                <w:color w:val="auto"/>
              </w:rPr>
            </w:pPr>
          </w:p>
        </w:tc>
        <w:tc>
          <w:tcPr>
            <w:tcW w:w="10140" w:type="dxa"/>
            <w:vAlign w:val="bottom"/>
          </w:tcPr>
          <w:p>
            <w:pPr>
              <w:ind w:left="260"/>
              <w:spacing w:after="0"/>
              <w:rPr>
                <w:rFonts w:ascii="Times New Roman" w:cs="Times New Roman" w:eastAsia="Times New Roman" w:hAnsi="Times New Roman"/>
                <w:sz w:val="18"/>
                <w:szCs w:val="18"/>
                <w:color w:val="0000FF"/>
              </w:rPr>
            </w:pPr>
            <w:hyperlink r:id="rId20">
              <w:r>
                <w:rPr>
                  <w:rFonts w:ascii="Times New Roman" w:cs="Times New Roman" w:eastAsia="Times New Roman" w:hAnsi="Times New Roman"/>
                  <w:sz w:val="18"/>
                  <w:szCs w:val="18"/>
                  <w:color w:val="0000FF"/>
                </w:rPr>
                <w:t>Form 10-Q filed on June 3, 2021).</w:t>
              </w:r>
            </w:hyperlink>
          </w:p>
        </w:tc>
        <w:tc>
          <w:tcPr>
            <w:tcW w:w="0" w:type="dxa"/>
            <w:vAlign w:val="bottom"/>
          </w:tcPr>
          <w:p>
            <w:pPr>
              <w:spacing w:after="0"/>
              <w:rPr>
                <w:sz w:val="1"/>
                <w:szCs w:val="1"/>
                <w:color w:val="auto"/>
              </w:rPr>
            </w:pPr>
          </w:p>
        </w:tc>
      </w:tr>
      <w:tr>
        <w:trPr>
          <w:trHeight w:val="254"/>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5*</w:t>
            </w:r>
          </w:p>
        </w:tc>
        <w:tc>
          <w:tcPr>
            <w:tcW w:w="10140" w:type="dxa"/>
            <w:vAlign w:val="bottom"/>
          </w:tcPr>
          <w:p>
            <w:pPr>
              <w:ind w:left="260"/>
              <w:spacing w:after="0"/>
              <w:rPr>
                <w:sz w:val="20"/>
                <w:szCs w:val="20"/>
                <w:color w:val="auto"/>
              </w:rPr>
            </w:pPr>
            <w:r>
              <w:rPr>
                <w:rFonts w:ascii="Times New Roman" w:cs="Times New Roman" w:eastAsia="Times New Roman" w:hAnsi="Times New Roman"/>
                <w:sz w:val="18"/>
                <w:szCs w:val="18"/>
                <w:color w:val="0000FF"/>
              </w:rPr>
              <w:t>Opinion of Honigman LLP.</w:t>
            </w:r>
          </w:p>
        </w:tc>
        <w:tc>
          <w:tcPr>
            <w:tcW w:w="0" w:type="dxa"/>
            <w:vAlign w:val="bottom"/>
          </w:tcPr>
          <w:p>
            <w:pPr>
              <w:spacing w:after="0"/>
              <w:rPr>
                <w:sz w:val="1"/>
                <w:szCs w:val="1"/>
                <w:color w:val="auto"/>
              </w:rPr>
            </w:pPr>
          </w:p>
        </w:tc>
      </w:tr>
      <w:tr>
        <w:trPr>
          <w:trHeight w:val="254"/>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23.1*</w:t>
            </w:r>
          </w:p>
        </w:tc>
        <w:tc>
          <w:tcPr>
            <w:tcW w:w="10140" w:type="dxa"/>
            <w:vAlign w:val="bottom"/>
          </w:tcPr>
          <w:p>
            <w:pPr>
              <w:ind w:left="260"/>
              <w:spacing w:after="0"/>
              <w:rPr>
                <w:sz w:val="20"/>
                <w:szCs w:val="20"/>
                <w:color w:val="auto"/>
              </w:rPr>
            </w:pPr>
            <w:r>
              <w:rPr>
                <w:rFonts w:ascii="Times New Roman" w:cs="Times New Roman" w:eastAsia="Times New Roman" w:hAnsi="Times New Roman"/>
                <w:sz w:val="18"/>
                <w:szCs w:val="18"/>
                <w:color w:val="0000FF"/>
              </w:rPr>
              <w:t>Consent of Deloitte &amp; Touche LLP, independent registered public accounting firm.</w:t>
            </w:r>
          </w:p>
        </w:tc>
        <w:tc>
          <w:tcPr>
            <w:tcW w:w="0" w:type="dxa"/>
            <w:vAlign w:val="bottom"/>
          </w:tcPr>
          <w:p>
            <w:pPr>
              <w:spacing w:after="0"/>
              <w:rPr>
                <w:sz w:val="1"/>
                <w:szCs w:val="1"/>
                <w:color w:val="auto"/>
              </w:rPr>
            </w:pPr>
          </w:p>
        </w:tc>
      </w:tr>
      <w:tr>
        <w:trPr>
          <w:trHeight w:val="254"/>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23.2*</w:t>
            </w:r>
          </w:p>
        </w:tc>
        <w:tc>
          <w:tcPr>
            <w:tcW w:w="10140" w:type="dxa"/>
            <w:vAlign w:val="bottom"/>
          </w:tcPr>
          <w:p>
            <w:pPr>
              <w:ind w:left="260"/>
              <w:spacing w:after="0"/>
              <w:rPr>
                <w:sz w:val="20"/>
                <w:szCs w:val="20"/>
                <w:color w:val="auto"/>
              </w:rPr>
            </w:pPr>
            <w:r>
              <w:rPr>
                <w:rFonts w:ascii="Times New Roman" w:cs="Times New Roman" w:eastAsia="Times New Roman" w:hAnsi="Times New Roman"/>
                <w:sz w:val="18"/>
                <w:szCs w:val="18"/>
                <w:color w:val="0000FF"/>
              </w:rPr>
              <w:t>Consent of Honigman LLP (included in Exhibit 5 to this Registration Statement).</w:t>
            </w:r>
          </w:p>
        </w:tc>
        <w:tc>
          <w:tcPr>
            <w:tcW w:w="0" w:type="dxa"/>
            <w:vAlign w:val="bottom"/>
          </w:tcPr>
          <w:p>
            <w:pPr>
              <w:spacing w:after="0"/>
              <w:rPr>
                <w:sz w:val="1"/>
                <w:szCs w:val="1"/>
                <w:color w:val="auto"/>
              </w:rPr>
            </w:pPr>
          </w:p>
        </w:tc>
      </w:tr>
      <w:tr>
        <w:trPr>
          <w:trHeight w:val="254"/>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24*</w:t>
            </w:r>
          </w:p>
        </w:tc>
        <w:tc>
          <w:tcPr>
            <w:tcW w:w="10140" w:type="dxa"/>
            <w:vAlign w:val="bottom"/>
          </w:tcPr>
          <w:p>
            <w:pPr>
              <w:ind w:left="260"/>
              <w:spacing w:after="0"/>
              <w:rPr>
                <w:sz w:val="20"/>
                <w:szCs w:val="20"/>
                <w:color w:val="auto"/>
              </w:rPr>
            </w:pPr>
            <w:r>
              <w:rPr>
                <w:rFonts w:ascii="Times New Roman" w:cs="Times New Roman" w:eastAsia="Times New Roman" w:hAnsi="Times New Roman"/>
                <w:sz w:val="18"/>
                <w:szCs w:val="18"/>
                <w:color w:val="0000FF"/>
              </w:rPr>
              <w:t>Power of Attorney (included on signature page of this Registration Statement).</w:t>
            </w:r>
          </w:p>
        </w:tc>
        <w:tc>
          <w:tcPr>
            <w:tcW w:w="0" w:type="dxa"/>
            <w:vAlign w:val="bottom"/>
          </w:tcPr>
          <w:p>
            <w:pPr>
              <w:spacing w:after="0"/>
              <w:rPr>
                <w:sz w:val="1"/>
                <w:szCs w:val="1"/>
                <w:color w:val="auto"/>
              </w:rPr>
            </w:pPr>
          </w:p>
        </w:tc>
      </w:tr>
      <w:tr>
        <w:trPr>
          <w:trHeight w:val="222"/>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99.1</w:t>
            </w:r>
          </w:p>
        </w:tc>
        <w:tc>
          <w:tcPr>
            <w:tcW w:w="10140" w:type="dxa"/>
            <w:vAlign w:val="bottom"/>
          </w:tcPr>
          <w:p>
            <w:pPr>
              <w:ind w:left="260"/>
              <w:spacing w:after="0"/>
              <w:rPr>
                <w:rFonts w:ascii="Times New Roman" w:cs="Times New Roman" w:eastAsia="Times New Roman" w:hAnsi="Times New Roman"/>
                <w:sz w:val="18"/>
                <w:szCs w:val="18"/>
                <w:color w:val="0000FF"/>
                <w:w w:val="98"/>
              </w:rPr>
            </w:pPr>
            <w:hyperlink r:id="rId21">
              <w:r>
                <w:rPr>
                  <w:rFonts w:ascii="Times New Roman" w:cs="Times New Roman" w:eastAsia="Times New Roman" w:hAnsi="Times New Roman"/>
                  <w:sz w:val="18"/>
                  <w:szCs w:val="18"/>
                  <w:color w:val="0000FF"/>
                  <w:w w:val="98"/>
                </w:rPr>
                <w:t>Latham Group, Inc. 2021 Omnibus Equity Incentive Plan (incorporated by reference from Exhibit 10.5 to the Company’s Quarterly Report</w:t>
              </w:r>
            </w:hyperlink>
          </w:p>
        </w:tc>
        <w:tc>
          <w:tcPr>
            <w:tcW w:w="0" w:type="dxa"/>
            <w:vAlign w:val="bottom"/>
          </w:tcPr>
          <w:p>
            <w:pPr>
              <w:spacing w:after="0"/>
              <w:rPr>
                <w:sz w:val="1"/>
                <w:szCs w:val="1"/>
                <w:color w:val="auto"/>
              </w:rPr>
            </w:pPr>
          </w:p>
        </w:tc>
      </w:tr>
      <w:tr>
        <w:trPr>
          <w:trHeight w:val="233"/>
        </w:trPr>
        <w:tc>
          <w:tcPr>
            <w:tcW w:w="920" w:type="dxa"/>
            <w:vAlign w:val="bottom"/>
          </w:tcPr>
          <w:p>
            <w:pPr>
              <w:spacing w:after="0"/>
              <w:rPr>
                <w:sz w:val="20"/>
                <w:szCs w:val="20"/>
                <w:color w:val="auto"/>
              </w:rPr>
            </w:pPr>
          </w:p>
        </w:tc>
        <w:tc>
          <w:tcPr>
            <w:tcW w:w="10140" w:type="dxa"/>
            <w:vAlign w:val="bottom"/>
          </w:tcPr>
          <w:p>
            <w:pPr>
              <w:ind w:left="260"/>
              <w:spacing w:after="0"/>
              <w:rPr>
                <w:rFonts w:ascii="Times New Roman" w:cs="Times New Roman" w:eastAsia="Times New Roman" w:hAnsi="Times New Roman"/>
                <w:sz w:val="18"/>
                <w:szCs w:val="18"/>
                <w:color w:val="0000FF"/>
              </w:rPr>
            </w:pPr>
            <w:hyperlink r:id="rId21">
              <w:r>
                <w:rPr>
                  <w:rFonts w:ascii="Times New Roman" w:cs="Times New Roman" w:eastAsia="Times New Roman" w:hAnsi="Times New Roman"/>
                  <w:sz w:val="18"/>
                  <w:szCs w:val="18"/>
                  <w:color w:val="0000FF"/>
                </w:rPr>
                <w:t>on Form 10-Q filed on August 5, 2021).</w:t>
              </w:r>
            </w:hyperlink>
          </w:p>
        </w:tc>
        <w:tc>
          <w:tcPr>
            <w:tcW w:w="0" w:type="dxa"/>
            <w:vAlign w:val="bottom"/>
          </w:tcPr>
          <w:p>
            <w:pPr>
              <w:spacing w:after="0"/>
              <w:rPr>
                <w:sz w:val="1"/>
                <w:szCs w:val="1"/>
                <w:color w:val="auto"/>
              </w:rPr>
            </w:pPr>
          </w:p>
        </w:tc>
      </w:tr>
      <w:tr>
        <w:trPr>
          <w:trHeight w:val="222"/>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99.2</w:t>
            </w:r>
          </w:p>
        </w:tc>
        <w:tc>
          <w:tcPr>
            <w:tcW w:w="10140" w:type="dxa"/>
            <w:vAlign w:val="bottom"/>
          </w:tcPr>
          <w:p>
            <w:pPr>
              <w:ind w:left="260"/>
              <w:spacing w:after="0"/>
              <w:rPr>
                <w:rFonts w:ascii="Times New Roman" w:cs="Times New Roman" w:eastAsia="Times New Roman" w:hAnsi="Times New Roman"/>
                <w:sz w:val="18"/>
                <w:szCs w:val="18"/>
                <w:color w:val="0000FF"/>
              </w:rPr>
            </w:pPr>
            <w:hyperlink r:id="rId22">
              <w:r>
                <w:rPr>
                  <w:rFonts w:ascii="Times New Roman" w:cs="Times New Roman" w:eastAsia="Times New Roman" w:hAnsi="Times New Roman"/>
                  <w:sz w:val="18"/>
                  <w:szCs w:val="18"/>
                  <w:color w:val="0000FF"/>
                </w:rPr>
                <w:t>First Amendment to Latham Group, Inc. 2021 Omnibus Equity Incentive Plan (incorporated by reference from Exhibit 10 to the</w:t>
              </w:r>
            </w:hyperlink>
          </w:p>
        </w:tc>
        <w:tc>
          <w:tcPr>
            <w:tcW w:w="0" w:type="dxa"/>
            <w:vAlign w:val="bottom"/>
          </w:tcPr>
          <w:p>
            <w:pPr>
              <w:spacing w:after="0"/>
              <w:rPr>
                <w:sz w:val="1"/>
                <w:szCs w:val="1"/>
                <w:color w:val="auto"/>
              </w:rPr>
            </w:pPr>
          </w:p>
        </w:tc>
      </w:tr>
      <w:tr>
        <w:trPr>
          <w:trHeight w:val="233"/>
        </w:trPr>
        <w:tc>
          <w:tcPr>
            <w:tcW w:w="920" w:type="dxa"/>
            <w:vAlign w:val="bottom"/>
          </w:tcPr>
          <w:p>
            <w:pPr>
              <w:spacing w:after="0"/>
              <w:rPr>
                <w:sz w:val="20"/>
                <w:szCs w:val="20"/>
                <w:color w:val="auto"/>
              </w:rPr>
            </w:pPr>
          </w:p>
        </w:tc>
        <w:tc>
          <w:tcPr>
            <w:tcW w:w="10140" w:type="dxa"/>
            <w:vAlign w:val="bottom"/>
          </w:tcPr>
          <w:p>
            <w:pPr>
              <w:ind w:left="260"/>
              <w:spacing w:after="0"/>
              <w:rPr>
                <w:rFonts w:ascii="Times New Roman" w:cs="Times New Roman" w:eastAsia="Times New Roman" w:hAnsi="Times New Roman"/>
                <w:sz w:val="18"/>
                <w:szCs w:val="18"/>
                <w:color w:val="0000FF"/>
              </w:rPr>
            </w:pPr>
            <w:hyperlink r:id="rId22">
              <w:r>
                <w:rPr>
                  <w:rFonts w:ascii="Times New Roman" w:cs="Times New Roman" w:eastAsia="Times New Roman" w:hAnsi="Times New Roman"/>
                  <w:sz w:val="18"/>
                  <w:szCs w:val="18"/>
                  <w:color w:val="0000FF"/>
                </w:rPr>
                <w:t>Company’s Current Report on Form 8-K filed on May 4, 2023).</w:t>
              </w:r>
            </w:hyperlink>
          </w:p>
        </w:tc>
        <w:tc>
          <w:tcPr>
            <w:tcW w:w="0" w:type="dxa"/>
            <w:vAlign w:val="bottom"/>
          </w:tcPr>
          <w:p>
            <w:pPr>
              <w:spacing w:after="0"/>
              <w:rPr>
                <w:sz w:val="1"/>
                <w:szCs w:val="1"/>
                <w:color w:val="auto"/>
              </w:rPr>
            </w:pPr>
          </w:p>
        </w:tc>
      </w:tr>
      <w:tr>
        <w:trPr>
          <w:trHeight w:val="222"/>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99.3</w:t>
            </w:r>
          </w:p>
        </w:tc>
        <w:tc>
          <w:tcPr>
            <w:tcW w:w="10140" w:type="dxa"/>
            <w:vAlign w:val="bottom"/>
          </w:tcPr>
          <w:p>
            <w:pPr>
              <w:ind w:left="260"/>
              <w:spacing w:after="0"/>
              <w:rPr>
                <w:rFonts w:ascii="Times New Roman" w:cs="Times New Roman" w:eastAsia="Times New Roman" w:hAnsi="Times New Roman"/>
                <w:sz w:val="18"/>
                <w:szCs w:val="18"/>
                <w:color w:val="0000FF"/>
              </w:rPr>
            </w:pPr>
            <w:hyperlink r:id="rId23">
              <w:r>
                <w:rPr>
                  <w:rFonts w:ascii="Times New Roman" w:cs="Times New Roman" w:eastAsia="Times New Roman" w:hAnsi="Times New Roman"/>
                  <w:sz w:val="18"/>
                  <w:szCs w:val="18"/>
                  <w:color w:val="0000FF"/>
                </w:rPr>
                <w:t>Second Amendment to Latham Group, Inc. 2021 Omnibus Equity Incentive Plan (incorporated by reference from Exhibit 10 to the</w:t>
              </w:r>
            </w:hyperlink>
          </w:p>
        </w:tc>
        <w:tc>
          <w:tcPr>
            <w:tcW w:w="0" w:type="dxa"/>
            <w:vAlign w:val="bottom"/>
          </w:tcPr>
          <w:p>
            <w:pPr>
              <w:spacing w:after="0"/>
              <w:rPr>
                <w:sz w:val="1"/>
                <w:szCs w:val="1"/>
                <w:color w:val="auto"/>
              </w:rPr>
            </w:pPr>
          </w:p>
        </w:tc>
      </w:tr>
      <w:tr>
        <w:trPr>
          <w:trHeight w:val="233"/>
        </w:trPr>
        <w:tc>
          <w:tcPr>
            <w:tcW w:w="920" w:type="dxa"/>
            <w:vAlign w:val="bottom"/>
          </w:tcPr>
          <w:p>
            <w:pPr>
              <w:spacing w:after="0"/>
              <w:rPr>
                <w:sz w:val="20"/>
                <w:szCs w:val="20"/>
                <w:color w:val="auto"/>
              </w:rPr>
            </w:pPr>
          </w:p>
        </w:tc>
        <w:tc>
          <w:tcPr>
            <w:tcW w:w="10140" w:type="dxa"/>
            <w:vAlign w:val="bottom"/>
          </w:tcPr>
          <w:p>
            <w:pPr>
              <w:ind w:left="260"/>
              <w:spacing w:after="0"/>
              <w:rPr>
                <w:rFonts w:ascii="Times New Roman" w:cs="Times New Roman" w:eastAsia="Times New Roman" w:hAnsi="Times New Roman"/>
                <w:sz w:val="18"/>
                <w:szCs w:val="18"/>
                <w:color w:val="0000FF"/>
              </w:rPr>
            </w:pPr>
            <w:hyperlink r:id="rId23">
              <w:r>
                <w:rPr>
                  <w:rFonts w:ascii="Times New Roman" w:cs="Times New Roman" w:eastAsia="Times New Roman" w:hAnsi="Times New Roman"/>
                  <w:sz w:val="18"/>
                  <w:szCs w:val="18"/>
                  <w:color w:val="0000FF"/>
                </w:rPr>
                <w:t>Company’s Current Report on Form 8-K filed on May 5, 2026).</w:t>
              </w:r>
            </w:hyperlink>
          </w:p>
        </w:tc>
        <w:tc>
          <w:tcPr>
            <w:tcW w:w="0" w:type="dxa"/>
            <w:vAlign w:val="bottom"/>
          </w:tcPr>
          <w:p>
            <w:pPr>
              <w:spacing w:after="0"/>
              <w:rPr>
                <w:sz w:val="1"/>
                <w:szCs w:val="1"/>
                <w:color w:val="auto"/>
              </w:rPr>
            </w:pPr>
          </w:p>
        </w:tc>
      </w:tr>
      <w:tr>
        <w:trPr>
          <w:trHeight w:val="254"/>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107*</w:t>
            </w:r>
          </w:p>
        </w:tc>
        <w:tc>
          <w:tcPr>
            <w:tcW w:w="10140" w:type="dxa"/>
            <w:vAlign w:val="bottom"/>
          </w:tcPr>
          <w:p>
            <w:pPr>
              <w:ind w:left="260"/>
              <w:spacing w:after="0"/>
              <w:rPr>
                <w:sz w:val="20"/>
                <w:szCs w:val="20"/>
                <w:color w:val="auto"/>
              </w:rPr>
            </w:pPr>
            <w:r>
              <w:rPr>
                <w:rFonts w:ascii="Times New Roman" w:cs="Times New Roman" w:eastAsia="Times New Roman" w:hAnsi="Times New Roman"/>
                <w:sz w:val="18"/>
                <w:szCs w:val="18"/>
                <w:color w:val="0000FF"/>
              </w:rPr>
              <w:t>Filing Fee Table.</w:t>
            </w:r>
          </w:p>
        </w:tc>
        <w:tc>
          <w:tcPr>
            <w:tcW w:w="0" w:type="dxa"/>
            <w:vAlign w:val="bottom"/>
          </w:tcPr>
          <w:p>
            <w:pPr>
              <w:spacing w:after="0"/>
              <w:rPr>
                <w:sz w:val="1"/>
                <w:szCs w:val="1"/>
                <w:color w:val="auto"/>
              </w:rPr>
            </w:pPr>
          </w:p>
        </w:tc>
      </w:tr>
    </w:tbl>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herewith.</w:t>
      </w:r>
    </w:p>
    <w:p>
      <w:pPr>
        <w:sectPr>
          <w:pgSz w:w="11900" w:h="16838" w:orient="portrait"/>
          <w:cols w:equalWidth="0" w:num="1">
            <w:col w:w="11060"/>
          </w:cols>
          <w:pgMar w:left="320" w:top="1386" w:right="51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38" w:lineRule="exact"/>
        <w:rPr>
          <w:sz w:val="20"/>
          <w:szCs w:val="20"/>
          <w:color w:val="auto"/>
        </w:rPr>
      </w:pPr>
    </w:p>
    <w:p>
      <w:pPr>
        <w:jc w:val="both"/>
        <w:ind w:firstLine="641"/>
        <w:spacing w:after="0" w:line="238"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Latham Group, Inc. certifies that it has reasonable grounds to believe that it meets all of the requirements for filing on Form S-8 and has duly caused this Registration Statement to be signed on its behalf by the undersigned, thereunto duly authorized, in the City of Latham, State of New York, on the 6</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day of May, 2026.</w:t>
      </w:r>
    </w:p>
    <w:p>
      <w:pPr>
        <w:spacing w:after="0" w:line="2"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b w:val="1"/>
          <w:bCs w:val="1"/>
          <w:color w:val="auto"/>
        </w:rPr>
        <w:t>LATHAM GROUP, INC.</w:t>
      </w:r>
    </w:p>
    <w:p>
      <w:pPr>
        <w:spacing w:after="0" w:line="132" w:lineRule="exact"/>
        <w:rPr>
          <w:sz w:val="20"/>
          <w:szCs w:val="20"/>
          <w:color w:val="auto"/>
        </w:rPr>
      </w:pPr>
    </w:p>
    <w:p>
      <w:pPr>
        <w:ind w:left="5340"/>
        <w:spacing w:after="0"/>
        <w:tabs>
          <w:tab w:leader="none" w:pos="58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Sean Gadd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3685540</wp:posOffset>
            </wp:positionH>
            <wp:positionV relativeFrom="paragraph">
              <wp:posOffset>34290</wp:posOffset>
            </wp:positionV>
            <wp:extent cx="345249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4">
                      <a:extLst>
                        <a:ext uri="{28A0092B-C50C-407E-A947-70E740481C1C}"/>
                      </a:extLst>
                    </a:blip>
                    <a:srcRect/>
                    <a:stretch>
                      <a:fillRect/>
                    </a:stretch>
                  </pic:blipFill>
                  <pic:spPr bwMode="auto">
                    <a:xfrm>
                      <a:off x="0" y="0"/>
                      <a:ext cx="3452495" cy="8255"/>
                    </a:xfrm>
                    <a:prstGeom prst="rect">
                      <a:avLst/>
                    </a:prstGeom>
                    <a:noFill/>
                  </pic:spPr>
                </pic:pic>
              </a:graphicData>
            </a:graphic>
          </wp:anchor>
        </w:drawing>
      </w:r>
    </w:p>
    <w:p>
      <w:pPr>
        <w:spacing w:after="0" w:line="42"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Name: Sean Gadd</w:t>
      </w:r>
    </w:p>
    <w:p>
      <w:pPr>
        <w:spacing w:after="0" w:line="47"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Title: Chief Executive Officer, President and Director</w:t>
      </w: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38" w:lineRule="exact"/>
        <w:rPr>
          <w:sz w:val="20"/>
          <w:szCs w:val="20"/>
          <w:color w:val="auto"/>
        </w:rPr>
      </w:pPr>
    </w:p>
    <w:p>
      <w:pPr>
        <w:jc w:val="both"/>
        <w:ind w:firstLine="641"/>
        <w:spacing w:after="0" w:line="234" w:lineRule="auto"/>
        <w:rPr>
          <w:sz w:val="20"/>
          <w:szCs w:val="20"/>
          <w:color w:val="auto"/>
        </w:rPr>
      </w:pPr>
      <w:r>
        <w:rPr>
          <w:rFonts w:ascii="Times New Roman" w:cs="Times New Roman" w:eastAsia="Times New Roman" w:hAnsi="Times New Roman"/>
          <w:sz w:val="18"/>
          <w:szCs w:val="18"/>
          <w:color w:val="auto"/>
        </w:rPr>
        <w:t>KNOW ALL PERSONS BY THESE PRESENTS, that each individual whose signature appears below hereby constitutes and appoints each of Sean Gadd, Oliver C. Gloe and Patrick Sheller, acting singly, his or her true and lawful agent, proxy and attorney-in-fact, with full power of substitution and resubstitution, for him or her and in his or her name, place and stead, in any and all capacities, to (i) act on, sign and file with the Commission any and all amendments (including post-effective amendments) to this Registration Statement together with all schedules and exhibits thereto, (ii) act on, sign and file such certificates, instruments, agreements and other documents as may be necessary or appropriate in connection therewith, (iii) act on and file any supplement to any prospectus included in this Registration Statement or any such amendment, and (iv) take any and all actions which may be necessary or appropriate in connection therewith, granting unto such agents, proxies and attorneys-in-fact, and each of them, full power and authority to do and perform each and every act and thing necessary or appropriate to be done, as fully for all intents and purposes as he might or could do in person, hereby approving, ratifying and confirming all that such agents, proxies and attorneys-in-fact or any of their substitutes may lawfully do or cause to be done by virtue thereof.</w:t>
      </w:r>
    </w:p>
    <w:p>
      <w:pPr>
        <w:spacing w:after="0" w:line="214" w:lineRule="exact"/>
        <w:rPr>
          <w:sz w:val="20"/>
          <w:szCs w:val="20"/>
          <w:color w:val="auto"/>
        </w:rPr>
      </w:pPr>
    </w:p>
    <w:p>
      <w:pPr>
        <w:jc w:val="both"/>
        <w:ind w:firstLine="641"/>
        <w:spacing w:after="0" w:line="260"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on May 6, 2026, by the following persons in the capacities indicated.</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7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Signature</w:t>
            </w:r>
          </w:p>
        </w:tc>
        <w:tc>
          <w:tcPr>
            <w:tcW w:w="280" w:type="dxa"/>
            <w:vAlign w:val="bottom"/>
          </w:tcPr>
          <w:p>
            <w:pPr>
              <w:spacing w:after="0"/>
              <w:rPr>
                <w:sz w:val="20"/>
                <w:szCs w:val="20"/>
                <w:color w:val="auto"/>
              </w:rPr>
            </w:pPr>
          </w:p>
        </w:tc>
        <w:tc>
          <w:tcPr>
            <w:tcW w:w="5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Title</w:t>
            </w:r>
          </w:p>
        </w:tc>
        <w:tc>
          <w:tcPr>
            <w:tcW w:w="0" w:type="dxa"/>
            <w:vAlign w:val="bottom"/>
          </w:tcPr>
          <w:p>
            <w:pPr>
              <w:spacing w:after="0"/>
              <w:rPr>
                <w:sz w:val="1"/>
                <w:szCs w:val="1"/>
                <w:color w:val="auto"/>
              </w:rPr>
            </w:pPr>
          </w:p>
        </w:tc>
      </w:tr>
      <w:tr>
        <w:trPr>
          <w:trHeight w:val="26"/>
        </w:trPr>
        <w:tc>
          <w:tcPr>
            <w:tcW w:w="576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5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5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i w:val="1"/>
                <w:iCs w:val="1"/>
                <w:color w:val="auto"/>
                <w:w w:val="98"/>
              </w:rPr>
              <w:t>/s/ Sean Gadd</w:t>
            </w:r>
          </w:p>
        </w:tc>
        <w:tc>
          <w:tcPr>
            <w:tcW w:w="280" w:type="dxa"/>
            <w:vAlign w:val="bottom"/>
          </w:tcPr>
          <w:p>
            <w:pPr>
              <w:spacing w:after="0"/>
              <w:rPr>
                <w:sz w:val="20"/>
                <w:szCs w:val="20"/>
                <w:color w:val="auto"/>
              </w:rPr>
            </w:pPr>
          </w:p>
        </w:tc>
        <w:tc>
          <w:tcPr>
            <w:tcW w:w="5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Chief Executive Officer, President and Director</w:t>
            </w:r>
          </w:p>
        </w:tc>
        <w:tc>
          <w:tcPr>
            <w:tcW w:w="0" w:type="dxa"/>
            <w:vAlign w:val="bottom"/>
          </w:tcPr>
          <w:p>
            <w:pPr>
              <w:spacing w:after="0"/>
              <w:rPr>
                <w:sz w:val="1"/>
                <w:szCs w:val="1"/>
                <w:color w:val="auto"/>
              </w:rPr>
            </w:pPr>
          </w:p>
        </w:tc>
      </w:tr>
      <w:tr>
        <w:trPr>
          <w:trHeight w:val="233"/>
        </w:trPr>
        <w:tc>
          <w:tcPr>
            <w:tcW w:w="5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Sean Gadd</w:t>
            </w:r>
          </w:p>
        </w:tc>
        <w:tc>
          <w:tcPr>
            <w:tcW w:w="280" w:type="dxa"/>
            <w:vAlign w:val="bottom"/>
          </w:tcPr>
          <w:p>
            <w:pPr>
              <w:spacing w:after="0"/>
              <w:rPr>
                <w:sz w:val="20"/>
                <w:szCs w:val="20"/>
                <w:color w:val="auto"/>
              </w:rPr>
            </w:pPr>
          </w:p>
        </w:tc>
        <w:tc>
          <w:tcPr>
            <w:tcW w:w="5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(Principal Executive Officer)</w:t>
            </w:r>
          </w:p>
        </w:tc>
        <w:tc>
          <w:tcPr>
            <w:tcW w:w="0" w:type="dxa"/>
            <w:vAlign w:val="bottom"/>
          </w:tcPr>
          <w:p>
            <w:pPr>
              <w:spacing w:after="0"/>
              <w:rPr>
                <w:sz w:val="1"/>
                <w:szCs w:val="1"/>
                <w:color w:val="auto"/>
              </w:rPr>
            </w:pPr>
          </w:p>
        </w:tc>
      </w:tr>
      <w:tr>
        <w:trPr>
          <w:trHeight w:val="342"/>
        </w:trPr>
        <w:tc>
          <w:tcPr>
            <w:tcW w:w="576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8"/>
              </w:rPr>
              <w:t>/s/ Oliver C. Gloe</w:t>
            </w:r>
          </w:p>
        </w:tc>
        <w:tc>
          <w:tcPr>
            <w:tcW w:w="280" w:type="dxa"/>
            <w:vAlign w:val="bottom"/>
          </w:tcPr>
          <w:p>
            <w:pPr>
              <w:spacing w:after="0"/>
              <w:rPr>
                <w:sz w:val="24"/>
                <w:szCs w:val="24"/>
                <w:color w:val="auto"/>
              </w:rPr>
            </w:pPr>
          </w:p>
        </w:tc>
        <w:tc>
          <w:tcPr>
            <w:tcW w:w="5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Chief Financial Officer</w:t>
            </w:r>
          </w:p>
        </w:tc>
        <w:tc>
          <w:tcPr>
            <w:tcW w:w="0" w:type="dxa"/>
            <w:vAlign w:val="bottom"/>
          </w:tcPr>
          <w:p>
            <w:pPr>
              <w:spacing w:after="0"/>
              <w:rPr>
                <w:sz w:val="1"/>
                <w:szCs w:val="1"/>
                <w:color w:val="auto"/>
              </w:rPr>
            </w:pPr>
          </w:p>
        </w:tc>
      </w:tr>
      <w:tr>
        <w:trPr>
          <w:trHeight w:val="26"/>
        </w:trPr>
        <w:tc>
          <w:tcPr>
            <w:tcW w:w="5760" w:type="dxa"/>
            <w:vAlign w:val="bottom"/>
            <w:tcBorders>
              <w:bottom w:val="single" w:sz="8" w:color="auto"/>
            </w:tcBorders>
          </w:tcPr>
          <w:p>
            <w:pPr>
              <w:spacing w:after="0"/>
              <w:rPr>
                <w:sz w:val="2"/>
                <w:szCs w:val="2"/>
                <w:color w:val="auto"/>
              </w:rPr>
            </w:pPr>
          </w:p>
        </w:tc>
        <w:tc>
          <w:tcPr>
            <w:tcW w:w="280" w:type="dxa"/>
            <w:vAlign w:val="bottom"/>
            <w:vMerge w:val="restart"/>
          </w:tcPr>
          <w:p>
            <w:pPr>
              <w:spacing w:after="0"/>
              <w:rPr>
                <w:sz w:val="2"/>
                <w:szCs w:val="2"/>
                <w:color w:val="auto"/>
              </w:rPr>
            </w:pPr>
          </w:p>
        </w:tc>
        <w:tc>
          <w:tcPr>
            <w:tcW w:w="52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(Principal Financial Officer)</w:t>
            </w:r>
          </w:p>
        </w:tc>
        <w:tc>
          <w:tcPr>
            <w:tcW w:w="0" w:type="dxa"/>
            <w:vAlign w:val="bottom"/>
          </w:tcPr>
          <w:p>
            <w:pPr>
              <w:spacing w:after="0"/>
              <w:rPr>
                <w:sz w:val="1"/>
                <w:szCs w:val="1"/>
                <w:color w:val="auto"/>
              </w:rPr>
            </w:pPr>
          </w:p>
        </w:tc>
      </w:tr>
      <w:tr>
        <w:trPr>
          <w:trHeight w:val="226"/>
        </w:trPr>
        <w:tc>
          <w:tcPr>
            <w:tcW w:w="5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Oliver C. Gloe</w:t>
            </w:r>
          </w:p>
        </w:tc>
        <w:tc>
          <w:tcPr>
            <w:tcW w:w="280" w:type="dxa"/>
            <w:vAlign w:val="bottom"/>
            <w:vMerge w:val="continue"/>
          </w:tcPr>
          <w:p>
            <w:pPr>
              <w:spacing w:after="0"/>
              <w:rPr>
                <w:sz w:val="19"/>
                <w:szCs w:val="19"/>
                <w:color w:val="auto"/>
              </w:rPr>
            </w:pPr>
          </w:p>
        </w:tc>
        <w:tc>
          <w:tcPr>
            <w:tcW w:w="52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42"/>
        </w:trPr>
        <w:tc>
          <w:tcPr>
            <w:tcW w:w="576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/s/ Suraj Kunchala</w:t>
            </w:r>
          </w:p>
        </w:tc>
        <w:tc>
          <w:tcPr>
            <w:tcW w:w="280" w:type="dxa"/>
            <w:vAlign w:val="bottom"/>
          </w:tcPr>
          <w:p>
            <w:pPr>
              <w:spacing w:after="0"/>
              <w:rPr>
                <w:sz w:val="24"/>
                <w:szCs w:val="24"/>
                <w:color w:val="auto"/>
              </w:rPr>
            </w:pPr>
          </w:p>
        </w:tc>
        <w:tc>
          <w:tcPr>
            <w:tcW w:w="5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Vice President and Controller</w:t>
            </w:r>
          </w:p>
        </w:tc>
        <w:tc>
          <w:tcPr>
            <w:tcW w:w="0" w:type="dxa"/>
            <w:vAlign w:val="bottom"/>
          </w:tcPr>
          <w:p>
            <w:pPr>
              <w:spacing w:after="0"/>
              <w:rPr>
                <w:sz w:val="1"/>
                <w:szCs w:val="1"/>
                <w:color w:val="auto"/>
              </w:rPr>
            </w:pPr>
          </w:p>
        </w:tc>
      </w:tr>
      <w:tr>
        <w:trPr>
          <w:trHeight w:val="26"/>
        </w:trPr>
        <w:tc>
          <w:tcPr>
            <w:tcW w:w="5760" w:type="dxa"/>
            <w:vAlign w:val="bottom"/>
            <w:tcBorders>
              <w:bottom w:val="single" w:sz="8" w:color="auto"/>
            </w:tcBorders>
          </w:tcPr>
          <w:p>
            <w:pPr>
              <w:spacing w:after="0"/>
              <w:rPr>
                <w:sz w:val="2"/>
                <w:szCs w:val="2"/>
                <w:color w:val="auto"/>
              </w:rPr>
            </w:pPr>
          </w:p>
        </w:tc>
        <w:tc>
          <w:tcPr>
            <w:tcW w:w="280" w:type="dxa"/>
            <w:vAlign w:val="bottom"/>
            <w:vMerge w:val="restart"/>
          </w:tcPr>
          <w:p>
            <w:pPr>
              <w:spacing w:after="0"/>
              <w:rPr>
                <w:sz w:val="2"/>
                <w:szCs w:val="2"/>
                <w:color w:val="auto"/>
              </w:rPr>
            </w:pPr>
          </w:p>
        </w:tc>
        <w:tc>
          <w:tcPr>
            <w:tcW w:w="52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(Principal Accounting Officer)</w:t>
            </w:r>
          </w:p>
        </w:tc>
        <w:tc>
          <w:tcPr>
            <w:tcW w:w="0" w:type="dxa"/>
            <w:vAlign w:val="bottom"/>
          </w:tcPr>
          <w:p>
            <w:pPr>
              <w:spacing w:after="0"/>
              <w:rPr>
                <w:sz w:val="1"/>
                <w:szCs w:val="1"/>
                <w:color w:val="auto"/>
              </w:rPr>
            </w:pPr>
          </w:p>
        </w:tc>
      </w:tr>
      <w:tr>
        <w:trPr>
          <w:trHeight w:val="226"/>
        </w:trPr>
        <w:tc>
          <w:tcPr>
            <w:tcW w:w="5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Suraj Kunchala</w:t>
            </w:r>
          </w:p>
        </w:tc>
        <w:tc>
          <w:tcPr>
            <w:tcW w:w="280" w:type="dxa"/>
            <w:vAlign w:val="bottom"/>
            <w:vMerge w:val="continue"/>
          </w:tcPr>
          <w:p>
            <w:pPr>
              <w:spacing w:after="0"/>
              <w:rPr>
                <w:sz w:val="19"/>
                <w:szCs w:val="19"/>
                <w:color w:val="auto"/>
              </w:rPr>
            </w:pPr>
          </w:p>
        </w:tc>
        <w:tc>
          <w:tcPr>
            <w:tcW w:w="52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42"/>
        </w:trPr>
        <w:tc>
          <w:tcPr>
            <w:tcW w:w="576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8"/>
              </w:rPr>
              <w:t>/s/ James E. Cline</w:t>
            </w:r>
          </w:p>
        </w:tc>
        <w:tc>
          <w:tcPr>
            <w:tcW w:w="280" w:type="dxa"/>
            <w:vAlign w:val="bottom"/>
          </w:tcPr>
          <w:p>
            <w:pPr>
              <w:spacing w:after="0"/>
              <w:rPr>
                <w:sz w:val="24"/>
                <w:szCs w:val="24"/>
                <w:color w:val="auto"/>
              </w:rPr>
            </w:pPr>
          </w:p>
        </w:tc>
        <w:tc>
          <w:tcPr>
            <w:tcW w:w="5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Chairman of the Board</w:t>
            </w:r>
          </w:p>
        </w:tc>
        <w:tc>
          <w:tcPr>
            <w:tcW w:w="0" w:type="dxa"/>
            <w:vAlign w:val="bottom"/>
          </w:tcPr>
          <w:p>
            <w:pPr>
              <w:spacing w:after="0"/>
              <w:rPr>
                <w:sz w:val="1"/>
                <w:szCs w:val="1"/>
                <w:color w:val="auto"/>
              </w:rPr>
            </w:pPr>
          </w:p>
        </w:tc>
      </w:tr>
      <w:tr>
        <w:trPr>
          <w:trHeight w:val="26"/>
        </w:trPr>
        <w:tc>
          <w:tcPr>
            <w:tcW w:w="576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5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6"/>
        </w:trPr>
        <w:tc>
          <w:tcPr>
            <w:tcW w:w="5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James E. Cline</w:t>
            </w:r>
          </w:p>
        </w:tc>
        <w:tc>
          <w:tcPr>
            <w:tcW w:w="280" w:type="dxa"/>
            <w:vAlign w:val="bottom"/>
          </w:tcPr>
          <w:p>
            <w:pPr>
              <w:spacing w:after="0"/>
              <w:rPr>
                <w:sz w:val="19"/>
                <w:szCs w:val="19"/>
                <w:color w:val="auto"/>
              </w:rPr>
            </w:pPr>
          </w:p>
        </w:tc>
        <w:tc>
          <w:tcPr>
            <w:tcW w:w="5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2"/>
        </w:trPr>
        <w:tc>
          <w:tcPr>
            <w:tcW w:w="576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7"/>
              </w:rPr>
              <w:t>/s/ Mark P. Laven</w:t>
            </w:r>
          </w:p>
        </w:tc>
        <w:tc>
          <w:tcPr>
            <w:tcW w:w="280" w:type="dxa"/>
            <w:vAlign w:val="bottom"/>
          </w:tcPr>
          <w:p>
            <w:pPr>
              <w:spacing w:after="0"/>
              <w:rPr>
                <w:sz w:val="24"/>
                <w:szCs w:val="24"/>
                <w:color w:val="auto"/>
              </w:rPr>
            </w:pPr>
          </w:p>
        </w:tc>
        <w:tc>
          <w:tcPr>
            <w:tcW w:w="5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Vice Chairman of the Board</w:t>
            </w:r>
          </w:p>
        </w:tc>
        <w:tc>
          <w:tcPr>
            <w:tcW w:w="0" w:type="dxa"/>
            <w:vAlign w:val="bottom"/>
          </w:tcPr>
          <w:p>
            <w:pPr>
              <w:spacing w:after="0"/>
              <w:rPr>
                <w:sz w:val="1"/>
                <w:szCs w:val="1"/>
                <w:color w:val="auto"/>
              </w:rPr>
            </w:pPr>
          </w:p>
        </w:tc>
      </w:tr>
      <w:tr>
        <w:trPr>
          <w:trHeight w:val="26"/>
        </w:trPr>
        <w:tc>
          <w:tcPr>
            <w:tcW w:w="576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5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6"/>
        </w:trPr>
        <w:tc>
          <w:tcPr>
            <w:tcW w:w="5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Mark P. Laven</w:t>
            </w:r>
          </w:p>
        </w:tc>
        <w:tc>
          <w:tcPr>
            <w:tcW w:w="280" w:type="dxa"/>
            <w:vAlign w:val="bottom"/>
          </w:tcPr>
          <w:p>
            <w:pPr>
              <w:spacing w:after="0"/>
              <w:rPr>
                <w:sz w:val="19"/>
                <w:szCs w:val="19"/>
                <w:color w:val="auto"/>
              </w:rPr>
            </w:pPr>
          </w:p>
        </w:tc>
        <w:tc>
          <w:tcPr>
            <w:tcW w:w="5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2"/>
        </w:trPr>
        <w:tc>
          <w:tcPr>
            <w:tcW w:w="576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8"/>
              </w:rPr>
              <w:t>/s/ DeLu Jackson</w:t>
            </w:r>
          </w:p>
        </w:tc>
        <w:tc>
          <w:tcPr>
            <w:tcW w:w="280" w:type="dxa"/>
            <w:vAlign w:val="bottom"/>
          </w:tcPr>
          <w:p>
            <w:pPr>
              <w:spacing w:after="0"/>
              <w:rPr>
                <w:sz w:val="24"/>
                <w:szCs w:val="24"/>
                <w:color w:val="auto"/>
              </w:rPr>
            </w:pPr>
          </w:p>
        </w:tc>
        <w:tc>
          <w:tcPr>
            <w:tcW w:w="5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0" w:type="dxa"/>
            <w:vAlign w:val="bottom"/>
          </w:tcPr>
          <w:p>
            <w:pPr>
              <w:spacing w:after="0"/>
              <w:rPr>
                <w:sz w:val="1"/>
                <w:szCs w:val="1"/>
                <w:color w:val="auto"/>
              </w:rPr>
            </w:pPr>
          </w:p>
        </w:tc>
      </w:tr>
      <w:tr>
        <w:trPr>
          <w:trHeight w:val="26"/>
        </w:trPr>
        <w:tc>
          <w:tcPr>
            <w:tcW w:w="576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5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6"/>
        </w:trPr>
        <w:tc>
          <w:tcPr>
            <w:tcW w:w="5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DeLu Jackson</w:t>
            </w:r>
          </w:p>
        </w:tc>
        <w:tc>
          <w:tcPr>
            <w:tcW w:w="280" w:type="dxa"/>
            <w:vAlign w:val="bottom"/>
          </w:tcPr>
          <w:p>
            <w:pPr>
              <w:spacing w:after="0"/>
              <w:rPr>
                <w:sz w:val="19"/>
                <w:szCs w:val="19"/>
                <w:color w:val="auto"/>
              </w:rPr>
            </w:pPr>
          </w:p>
        </w:tc>
        <w:tc>
          <w:tcPr>
            <w:tcW w:w="5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2"/>
        </w:trPr>
        <w:tc>
          <w:tcPr>
            <w:tcW w:w="576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8"/>
              </w:rPr>
              <w:t>/s/ Frank J. Dellaquila</w:t>
            </w:r>
          </w:p>
        </w:tc>
        <w:tc>
          <w:tcPr>
            <w:tcW w:w="280" w:type="dxa"/>
            <w:vAlign w:val="bottom"/>
          </w:tcPr>
          <w:p>
            <w:pPr>
              <w:spacing w:after="0"/>
              <w:rPr>
                <w:sz w:val="24"/>
                <w:szCs w:val="24"/>
                <w:color w:val="auto"/>
              </w:rPr>
            </w:pPr>
          </w:p>
        </w:tc>
        <w:tc>
          <w:tcPr>
            <w:tcW w:w="5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0" w:type="dxa"/>
            <w:vAlign w:val="bottom"/>
          </w:tcPr>
          <w:p>
            <w:pPr>
              <w:spacing w:after="0"/>
              <w:rPr>
                <w:sz w:val="1"/>
                <w:szCs w:val="1"/>
                <w:color w:val="auto"/>
              </w:rPr>
            </w:pPr>
          </w:p>
        </w:tc>
      </w:tr>
      <w:tr>
        <w:trPr>
          <w:trHeight w:val="26"/>
        </w:trPr>
        <w:tc>
          <w:tcPr>
            <w:tcW w:w="576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5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6"/>
        </w:trPr>
        <w:tc>
          <w:tcPr>
            <w:tcW w:w="5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Frank J. Dellaquila</w:t>
            </w:r>
          </w:p>
        </w:tc>
        <w:tc>
          <w:tcPr>
            <w:tcW w:w="280" w:type="dxa"/>
            <w:vAlign w:val="bottom"/>
          </w:tcPr>
          <w:p>
            <w:pPr>
              <w:spacing w:after="0"/>
              <w:rPr>
                <w:sz w:val="19"/>
                <w:szCs w:val="19"/>
                <w:color w:val="auto"/>
              </w:rPr>
            </w:pPr>
          </w:p>
        </w:tc>
        <w:tc>
          <w:tcPr>
            <w:tcW w:w="5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2"/>
        </w:trPr>
        <w:tc>
          <w:tcPr>
            <w:tcW w:w="576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8"/>
              </w:rPr>
              <w:t>/s/ Brian Pratt</w:t>
            </w:r>
          </w:p>
        </w:tc>
        <w:tc>
          <w:tcPr>
            <w:tcW w:w="280" w:type="dxa"/>
            <w:vAlign w:val="bottom"/>
          </w:tcPr>
          <w:p>
            <w:pPr>
              <w:spacing w:after="0"/>
              <w:rPr>
                <w:sz w:val="24"/>
                <w:szCs w:val="24"/>
                <w:color w:val="auto"/>
              </w:rPr>
            </w:pPr>
          </w:p>
        </w:tc>
        <w:tc>
          <w:tcPr>
            <w:tcW w:w="5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0" w:type="dxa"/>
            <w:vAlign w:val="bottom"/>
          </w:tcPr>
          <w:p>
            <w:pPr>
              <w:spacing w:after="0"/>
              <w:rPr>
                <w:sz w:val="1"/>
                <w:szCs w:val="1"/>
                <w:color w:val="auto"/>
              </w:rPr>
            </w:pPr>
          </w:p>
        </w:tc>
      </w:tr>
      <w:tr>
        <w:trPr>
          <w:trHeight w:val="26"/>
        </w:trPr>
        <w:tc>
          <w:tcPr>
            <w:tcW w:w="576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5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6"/>
        </w:trPr>
        <w:tc>
          <w:tcPr>
            <w:tcW w:w="5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Brian Pratt</w:t>
            </w:r>
          </w:p>
        </w:tc>
        <w:tc>
          <w:tcPr>
            <w:tcW w:w="280" w:type="dxa"/>
            <w:vAlign w:val="bottom"/>
          </w:tcPr>
          <w:p>
            <w:pPr>
              <w:spacing w:after="0"/>
              <w:rPr>
                <w:sz w:val="19"/>
                <w:szCs w:val="19"/>
                <w:color w:val="auto"/>
              </w:rPr>
            </w:pPr>
          </w:p>
        </w:tc>
        <w:tc>
          <w:tcPr>
            <w:tcW w:w="5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2"/>
        </w:trPr>
        <w:tc>
          <w:tcPr>
            <w:tcW w:w="576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8"/>
              </w:rPr>
              <w:t>/s/ Suzan Morno-Wade</w:t>
            </w:r>
          </w:p>
        </w:tc>
        <w:tc>
          <w:tcPr>
            <w:tcW w:w="280" w:type="dxa"/>
            <w:vAlign w:val="bottom"/>
          </w:tcPr>
          <w:p>
            <w:pPr>
              <w:spacing w:after="0"/>
              <w:rPr>
                <w:sz w:val="24"/>
                <w:szCs w:val="24"/>
                <w:color w:val="auto"/>
              </w:rPr>
            </w:pPr>
          </w:p>
        </w:tc>
        <w:tc>
          <w:tcPr>
            <w:tcW w:w="5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0" w:type="dxa"/>
            <w:vAlign w:val="bottom"/>
          </w:tcPr>
          <w:p>
            <w:pPr>
              <w:spacing w:after="0"/>
              <w:rPr>
                <w:sz w:val="1"/>
                <w:szCs w:val="1"/>
                <w:color w:val="auto"/>
              </w:rPr>
            </w:pPr>
          </w:p>
        </w:tc>
      </w:tr>
      <w:tr>
        <w:trPr>
          <w:trHeight w:val="26"/>
        </w:trPr>
        <w:tc>
          <w:tcPr>
            <w:tcW w:w="576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5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6"/>
        </w:trPr>
        <w:tc>
          <w:tcPr>
            <w:tcW w:w="5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Suzan Morno-Wade</w:t>
            </w:r>
          </w:p>
        </w:tc>
        <w:tc>
          <w:tcPr>
            <w:tcW w:w="280" w:type="dxa"/>
            <w:vAlign w:val="bottom"/>
          </w:tcPr>
          <w:p>
            <w:pPr>
              <w:spacing w:after="0"/>
              <w:rPr>
                <w:sz w:val="19"/>
                <w:szCs w:val="19"/>
                <w:color w:val="auto"/>
              </w:rPr>
            </w:pPr>
          </w:p>
        </w:tc>
        <w:tc>
          <w:tcPr>
            <w:tcW w:w="52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386" w:right="339" w:bottom="144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576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7"/>
              </w:rPr>
              <w:t>/s/ William M. Pruellage</w:t>
            </w:r>
          </w:p>
        </w:tc>
        <w:tc>
          <w:tcPr>
            <w:tcW w:w="3180" w:type="dxa"/>
            <w:vAlign w:val="bottom"/>
          </w:tcPr>
          <w:p>
            <w:pPr>
              <w:ind w:left="2580"/>
              <w:spacing w:after="0"/>
              <w:rPr>
                <w:sz w:val="20"/>
                <w:szCs w:val="20"/>
                <w:color w:val="auto"/>
              </w:rPr>
            </w:pPr>
            <w:r>
              <w:rPr>
                <w:rFonts w:ascii="Times New Roman" w:cs="Times New Roman" w:eastAsia="Times New Roman" w:hAnsi="Times New Roman"/>
                <w:sz w:val="18"/>
                <w:szCs w:val="18"/>
                <w:color w:val="auto"/>
                <w:w w:val="96"/>
              </w:rPr>
              <w:t>Director</w:t>
            </w:r>
          </w:p>
        </w:tc>
      </w:tr>
      <w:tr>
        <w:trPr>
          <w:trHeight w:val="26"/>
        </w:trPr>
        <w:tc>
          <w:tcPr>
            <w:tcW w:w="5760" w:type="dxa"/>
            <w:vAlign w:val="bottom"/>
            <w:tcBorders>
              <w:bottom w:val="single" w:sz="8" w:color="auto"/>
            </w:tcBorders>
          </w:tcPr>
          <w:p>
            <w:pPr>
              <w:spacing w:after="0"/>
              <w:rPr>
                <w:sz w:val="2"/>
                <w:szCs w:val="2"/>
                <w:color w:val="auto"/>
              </w:rPr>
            </w:pPr>
          </w:p>
        </w:tc>
        <w:tc>
          <w:tcPr>
            <w:tcW w:w="3180" w:type="dxa"/>
            <w:vAlign w:val="bottom"/>
          </w:tcPr>
          <w:p>
            <w:pPr>
              <w:spacing w:after="0"/>
              <w:rPr>
                <w:sz w:val="2"/>
                <w:szCs w:val="2"/>
                <w:color w:val="auto"/>
              </w:rPr>
            </w:pPr>
          </w:p>
        </w:tc>
      </w:tr>
      <w:tr>
        <w:trPr>
          <w:trHeight w:val="226"/>
        </w:trPr>
        <w:tc>
          <w:tcPr>
            <w:tcW w:w="5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William M. Pruellage</w:t>
            </w:r>
          </w:p>
        </w:tc>
        <w:tc>
          <w:tcPr>
            <w:tcW w:w="3180" w:type="dxa"/>
            <w:vAlign w:val="bottom"/>
          </w:tcPr>
          <w:p>
            <w:pPr>
              <w:spacing w:after="0"/>
              <w:rPr>
                <w:sz w:val="19"/>
                <w:szCs w:val="19"/>
                <w:color w:val="auto"/>
              </w:rPr>
            </w:pPr>
          </w:p>
        </w:tc>
      </w:tr>
      <w:tr>
        <w:trPr>
          <w:trHeight w:val="356"/>
        </w:trPr>
        <w:tc>
          <w:tcPr>
            <w:tcW w:w="576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7"/>
              </w:rPr>
              <w:t>/s/ Jeffrey T. Jackson</w:t>
            </w:r>
          </w:p>
        </w:tc>
        <w:tc>
          <w:tcPr>
            <w:tcW w:w="3180" w:type="dxa"/>
            <w:vAlign w:val="bottom"/>
          </w:tcPr>
          <w:p>
            <w:pPr>
              <w:ind w:left="2580"/>
              <w:spacing w:after="0"/>
              <w:rPr>
                <w:sz w:val="20"/>
                <w:szCs w:val="20"/>
                <w:color w:val="auto"/>
              </w:rPr>
            </w:pPr>
            <w:r>
              <w:rPr>
                <w:rFonts w:ascii="Times New Roman" w:cs="Times New Roman" w:eastAsia="Times New Roman" w:hAnsi="Times New Roman"/>
                <w:sz w:val="18"/>
                <w:szCs w:val="18"/>
                <w:color w:val="auto"/>
                <w:w w:val="96"/>
              </w:rPr>
              <w:t>Director</w:t>
            </w:r>
          </w:p>
        </w:tc>
      </w:tr>
      <w:tr>
        <w:trPr>
          <w:trHeight w:val="26"/>
        </w:trPr>
        <w:tc>
          <w:tcPr>
            <w:tcW w:w="5760" w:type="dxa"/>
            <w:vAlign w:val="bottom"/>
            <w:tcBorders>
              <w:bottom w:val="single" w:sz="8" w:color="auto"/>
            </w:tcBorders>
          </w:tcPr>
          <w:p>
            <w:pPr>
              <w:spacing w:after="0"/>
              <w:rPr>
                <w:sz w:val="2"/>
                <w:szCs w:val="2"/>
                <w:color w:val="auto"/>
              </w:rPr>
            </w:pPr>
          </w:p>
        </w:tc>
        <w:tc>
          <w:tcPr>
            <w:tcW w:w="3180" w:type="dxa"/>
            <w:vAlign w:val="bottom"/>
          </w:tcPr>
          <w:p>
            <w:pPr>
              <w:spacing w:after="0"/>
              <w:rPr>
                <w:sz w:val="2"/>
                <w:szCs w:val="2"/>
                <w:color w:val="auto"/>
              </w:rPr>
            </w:pPr>
          </w:p>
        </w:tc>
      </w:tr>
      <w:tr>
        <w:trPr>
          <w:trHeight w:val="226"/>
        </w:trPr>
        <w:tc>
          <w:tcPr>
            <w:tcW w:w="5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Jeffrey T. Jackson</w:t>
            </w:r>
          </w:p>
        </w:tc>
        <w:tc>
          <w:tcPr>
            <w:tcW w:w="3180" w:type="dxa"/>
            <w:vAlign w:val="bottom"/>
          </w:tcPr>
          <w:p>
            <w:pPr>
              <w:spacing w:after="0"/>
              <w:rPr>
                <w:sz w:val="19"/>
                <w:szCs w:val="19"/>
                <w:color w:val="auto"/>
              </w:rPr>
            </w:pPr>
          </w:p>
        </w:tc>
      </w:tr>
    </w:tbl>
    <w:p>
      <w:pPr>
        <w:sectPr>
          <w:pgSz w:w="11900" w:h="16838" w:orient="portrait"/>
          <w:cols w:equalWidth="0" w:num="1">
            <w:col w:w="10139"/>
          </w:cols>
          <w:pgMar w:left="320" w:top="1068" w:right="1440" w:bottom="1440" w:gutter="0" w:footer="0" w:header="0"/>
        </w:sectPr>
      </w:pPr>
    </w:p>
    <w:bookmarkStart w:id="5" w:name="page6"/>
    <w:bookmarkEnd w:id="5"/>
    <w:p>
      <w:pPr>
        <w:ind w:left="2860"/>
        <w:spacing w:after="0"/>
        <w:rPr>
          <w:sz w:val="20"/>
          <w:szCs w:val="20"/>
          <w:color w:val="auto"/>
        </w:rPr>
      </w:pPr>
      <w:r>
        <w:rPr>
          <w:rFonts w:ascii="Arial" w:cs="Arial" w:eastAsia="Arial" w:hAnsi="Arial"/>
          <w:sz w:val="36"/>
          <w:szCs w:val="36"/>
          <w:b w:val="1"/>
          <w:bCs w:val="1"/>
          <w:color w:val="auto"/>
        </w:rPr>
        <w:t>Calculation of Filing Fee Tables</w:t>
      </w:r>
    </w:p>
    <w:p>
      <w:pPr>
        <w:spacing w:after="0" w:line="214" w:lineRule="exact"/>
        <w:rPr>
          <w:sz w:val="20"/>
          <w:szCs w:val="20"/>
          <w:color w:val="auto"/>
        </w:rPr>
      </w:pPr>
    </w:p>
    <w:p>
      <w:pPr>
        <w:ind w:left="5240"/>
        <w:spacing w:after="0"/>
        <w:rPr>
          <w:sz w:val="20"/>
          <w:szCs w:val="20"/>
          <w:color w:val="auto"/>
        </w:rPr>
      </w:pPr>
      <w:r>
        <w:rPr>
          <w:rFonts w:ascii="Arial" w:cs="Arial" w:eastAsia="Arial" w:hAnsi="Arial"/>
          <w:sz w:val="36"/>
          <w:szCs w:val="36"/>
          <w:b w:val="1"/>
          <w:bCs w:val="1"/>
          <w:color w:val="auto"/>
        </w:rPr>
        <w:t>S-8</w:t>
      </w:r>
    </w:p>
    <w:p>
      <w:pPr>
        <w:spacing w:after="0" w:line="120" w:lineRule="exact"/>
        <w:rPr>
          <w:sz w:val="20"/>
          <w:szCs w:val="20"/>
          <w:color w:val="auto"/>
        </w:rPr>
      </w:pPr>
    </w:p>
    <w:p>
      <w:pPr>
        <w:jc w:val="center"/>
        <w:ind w:right="220"/>
        <w:spacing w:after="0"/>
        <w:rPr>
          <w:sz w:val="20"/>
          <w:szCs w:val="20"/>
          <w:color w:val="auto"/>
        </w:rPr>
      </w:pPr>
      <w:r>
        <w:rPr>
          <w:rFonts w:ascii="Arial" w:cs="Arial" w:eastAsia="Arial" w:hAnsi="Arial"/>
          <w:sz w:val="36"/>
          <w:szCs w:val="36"/>
          <w:b w:val="1"/>
          <w:bCs w:val="1"/>
          <w:color w:val="auto"/>
        </w:rPr>
        <w:t>Latham Group, Inc.</w:t>
      </w:r>
    </w:p>
    <w:p>
      <w:pPr>
        <w:spacing w:after="0" w:line="156" w:lineRule="exact"/>
        <w:rPr>
          <w:sz w:val="20"/>
          <w:szCs w:val="20"/>
          <w:color w:val="auto"/>
        </w:rPr>
      </w:pPr>
    </w:p>
    <w:p>
      <w:pPr>
        <w:jc w:val="center"/>
        <w:ind w:right="80"/>
        <w:spacing w:after="0"/>
        <w:rPr>
          <w:sz w:val="20"/>
          <w:szCs w:val="20"/>
          <w:color w:val="auto"/>
        </w:rPr>
      </w:pPr>
      <w:r>
        <w:rPr>
          <w:rFonts w:ascii="Arial" w:cs="Arial" w:eastAsia="Arial" w:hAnsi="Arial"/>
          <w:sz w:val="21"/>
          <w:szCs w:val="21"/>
          <w:b w:val="1"/>
          <w:bCs w:val="1"/>
          <w:color w:val="auto"/>
        </w:rPr>
        <w:t>Table 1: Newly Registered Securities</w:t>
      </w:r>
    </w:p>
    <w:p>
      <w:pPr>
        <w:spacing w:after="0" w:line="54" w:lineRule="exact"/>
        <w:rPr>
          <w:sz w:val="20"/>
          <w:szCs w:val="20"/>
          <w:color w:val="auto"/>
        </w:rPr>
      </w:pPr>
    </w:p>
    <w:tbl>
      <w:tblPr>
        <w:tblLayout w:type="fixed"/>
        <w:tblInd w:w="550" w:type="dxa"/>
        <w:tblCellMar>
          <w:top w:w="0" w:type="dxa"/>
          <w:left w:w="0" w:type="dxa"/>
          <w:bottom w:w="0" w:type="dxa"/>
          <w:right w:w="0" w:type="dxa"/>
        </w:tblCellMar>
      </w:tblPr>
      <w:tr>
        <w:trPr>
          <w:trHeight w:val="40"/>
        </w:trPr>
        <w:tc>
          <w:tcPr>
            <w:tcW w:w="40" w:type="dxa"/>
            <w:vAlign w:val="bottom"/>
            <w:tcBorders>
              <w:top w:val="single" w:sz="8" w:color="auto"/>
              <w:left w:val="single" w:sz="8" w:color="auto"/>
            </w:tcBorders>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96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96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118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14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36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52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104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500" w:type="dxa"/>
            <w:vAlign w:val="bottom"/>
            <w:tcBorders>
              <w:top w:val="single" w:sz="8" w:color="auto"/>
            </w:tcBorders>
          </w:tcPr>
          <w:p>
            <w:pPr>
              <w:spacing w:after="0"/>
              <w:rPr>
                <w:sz w:val="3"/>
                <w:szCs w:val="3"/>
                <w:color w:val="auto"/>
              </w:rPr>
            </w:pPr>
          </w:p>
        </w:tc>
        <w:tc>
          <w:tcPr>
            <w:tcW w:w="40" w:type="dxa"/>
            <w:vAlign w:val="bottom"/>
            <w:tcBorders>
              <w:top w:val="single" w:sz="8" w:color="auto"/>
              <w:right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9"/>
        </w:trPr>
        <w:tc>
          <w:tcPr>
            <w:tcW w:w="40" w:type="dxa"/>
            <w:vAlign w:val="bottom"/>
            <w:tcBorders>
              <w:left w:val="single" w:sz="8" w:color="auto"/>
            </w:tcBorders>
          </w:tcPr>
          <w:p>
            <w:pPr>
              <w:spacing w:after="0"/>
              <w:rPr>
                <w:sz w:val="19"/>
                <w:szCs w:val="19"/>
                <w:color w:val="auto"/>
              </w:rPr>
            </w:pPr>
          </w:p>
        </w:tc>
        <w:tc>
          <w:tcPr>
            <w:tcW w:w="1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11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360" w:type="dxa"/>
            <w:vAlign w:val="bottom"/>
            <w:shd w:val="clear" w:color="auto" w:fill="9ADAF6"/>
          </w:tcPr>
          <w:p>
            <w:pPr>
              <w:jc w:val="center"/>
              <w:spacing w:after="0" w:line="219" w:lineRule="exact"/>
              <w:rPr>
                <w:sz w:val="20"/>
                <w:szCs w:val="20"/>
                <w:color w:val="auto"/>
              </w:rPr>
            </w:pPr>
            <w:r>
              <w:rPr>
                <w:rFonts w:ascii="Arial" w:cs="Arial" w:eastAsia="Arial" w:hAnsi="Arial"/>
                <w:sz w:val="21"/>
                <w:szCs w:val="21"/>
                <w:b w:val="1"/>
                <w:bCs w:val="1"/>
                <w:color w:val="auto"/>
              </w:rPr>
              <w:t>Proposed</w:t>
            </w:r>
          </w:p>
        </w:tc>
        <w:tc>
          <w:tcPr>
            <w:tcW w:w="20" w:type="dxa"/>
            <w:vAlign w:val="bottom"/>
          </w:tcPr>
          <w:p>
            <w:pPr>
              <w:spacing w:after="0"/>
              <w:rPr>
                <w:sz w:val="19"/>
                <w:szCs w:val="19"/>
                <w:color w:val="auto"/>
              </w:rPr>
            </w:pPr>
          </w:p>
        </w:tc>
        <w:tc>
          <w:tcPr>
            <w:tcW w:w="152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10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500" w:type="dxa"/>
            <w:vAlign w:val="bottom"/>
            <w:shd w:val="clear" w:color="auto" w:fill="9ADAF6"/>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36"/>
        </w:trPr>
        <w:tc>
          <w:tcPr>
            <w:tcW w:w="40" w:type="dxa"/>
            <w:vAlign w:val="bottom"/>
            <w:tcBorders>
              <w:left w:val="single" w:sz="8" w:color="auto"/>
            </w:tcBorders>
          </w:tcPr>
          <w:p>
            <w:pPr>
              <w:spacing w:after="0"/>
              <w:rPr>
                <w:sz w:val="24"/>
                <w:szCs w:val="24"/>
                <w:color w:val="auto"/>
              </w:rPr>
            </w:pPr>
          </w:p>
        </w:tc>
        <w:tc>
          <w:tcPr>
            <w:tcW w:w="16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Security</w:t>
            </w:r>
          </w:p>
        </w:tc>
        <w:tc>
          <w:tcPr>
            <w:tcW w:w="20" w:type="dxa"/>
            <w:vAlign w:val="bottom"/>
          </w:tcPr>
          <w:p>
            <w:pPr>
              <w:spacing w:after="0"/>
              <w:rPr>
                <w:sz w:val="24"/>
                <w:szCs w:val="24"/>
                <w:color w:val="auto"/>
              </w:rPr>
            </w:pPr>
          </w:p>
        </w:tc>
        <w:tc>
          <w:tcPr>
            <w:tcW w:w="9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Security</w:t>
            </w:r>
          </w:p>
        </w:tc>
        <w:tc>
          <w:tcPr>
            <w:tcW w:w="40" w:type="dxa"/>
            <w:vAlign w:val="bottom"/>
          </w:tcPr>
          <w:p>
            <w:pPr>
              <w:spacing w:after="0"/>
              <w:rPr>
                <w:sz w:val="24"/>
                <w:szCs w:val="24"/>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Fee</w:t>
            </w:r>
          </w:p>
        </w:tc>
        <w:tc>
          <w:tcPr>
            <w:tcW w:w="20" w:type="dxa"/>
            <w:vAlign w:val="bottom"/>
          </w:tcPr>
          <w:p>
            <w:pPr>
              <w:spacing w:after="0"/>
              <w:rPr>
                <w:sz w:val="24"/>
                <w:szCs w:val="24"/>
                <w:color w:val="auto"/>
              </w:rPr>
            </w:pPr>
          </w:p>
        </w:tc>
        <w:tc>
          <w:tcPr>
            <w:tcW w:w="1140" w:type="dxa"/>
            <w:vAlign w:val="bottom"/>
            <w:shd w:val="clear" w:color="auto" w:fill="9ADAF6"/>
          </w:tcPr>
          <w:p>
            <w:pPr>
              <w:jc w:val="right"/>
              <w:ind w:right="53"/>
              <w:spacing w:after="0"/>
              <w:rPr>
                <w:sz w:val="20"/>
                <w:szCs w:val="20"/>
                <w:color w:val="auto"/>
              </w:rPr>
            </w:pPr>
            <w:r>
              <w:rPr>
                <w:rFonts w:ascii="Arial" w:cs="Arial" w:eastAsia="Arial" w:hAnsi="Arial"/>
                <w:sz w:val="21"/>
                <w:szCs w:val="21"/>
                <w:b w:val="1"/>
                <w:bCs w:val="1"/>
                <w:color w:val="auto"/>
              </w:rPr>
              <w:t>Amount</w:t>
            </w:r>
          </w:p>
        </w:tc>
        <w:tc>
          <w:tcPr>
            <w:tcW w:w="20" w:type="dxa"/>
            <w:vAlign w:val="bottom"/>
          </w:tcPr>
          <w:p>
            <w:pPr>
              <w:spacing w:after="0"/>
              <w:rPr>
                <w:sz w:val="24"/>
                <w:szCs w:val="24"/>
                <w:color w:val="auto"/>
              </w:rPr>
            </w:pPr>
          </w:p>
        </w:tc>
        <w:tc>
          <w:tcPr>
            <w:tcW w:w="13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Maximum</w:t>
            </w:r>
          </w:p>
        </w:tc>
        <w:tc>
          <w:tcPr>
            <w:tcW w:w="20" w:type="dxa"/>
            <w:vAlign w:val="bottom"/>
          </w:tcPr>
          <w:p>
            <w:pPr>
              <w:spacing w:after="0"/>
              <w:rPr>
                <w:sz w:val="24"/>
                <w:szCs w:val="24"/>
                <w:color w:val="auto"/>
              </w:rPr>
            </w:pPr>
          </w:p>
        </w:tc>
        <w:tc>
          <w:tcPr>
            <w:tcW w:w="152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Maximum</w:t>
            </w:r>
          </w:p>
        </w:tc>
        <w:tc>
          <w:tcPr>
            <w:tcW w:w="40" w:type="dxa"/>
            <w:vAlign w:val="bottom"/>
          </w:tcPr>
          <w:p>
            <w:pPr>
              <w:spacing w:after="0"/>
              <w:rPr>
                <w:sz w:val="24"/>
                <w:szCs w:val="24"/>
                <w:color w:val="auto"/>
              </w:rPr>
            </w:pPr>
          </w:p>
        </w:tc>
        <w:tc>
          <w:tcPr>
            <w:tcW w:w="10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50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Amount of</w:t>
            </w: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6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7"/>
              </w:rPr>
              <w:t>Type</w:t>
            </w:r>
          </w:p>
        </w:tc>
        <w:tc>
          <w:tcPr>
            <w:tcW w:w="20" w:type="dxa"/>
            <w:vAlign w:val="bottom"/>
          </w:tcPr>
          <w:p>
            <w:pPr>
              <w:spacing w:after="0"/>
              <w:rPr>
                <w:sz w:val="20"/>
                <w:szCs w:val="20"/>
                <w:color w:val="auto"/>
              </w:rPr>
            </w:pPr>
          </w:p>
        </w:tc>
        <w:tc>
          <w:tcPr>
            <w:tcW w:w="9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9"/>
              </w:rPr>
              <w:t>Class</w:t>
            </w:r>
          </w:p>
        </w:tc>
        <w:tc>
          <w:tcPr>
            <w:tcW w:w="4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Calculation</w:t>
            </w:r>
          </w:p>
        </w:tc>
        <w:tc>
          <w:tcPr>
            <w:tcW w:w="20" w:type="dxa"/>
            <w:vAlign w:val="bottom"/>
          </w:tcPr>
          <w:p>
            <w:pPr>
              <w:spacing w:after="0"/>
              <w:rPr>
                <w:sz w:val="20"/>
                <w:szCs w:val="20"/>
                <w:color w:val="auto"/>
              </w:rPr>
            </w:pPr>
          </w:p>
        </w:tc>
        <w:tc>
          <w:tcPr>
            <w:tcW w:w="1140" w:type="dxa"/>
            <w:vAlign w:val="bottom"/>
            <w:shd w:val="clear" w:color="auto" w:fill="9ADAF6"/>
          </w:tcPr>
          <w:p>
            <w:pPr>
              <w:jc w:val="right"/>
              <w:spacing w:after="0" w:line="240" w:lineRule="exact"/>
              <w:rPr>
                <w:sz w:val="20"/>
                <w:szCs w:val="20"/>
                <w:color w:val="auto"/>
              </w:rPr>
            </w:pPr>
            <w:r>
              <w:rPr>
                <w:rFonts w:ascii="Arial" w:cs="Arial" w:eastAsia="Arial" w:hAnsi="Arial"/>
                <w:sz w:val="21"/>
                <w:szCs w:val="21"/>
                <w:b w:val="1"/>
                <w:bCs w:val="1"/>
                <w:color w:val="auto"/>
              </w:rPr>
              <w:t>Registered</w:t>
            </w:r>
          </w:p>
        </w:tc>
        <w:tc>
          <w:tcPr>
            <w:tcW w:w="20" w:type="dxa"/>
            <w:vAlign w:val="bottom"/>
          </w:tcPr>
          <w:p>
            <w:pPr>
              <w:spacing w:after="0"/>
              <w:rPr>
                <w:sz w:val="20"/>
                <w:szCs w:val="20"/>
                <w:color w:val="auto"/>
              </w:rPr>
            </w:pPr>
          </w:p>
        </w:tc>
        <w:tc>
          <w:tcPr>
            <w:tcW w:w="13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Offering</w:t>
            </w:r>
          </w:p>
        </w:tc>
        <w:tc>
          <w:tcPr>
            <w:tcW w:w="20" w:type="dxa"/>
            <w:vAlign w:val="bottom"/>
          </w:tcPr>
          <w:p>
            <w:pPr>
              <w:spacing w:after="0"/>
              <w:rPr>
                <w:sz w:val="20"/>
                <w:szCs w:val="20"/>
                <w:color w:val="auto"/>
              </w:rPr>
            </w:pPr>
          </w:p>
        </w:tc>
        <w:tc>
          <w:tcPr>
            <w:tcW w:w="152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Aggregate</w:t>
            </w:r>
          </w:p>
        </w:tc>
        <w:tc>
          <w:tcPr>
            <w:tcW w:w="40" w:type="dxa"/>
            <w:vAlign w:val="bottom"/>
          </w:tcPr>
          <w:p>
            <w:pPr>
              <w:spacing w:after="0"/>
              <w:rPr>
                <w:sz w:val="20"/>
                <w:szCs w:val="20"/>
                <w:color w:val="auto"/>
              </w:rPr>
            </w:pPr>
          </w:p>
        </w:tc>
        <w:tc>
          <w:tcPr>
            <w:tcW w:w="104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Fee Rate</w:t>
            </w:r>
          </w:p>
        </w:tc>
        <w:tc>
          <w:tcPr>
            <w:tcW w:w="20" w:type="dxa"/>
            <w:vAlign w:val="bottom"/>
          </w:tcPr>
          <w:p>
            <w:pPr>
              <w:spacing w:after="0"/>
              <w:rPr>
                <w:sz w:val="20"/>
                <w:szCs w:val="20"/>
                <w:color w:val="auto"/>
              </w:rPr>
            </w:pPr>
          </w:p>
        </w:tc>
        <w:tc>
          <w:tcPr>
            <w:tcW w:w="150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Registration</w:t>
            </w: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45"/>
        </w:trPr>
        <w:tc>
          <w:tcPr>
            <w:tcW w:w="40" w:type="dxa"/>
            <w:vAlign w:val="bottom"/>
            <w:tcBorders>
              <w:left w:val="single" w:sz="8" w:color="auto"/>
            </w:tcBorders>
          </w:tcPr>
          <w:p>
            <w:pPr>
              <w:spacing w:after="0"/>
              <w:rPr>
                <w:sz w:val="12"/>
                <w:szCs w:val="12"/>
                <w:color w:val="auto"/>
              </w:rPr>
            </w:pPr>
          </w:p>
        </w:tc>
        <w:tc>
          <w:tcPr>
            <w:tcW w:w="16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Title</w:t>
            </w:r>
          </w:p>
        </w:tc>
        <w:tc>
          <w:tcPr>
            <w:tcW w:w="40" w:type="dxa"/>
            <w:vAlign w:val="bottom"/>
          </w:tcPr>
          <w:p>
            <w:pPr>
              <w:spacing w:after="0"/>
              <w:rPr>
                <w:sz w:val="12"/>
                <w:szCs w:val="12"/>
                <w:color w:val="auto"/>
              </w:rPr>
            </w:pPr>
          </w:p>
        </w:tc>
        <w:tc>
          <w:tcPr>
            <w:tcW w:w="118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Rule</w:t>
            </w:r>
          </w:p>
        </w:tc>
        <w:tc>
          <w:tcPr>
            <w:tcW w:w="20" w:type="dxa"/>
            <w:vAlign w:val="bottom"/>
          </w:tcPr>
          <w:p>
            <w:pPr>
              <w:spacing w:after="0"/>
              <w:rPr>
                <w:sz w:val="12"/>
                <w:szCs w:val="12"/>
                <w:color w:val="auto"/>
              </w:rPr>
            </w:pPr>
          </w:p>
        </w:tc>
        <w:tc>
          <w:tcPr>
            <w:tcW w:w="114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136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Price Per</w:t>
            </w:r>
          </w:p>
        </w:tc>
        <w:tc>
          <w:tcPr>
            <w:tcW w:w="20" w:type="dxa"/>
            <w:vAlign w:val="bottom"/>
          </w:tcPr>
          <w:p>
            <w:pPr>
              <w:spacing w:after="0"/>
              <w:rPr>
                <w:sz w:val="12"/>
                <w:szCs w:val="12"/>
                <w:color w:val="auto"/>
              </w:rPr>
            </w:pPr>
          </w:p>
        </w:tc>
        <w:tc>
          <w:tcPr>
            <w:tcW w:w="152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Offering Price</w:t>
            </w:r>
          </w:p>
        </w:tc>
        <w:tc>
          <w:tcPr>
            <w:tcW w:w="40" w:type="dxa"/>
            <w:vAlign w:val="bottom"/>
          </w:tcPr>
          <w:p>
            <w:pPr>
              <w:spacing w:after="0"/>
              <w:rPr>
                <w:sz w:val="12"/>
                <w:szCs w:val="12"/>
                <w:color w:val="auto"/>
              </w:rPr>
            </w:pPr>
          </w:p>
        </w:tc>
        <w:tc>
          <w:tcPr>
            <w:tcW w:w="104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150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Fee</w:t>
            </w:r>
          </w:p>
        </w:tc>
        <w:tc>
          <w:tcPr>
            <w:tcW w:w="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82"/>
        </w:trPr>
        <w:tc>
          <w:tcPr>
            <w:tcW w:w="40" w:type="dxa"/>
            <w:vAlign w:val="bottom"/>
            <w:tcBorders>
              <w:left w:val="single" w:sz="8" w:color="auto"/>
            </w:tcBorders>
          </w:tcPr>
          <w:p>
            <w:pPr>
              <w:spacing w:after="0"/>
              <w:rPr>
                <w:sz w:val="24"/>
                <w:szCs w:val="24"/>
                <w:color w:val="auto"/>
              </w:rPr>
            </w:pPr>
          </w:p>
        </w:tc>
        <w:tc>
          <w:tcPr>
            <w:tcW w:w="16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18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7"/>
              </w:rPr>
              <w:t>Unit</w:t>
            </w:r>
          </w:p>
        </w:tc>
        <w:tc>
          <w:tcPr>
            <w:tcW w:w="20" w:type="dxa"/>
            <w:vAlign w:val="bottom"/>
          </w:tcPr>
          <w:p>
            <w:pPr>
              <w:spacing w:after="0"/>
              <w:rPr>
                <w:sz w:val="24"/>
                <w:szCs w:val="24"/>
                <w:color w:val="auto"/>
              </w:rPr>
            </w:pPr>
          </w:p>
        </w:tc>
        <w:tc>
          <w:tcPr>
            <w:tcW w:w="152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500" w:type="dxa"/>
            <w:vAlign w:val="bottom"/>
            <w:shd w:val="clear" w:color="auto" w:fill="9ADAF6"/>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0" w:type="dxa"/>
            <w:vAlign w:val="bottom"/>
            <w:tcBorders>
              <w:left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4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7"/>
        </w:trPr>
        <w:tc>
          <w:tcPr>
            <w:tcW w:w="40" w:type="dxa"/>
            <w:vAlign w:val="bottom"/>
            <w:tcBorders>
              <w:left w:val="single" w:sz="8" w:color="auto"/>
            </w:tcBorders>
          </w:tcPr>
          <w:p>
            <w:pPr>
              <w:spacing w:after="0"/>
              <w:rPr>
                <w:sz w:val="19"/>
                <w:szCs w:val="19"/>
                <w:color w:val="auto"/>
              </w:rPr>
            </w:pPr>
          </w:p>
        </w:tc>
        <w:tc>
          <w:tcPr>
            <w:tcW w:w="1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E7E7E2"/>
          </w:tcPr>
          <w:p>
            <w:pPr>
              <w:ind w:left="20"/>
              <w:spacing w:after="0" w:line="227" w:lineRule="exact"/>
              <w:rPr>
                <w:sz w:val="20"/>
                <w:szCs w:val="20"/>
                <w:color w:val="auto"/>
              </w:rPr>
            </w:pPr>
            <w:r>
              <w:rPr>
                <w:rFonts w:ascii="Arial" w:cs="Arial" w:eastAsia="Arial" w:hAnsi="Arial"/>
                <w:sz w:val="21"/>
                <w:szCs w:val="21"/>
                <w:color w:val="auto"/>
              </w:rPr>
              <w:t>Common</w:t>
            </w:r>
          </w:p>
        </w:tc>
        <w:tc>
          <w:tcPr>
            <w:tcW w:w="40" w:type="dxa"/>
            <w:vAlign w:val="bottom"/>
          </w:tcPr>
          <w:p>
            <w:pPr>
              <w:spacing w:after="0"/>
              <w:rPr>
                <w:sz w:val="19"/>
                <w:szCs w:val="19"/>
                <w:color w:val="auto"/>
              </w:rPr>
            </w:pPr>
          </w:p>
        </w:tc>
        <w:tc>
          <w:tcPr>
            <w:tcW w:w="11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3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52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10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500" w:type="dxa"/>
            <w:vAlign w:val="bottom"/>
            <w:shd w:val="clear" w:color="auto" w:fill="E7E7E2"/>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ind w:left="20"/>
              <w:spacing w:after="0" w:line="240" w:lineRule="exact"/>
              <w:rPr>
                <w:sz w:val="20"/>
                <w:szCs w:val="20"/>
                <w:color w:val="auto"/>
              </w:rPr>
            </w:pPr>
            <w:r>
              <w:rPr>
                <w:rFonts w:ascii="Arial" w:cs="Arial" w:eastAsia="Arial" w:hAnsi="Arial"/>
                <w:sz w:val="21"/>
                <w:szCs w:val="21"/>
                <w:color w:val="auto"/>
              </w:rPr>
              <w:t>Stock,</w:t>
            </w:r>
          </w:p>
        </w:tc>
        <w:tc>
          <w:tcPr>
            <w:tcW w:w="40" w:type="dxa"/>
            <w:vAlign w:val="bottom"/>
          </w:tcPr>
          <w:p>
            <w:pPr>
              <w:spacing w:after="0"/>
              <w:rPr>
                <w:sz w:val="20"/>
                <w:szCs w:val="20"/>
                <w:color w:val="auto"/>
              </w:rPr>
            </w:pPr>
          </w:p>
        </w:tc>
        <w:tc>
          <w:tcPr>
            <w:tcW w:w="118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3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2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w:t>
            </w:r>
          </w:p>
        </w:tc>
        <w:tc>
          <w:tcPr>
            <w:tcW w:w="40" w:type="dxa"/>
            <w:vAlign w:val="bottom"/>
          </w:tcPr>
          <w:p>
            <w:pPr>
              <w:spacing w:after="0"/>
              <w:rPr>
                <w:sz w:val="20"/>
                <w:szCs w:val="20"/>
                <w:color w:val="auto"/>
              </w:rPr>
            </w:pPr>
          </w:p>
        </w:tc>
        <w:tc>
          <w:tcPr>
            <w:tcW w:w="10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00" w:type="dxa"/>
            <w:vAlign w:val="bottom"/>
            <w:shd w:val="clear" w:color="auto" w:fill="E7E7E2"/>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0"/>
        </w:trPr>
        <w:tc>
          <w:tcPr>
            <w:tcW w:w="40" w:type="dxa"/>
            <w:vAlign w:val="bottom"/>
            <w:tcBorders>
              <w:left w:val="single" w:sz="8" w:color="auto"/>
            </w:tcBorders>
          </w:tcPr>
          <w:p>
            <w:pPr>
              <w:spacing w:after="0"/>
              <w:rPr>
                <w:sz w:val="10"/>
                <w:szCs w:val="10"/>
                <w:color w:val="auto"/>
              </w:rPr>
            </w:pPr>
          </w:p>
        </w:tc>
        <w:tc>
          <w:tcPr>
            <w:tcW w:w="16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1</w:t>
            </w:r>
          </w:p>
        </w:tc>
        <w:tc>
          <w:tcPr>
            <w:tcW w:w="20" w:type="dxa"/>
            <w:vAlign w:val="bottom"/>
          </w:tcPr>
          <w:p>
            <w:pPr>
              <w:spacing w:after="0"/>
              <w:rPr>
                <w:sz w:val="10"/>
                <w:szCs w:val="10"/>
                <w:color w:val="auto"/>
              </w:rPr>
            </w:pPr>
          </w:p>
        </w:tc>
        <w:tc>
          <w:tcPr>
            <w:tcW w:w="960" w:type="dxa"/>
            <w:vAlign w:val="bottom"/>
            <w:vMerge w:val="restart"/>
            <w:shd w:val="clear" w:color="auto" w:fill="E7E7E2"/>
          </w:tcPr>
          <w:p>
            <w:pPr>
              <w:ind w:left="20"/>
              <w:spacing w:after="0"/>
              <w:rPr>
                <w:sz w:val="20"/>
                <w:szCs w:val="20"/>
                <w:color w:val="auto"/>
              </w:rPr>
            </w:pPr>
            <w:r>
              <w:rPr>
                <w:rFonts w:ascii="Arial" w:cs="Arial" w:eastAsia="Arial" w:hAnsi="Arial"/>
                <w:sz w:val="21"/>
                <w:szCs w:val="21"/>
                <w:color w:val="auto"/>
              </w:rPr>
              <w:t>Equity</w:t>
            </w:r>
          </w:p>
        </w:tc>
        <w:tc>
          <w:tcPr>
            <w:tcW w:w="20" w:type="dxa"/>
            <w:vAlign w:val="bottom"/>
          </w:tcPr>
          <w:p>
            <w:pPr>
              <w:spacing w:after="0"/>
              <w:rPr>
                <w:sz w:val="10"/>
                <w:szCs w:val="10"/>
                <w:color w:val="auto"/>
              </w:rPr>
            </w:pPr>
          </w:p>
        </w:tc>
        <w:tc>
          <w:tcPr>
            <w:tcW w:w="960" w:type="dxa"/>
            <w:vAlign w:val="bottom"/>
            <w:vMerge w:val="restart"/>
            <w:shd w:val="clear" w:color="auto" w:fill="E7E7E2"/>
          </w:tcPr>
          <w:p>
            <w:pPr>
              <w:ind w:left="20"/>
              <w:spacing w:after="0"/>
              <w:rPr>
                <w:sz w:val="20"/>
                <w:szCs w:val="20"/>
                <w:color w:val="auto"/>
              </w:rPr>
            </w:pPr>
            <w:r>
              <w:rPr>
                <w:rFonts w:ascii="Arial" w:cs="Arial" w:eastAsia="Arial" w:hAnsi="Arial"/>
                <w:sz w:val="21"/>
                <w:szCs w:val="21"/>
                <w:color w:val="auto"/>
              </w:rPr>
              <w:t>par value</w:t>
            </w:r>
          </w:p>
        </w:tc>
        <w:tc>
          <w:tcPr>
            <w:tcW w:w="40" w:type="dxa"/>
            <w:vAlign w:val="bottom"/>
          </w:tcPr>
          <w:p>
            <w:pPr>
              <w:spacing w:after="0"/>
              <w:rPr>
                <w:sz w:val="10"/>
                <w:szCs w:val="10"/>
                <w:color w:val="auto"/>
              </w:rPr>
            </w:pPr>
          </w:p>
        </w:tc>
        <w:tc>
          <w:tcPr>
            <w:tcW w:w="1180" w:type="dxa"/>
            <w:vAlign w:val="bottom"/>
            <w:vMerge w:val="restart"/>
            <w:shd w:val="clear" w:color="auto" w:fill="E7E7E2"/>
          </w:tcPr>
          <w:p>
            <w:pPr>
              <w:jc w:val="center"/>
              <w:spacing w:after="0"/>
              <w:rPr>
                <w:sz w:val="20"/>
                <w:szCs w:val="20"/>
                <w:color w:val="auto"/>
              </w:rPr>
            </w:pPr>
            <w:r>
              <w:rPr>
                <w:rFonts w:ascii="Arial" w:cs="Arial" w:eastAsia="Arial" w:hAnsi="Arial"/>
                <w:sz w:val="21"/>
                <w:szCs w:val="21"/>
                <w:color w:val="auto"/>
                <w:w w:val="98"/>
              </w:rPr>
              <w:t>Other</w:t>
            </w:r>
          </w:p>
        </w:tc>
        <w:tc>
          <w:tcPr>
            <w:tcW w:w="20" w:type="dxa"/>
            <w:vAlign w:val="bottom"/>
          </w:tcPr>
          <w:p>
            <w:pPr>
              <w:spacing w:after="0"/>
              <w:rPr>
                <w:sz w:val="10"/>
                <w:szCs w:val="10"/>
                <w:color w:val="auto"/>
              </w:rPr>
            </w:pPr>
          </w:p>
        </w:tc>
        <w:tc>
          <w:tcPr>
            <w:tcW w:w="114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3,400,000</w:t>
            </w:r>
          </w:p>
        </w:tc>
        <w:tc>
          <w:tcPr>
            <w:tcW w:w="20" w:type="dxa"/>
            <w:vAlign w:val="bottom"/>
          </w:tcPr>
          <w:p>
            <w:pPr>
              <w:spacing w:after="0"/>
              <w:rPr>
                <w:sz w:val="10"/>
                <w:szCs w:val="10"/>
                <w:color w:val="auto"/>
              </w:rPr>
            </w:pPr>
          </w:p>
        </w:tc>
        <w:tc>
          <w:tcPr>
            <w:tcW w:w="136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$ 5.825</w:t>
            </w:r>
          </w:p>
        </w:tc>
        <w:tc>
          <w:tcPr>
            <w:tcW w:w="20" w:type="dxa"/>
            <w:vAlign w:val="bottom"/>
          </w:tcPr>
          <w:p>
            <w:pPr>
              <w:spacing w:after="0"/>
              <w:rPr>
                <w:sz w:val="10"/>
                <w:szCs w:val="10"/>
                <w:color w:val="auto"/>
              </w:rPr>
            </w:pPr>
          </w:p>
        </w:tc>
        <w:tc>
          <w:tcPr>
            <w:tcW w:w="1520" w:type="dxa"/>
            <w:vAlign w:val="bottom"/>
            <w:vMerge w:val="continue"/>
            <w:shd w:val="clear" w:color="auto" w:fill="E7E7E2"/>
          </w:tcPr>
          <w:p>
            <w:pPr>
              <w:spacing w:after="0"/>
              <w:rPr>
                <w:sz w:val="10"/>
                <w:szCs w:val="10"/>
                <w:color w:val="auto"/>
              </w:rPr>
            </w:pPr>
          </w:p>
        </w:tc>
        <w:tc>
          <w:tcPr>
            <w:tcW w:w="40" w:type="dxa"/>
            <w:vAlign w:val="bottom"/>
          </w:tcPr>
          <w:p>
            <w:pPr>
              <w:spacing w:after="0"/>
              <w:rPr>
                <w:sz w:val="10"/>
                <w:szCs w:val="10"/>
                <w:color w:val="auto"/>
              </w:rPr>
            </w:pPr>
          </w:p>
        </w:tc>
        <w:tc>
          <w:tcPr>
            <w:tcW w:w="104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0.0001381</w:t>
            </w:r>
          </w:p>
        </w:tc>
        <w:tc>
          <w:tcPr>
            <w:tcW w:w="20" w:type="dxa"/>
            <w:vAlign w:val="bottom"/>
          </w:tcPr>
          <w:p>
            <w:pPr>
              <w:spacing w:after="0"/>
              <w:rPr>
                <w:sz w:val="10"/>
                <w:szCs w:val="10"/>
                <w:color w:val="auto"/>
              </w:rPr>
            </w:pPr>
          </w:p>
        </w:tc>
        <w:tc>
          <w:tcPr>
            <w:tcW w:w="150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$ 2,735.07</w:t>
            </w:r>
          </w:p>
        </w:tc>
        <w:tc>
          <w:tcPr>
            <w:tcW w:w="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3"/>
        </w:trPr>
        <w:tc>
          <w:tcPr>
            <w:tcW w:w="40" w:type="dxa"/>
            <w:vAlign w:val="bottom"/>
            <w:tcBorders>
              <w:left w:val="single" w:sz="8" w:color="auto"/>
            </w:tcBorders>
          </w:tcPr>
          <w:p>
            <w:pPr>
              <w:spacing w:after="0"/>
              <w:rPr>
                <w:sz w:val="18"/>
                <w:szCs w:val="18"/>
                <w:color w:val="auto"/>
              </w:rPr>
            </w:pPr>
          </w:p>
        </w:tc>
        <w:tc>
          <w:tcPr>
            <w:tcW w:w="160" w:type="dxa"/>
            <w:vAlign w:val="bottom"/>
            <w:vMerge w:val="continue"/>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vMerge w:val="continue"/>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vMerge w:val="continue"/>
            <w:shd w:val="clear" w:color="auto" w:fill="E7E7E2"/>
          </w:tcPr>
          <w:p>
            <w:pPr>
              <w:spacing w:after="0"/>
              <w:rPr>
                <w:sz w:val="18"/>
                <w:szCs w:val="18"/>
                <w:color w:val="auto"/>
              </w:rPr>
            </w:pPr>
          </w:p>
        </w:tc>
        <w:tc>
          <w:tcPr>
            <w:tcW w:w="40" w:type="dxa"/>
            <w:vAlign w:val="bottom"/>
          </w:tcPr>
          <w:p>
            <w:pPr>
              <w:spacing w:after="0"/>
              <w:rPr>
                <w:sz w:val="18"/>
                <w:szCs w:val="18"/>
                <w:color w:val="auto"/>
              </w:rPr>
            </w:pPr>
          </w:p>
        </w:tc>
        <w:tc>
          <w:tcPr>
            <w:tcW w:w="1180" w:type="dxa"/>
            <w:vAlign w:val="bottom"/>
            <w:vMerge w:val="continue"/>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vMerge w:val="continue"/>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360" w:type="dxa"/>
            <w:vAlign w:val="bottom"/>
            <w:vMerge w:val="continue"/>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520" w:type="dxa"/>
            <w:vAlign w:val="bottom"/>
            <w:shd w:val="clear" w:color="auto" w:fill="E7E7E2"/>
          </w:tcPr>
          <w:p>
            <w:pPr>
              <w:jc w:val="right"/>
              <w:spacing w:after="0" w:line="214" w:lineRule="exact"/>
              <w:rPr>
                <w:sz w:val="20"/>
                <w:szCs w:val="20"/>
                <w:color w:val="auto"/>
              </w:rPr>
            </w:pPr>
            <w:r>
              <w:rPr>
                <w:rFonts w:ascii="Arial" w:cs="Arial" w:eastAsia="Arial" w:hAnsi="Arial"/>
                <w:sz w:val="21"/>
                <w:szCs w:val="21"/>
                <w:color w:val="auto"/>
              </w:rPr>
              <w:t>19,805,000.00</w:t>
            </w:r>
          </w:p>
        </w:tc>
        <w:tc>
          <w:tcPr>
            <w:tcW w:w="40" w:type="dxa"/>
            <w:vAlign w:val="bottom"/>
          </w:tcPr>
          <w:p>
            <w:pPr>
              <w:spacing w:after="0"/>
              <w:rPr>
                <w:sz w:val="18"/>
                <w:szCs w:val="18"/>
                <w:color w:val="auto"/>
              </w:rPr>
            </w:pPr>
          </w:p>
        </w:tc>
        <w:tc>
          <w:tcPr>
            <w:tcW w:w="1040" w:type="dxa"/>
            <w:vAlign w:val="bottom"/>
            <w:vMerge w:val="continue"/>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500" w:type="dxa"/>
            <w:vAlign w:val="bottom"/>
            <w:vMerge w:val="continue"/>
            <w:shd w:val="clear" w:color="auto" w:fill="E7E7E2"/>
          </w:tcPr>
          <w:p>
            <w:pPr>
              <w:spacing w:after="0"/>
              <w:rPr>
                <w:sz w:val="18"/>
                <w:szCs w:val="18"/>
                <w:color w:val="auto"/>
              </w:rPr>
            </w:pPr>
          </w:p>
        </w:tc>
        <w:tc>
          <w:tcPr>
            <w:tcW w:w="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7"/>
        </w:trPr>
        <w:tc>
          <w:tcPr>
            <w:tcW w:w="40" w:type="dxa"/>
            <w:vAlign w:val="bottom"/>
            <w:tcBorders>
              <w:left w:val="single" w:sz="8" w:color="auto"/>
            </w:tcBorders>
          </w:tcPr>
          <w:p>
            <w:pPr>
              <w:spacing w:after="0"/>
              <w:rPr>
                <w:sz w:val="12"/>
                <w:szCs w:val="12"/>
                <w:color w:val="auto"/>
              </w:rPr>
            </w:pPr>
          </w:p>
        </w:tc>
        <w:tc>
          <w:tcPr>
            <w:tcW w:w="16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shd w:val="clear" w:color="auto" w:fill="E7E7E2"/>
          </w:tcPr>
          <w:p>
            <w:pPr>
              <w:ind w:left="20"/>
              <w:spacing w:after="0" w:line="147" w:lineRule="exact"/>
              <w:rPr>
                <w:sz w:val="20"/>
                <w:szCs w:val="20"/>
                <w:color w:val="auto"/>
              </w:rPr>
            </w:pPr>
            <w:r>
              <w:rPr>
                <w:rFonts w:ascii="Arial" w:cs="Arial" w:eastAsia="Arial" w:hAnsi="Arial"/>
                <w:sz w:val="17"/>
                <w:szCs w:val="17"/>
                <w:color w:val="auto"/>
              </w:rPr>
              <w:t>$0.0001</w:t>
            </w:r>
          </w:p>
        </w:tc>
        <w:tc>
          <w:tcPr>
            <w:tcW w:w="40" w:type="dxa"/>
            <w:vAlign w:val="bottom"/>
          </w:tcPr>
          <w:p>
            <w:pPr>
              <w:spacing w:after="0"/>
              <w:rPr>
                <w:sz w:val="12"/>
                <w:szCs w:val="12"/>
                <w:color w:val="auto"/>
              </w:rPr>
            </w:pPr>
          </w:p>
        </w:tc>
        <w:tc>
          <w:tcPr>
            <w:tcW w:w="118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114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136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1520" w:type="dxa"/>
            <w:vAlign w:val="bottom"/>
            <w:shd w:val="clear" w:color="auto" w:fill="E7E7E2"/>
          </w:tcPr>
          <w:p>
            <w:pPr>
              <w:spacing w:after="0"/>
              <w:rPr>
                <w:sz w:val="12"/>
                <w:szCs w:val="12"/>
                <w:color w:val="auto"/>
              </w:rPr>
            </w:pPr>
          </w:p>
        </w:tc>
        <w:tc>
          <w:tcPr>
            <w:tcW w:w="40" w:type="dxa"/>
            <w:vAlign w:val="bottom"/>
          </w:tcPr>
          <w:p>
            <w:pPr>
              <w:spacing w:after="0"/>
              <w:rPr>
                <w:sz w:val="12"/>
                <w:szCs w:val="12"/>
                <w:color w:val="auto"/>
              </w:rPr>
            </w:pPr>
          </w:p>
        </w:tc>
        <w:tc>
          <w:tcPr>
            <w:tcW w:w="104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1500" w:type="dxa"/>
            <w:vAlign w:val="bottom"/>
            <w:shd w:val="clear" w:color="auto" w:fill="E7E7E2"/>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80"/>
        </w:trPr>
        <w:tc>
          <w:tcPr>
            <w:tcW w:w="40" w:type="dxa"/>
            <w:vAlign w:val="bottom"/>
            <w:tcBorders>
              <w:left w:val="single" w:sz="8" w:color="auto"/>
            </w:tcBorders>
          </w:tcPr>
          <w:p>
            <w:pPr>
              <w:spacing w:after="0"/>
              <w:rPr>
                <w:sz w:val="24"/>
                <w:szCs w:val="24"/>
                <w:color w:val="auto"/>
              </w:rPr>
            </w:pPr>
          </w:p>
        </w:tc>
        <w:tc>
          <w:tcPr>
            <w:tcW w:w="16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shd w:val="clear" w:color="auto" w:fill="E7E7E2"/>
          </w:tcPr>
          <w:p>
            <w:pPr>
              <w:ind w:left="20"/>
              <w:spacing w:after="0"/>
              <w:rPr>
                <w:sz w:val="20"/>
                <w:szCs w:val="20"/>
                <w:color w:val="auto"/>
              </w:rPr>
            </w:pPr>
            <w:r>
              <w:rPr>
                <w:rFonts w:ascii="Arial" w:cs="Arial" w:eastAsia="Arial" w:hAnsi="Arial"/>
                <w:sz w:val="21"/>
                <w:szCs w:val="21"/>
                <w:color w:val="auto"/>
              </w:rPr>
              <w:t>per share</w:t>
            </w:r>
          </w:p>
        </w:tc>
        <w:tc>
          <w:tcPr>
            <w:tcW w:w="40" w:type="dxa"/>
            <w:vAlign w:val="bottom"/>
          </w:tcPr>
          <w:p>
            <w:pPr>
              <w:spacing w:after="0"/>
              <w:rPr>
                <w:sz w:val="24"/>
                <w:szCs w:val="24"/>
                <w:color w:val="auto"/>
              </w:rPr>
            </w:pPr>
          </w:p>
        </w:tc>
        <w:tc>
          <w:tcPr>
            <w:tcW w:w="118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520" w:type="dxa"/>
            <w:vAlign w:val="bottom"/>
            <w:shd w:val="clear" w:color="auto" w:fill="E7E7E2"/>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500" w:type="dxa"/>
            <w:vAlign w:val="bottom"/>
            <w:shd w:val="clear" w:color="auto" w:fill="E7E7E2"/>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40" w:type="dxa"/>
            <w:vAlign w:val="bottom"/>
            <w:tcBorders>
              <w:left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340" w:type="dxa"/>
            <w:vAlign w:val="bottom"/>
            <w:gridSpan w:val="3"/>
          </w:tcPr>
          <w:p>
            <w:pPr>
              <w:jc w:val="right"/>
              <w:spacing w:after="0"/>
              <w:rPr>
                <w:sz w:val="20"/>
                <w:szCs w:val="20"/>
                <w:color w:val="auto"/>
              </w:rPr>
            </w:pPr>
            <w:r>
              <w:rPr>
                <w:rFonts w:ascii="Arial" w:cs="Arial" w:eastAsia="Arial" w:hAnsi="Arial"/>
                <w:sz w:val="21"/>
                <w:szCs w:val="21"/>
                <w:color w:val="auto"/>
              </w:rPr>
              <w:t>Total Offering Amounts:</w:t>
            </w:r>
          </w:p>
        </w:tc>
        <w:tc>
          <w:tcPr>
            <w:tcW w:w="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540" w:type="dxa"/>
            <w:vAlign w:val="bottom"/>
            <w:gridSpan w:val="2"/>
          </w:tcPr>
          <w:p>
            <w:pPr>
              <w:jc w:val="right"/>
              <w:spacing w:after="0"/>
              <w:rPr>
                <w:sz w:val="20"/>
                <w:szCs w:val="20"/>
                <w:color w:val="auto"/>
              </w:rPr>
            </w:pPr>
            <w:r>
              <w:rPr>
                <w:rFonts w:ascii="Arial" w:cs="Arial" w:eastAsia="Arial" w:hAnsi="Arial"/>
                <w:sz w:val="21"/>
                <w:szCs w:val="21"/>
                <w:color w:val="auto"/>
              </w:rPr>
              <w:t>$</w:t>
            </w:r>
          </w:p>
        </w:tc>
        <w:tc>
          <w:tcPr>
            <w:tcW w:w="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520" w:type="dxa"/>
            <w:vAlign w:val="bottom"/>
            <w:gridSpan w:val="2"/>
          </w:tcPr>
          <w:p>
            <w:pPr>
              <w:jc w:val="right"/>
              <w:spacing w:after="0"/>
              <w:rPr>
                <w:sz w:val="20"/>
                <w:szCs w:val="20"/>
                <w:color w:val="auto"/>
              </w:rPr>
            </w:pPr>
            <w:r>
              <w:rPr>
                <w:rFonts w:ascii="Arial" w:cs="Arial" w:eastAsia="Arial" w:hAnsi="Arial"/>
                <w:sz w:val="21"/>
                <w:szCs w:val="21"/>
                <w:color w:val="auto"/>
              </w:rPr>
              <w:t>$ 2,735.07</w:t>
            </w:r>
          </w:p>
        </w:tc>
        <w:tc>
          <w:tcPr>
            <w:tcW w:w="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81"/>
        </w:trPr>
        <w:tc>
          <w:tcPr>
            <w:tcW w:w="40" w:type="dxa"/>
            <w:vAlign w:val="bottom"/>
            <w:tcBorders>
              <w:lef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540" w:type="dxa"/>
            <w:vAlign w:val="bottom"/>
            <w:gridSpan w:val="2"/>
          </w:tcPr>
          <w:p>
            <w:pPr>
              <w:jc w:val="right"/>
              <w:spacing w:after="0"/>
              <w:rPr>
                <w:sz w:val="20"/>
                <w:szCs w:val="20"/>
                <w:color w:val="auto"/>
              </w:rPr>
            </w:pPr>
            <w:r>
              <w:rPr>
                <w:rFonts w:ascii="Arial" w:cs="Arial" w:eastAsia="Arial" w:hAnsi="Arial"/>
                <w:sz w:val="21"/>
                <w:szCs w:val="21"/>
                <w:color w:val="auto"/>
              </w:rPr>
              <w:t>19,805,000.00</w:t>
            </w:r>
          </w:p>
        </w:tc>
        <w:tc>
          <w:tcPr>
            <w:tcW w:w="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40" w:type="dxa"/>
            <w:vAlign w:val="bottom"/>
            <w:tcBorders>
              <w:lef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340" w:type="dxa"/>
            <w:vAlign w:val="bottom"/>
            <w:gridSpan w:val="3"/>
          </w:tcPr>
          <w:p>
            <w:pPr>
              <w:jc w:val="right"/>
              <w:spacing w:after="0"/>
              <w:rPr>
                <w:sz w:val="20"/>
                <w:szCs w:val="20"/>
                <w:color w:val="auto"/>
              </w:rPr>
            </w:pPr>
            <w:r>
              <w:rPr>
                <w:rFonts w:ascii="Arial" w:cs="Arial" w:eastAsia="Arial" w:hAnsi="Arial"/>
                <w:sz w:val="21"/>
                <w:szCs w:val="21"/>
                <w:color w:val="auto"/>
              </w:rPr>
              <w:t>Total Fee Offsets:</w:t>
            </w:r>
          </w:p>
        </w:tc>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520" w:type="dxa"/>
            <w:vAlign w:val="bottom"/>
            <w:gridSpan w:val="2"/>
          </w:tcPr>
          <w:p>
            <w:pPr>
              <w:jc w:val="right"/>
              <w:spacing w:after="0"/>
              <w:rPr>
                <w:sz w:val="20"/>
                <w:szCs w:val="20"/>
                <w:color w:val="auto"/>
              </w:rPr>
            </w:pPr>
            <w:r>
              <w:rPr>
                <w:rFonts w:ascii="Arial" w:cs="Arial" w:eastAsia="Arial" w:hAnsi="Arial"/>
                <w:sz w:val="21"/>
                <w:szCs w:val="21"/>
                <w:color w:val="auto"/>
              </w:rPr>
              <w:t>$ 0.00</w:t>
            </w: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40" w:type="dxa"/>
            <w:vAlign w:val="bottom"/>
            <w:tcBorders>
              <w:lef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340" w:type="dxa"/>
            <w:vAlign w:val="bottom"/>
            <w:gridSpan w:val="3"/>
          </w:tcPr>
          <w:p>
            <w:pPr>
              <w:jc w:val="right"/>
              <w:spacing w:after="0"/>
              <w:rPr>
                <w:sz w:val="20"/>
                <w:szCs w:val="20"/>
                <w:color w:val="auto"/>
              </w:rPr>
            </w:pPr>
            <w:r>
              <w:rPr>
                <w:rFonts w:ascii="Arial" w:cs="Arial" w:eastAsia="Arial" w:hAnsi="Arial"/>
                <w:sz w:val="21"/>
                <w:szCs w:val="21"/>
                <w:color w:val="auto"/>
              </w:rPr>
              <w:t>Net Fee Due:</w:t>
            </w:r>
          </w:p>
        </w:tc>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520" w:type="dxa"/>
            <w:vAlign w:val="bottom"/>
            <w:gridSpan w:val="2"/>
          </w:tcPr>
          <w:p>
            <w:pPr>
              <w:jc w:val="right"/>
              <w:spacing w:after="0"/>
              <w:rPr>
                <w:sz w:val="20"/>
                <w:szCs w:val="20"/>
                <w:color w:val="auto"/>
              </w:rPr>
            </w:pPr>
            <w:r>
              <w:rPr>
                <w:rFonts w:ascii="Arial" w:cs="Arial" w:eastAsia="Arial" w:hAnsi="Arial"/>
                <w:sz w:val="21"/>
                <w:szCs w:val="21"/>
                <w:color w:val="auto"/>
              </w:rPr>
              <w:t>$ 2,735.07</w:t>
            </w: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40" w:type="dxa"/>
            <w:vAlign w:val="bottom"/>
            <w:tcBorders>
              <w:left w:val="single" w:sz="8" w:color="auto"/>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6" w:lineRule="exact"/>
        <w:rPr>
          <w:sz w:val="20"/>
          <w:szCs w:val="20"/>
          <w:color w:val="auto"/>
        </w:rPr>
      </w:pPr>
    </w:p>
    <w:p>
      <w:pPr>
        <w:ind w:left="580"/>
        <w:spacing w:after="0"/>
        <w:rPr>
          <w:sz w:val="20"/>
          <w:szCs w:val="20"/>
          <w:color w:val="auto"/>
        </w:rPr>
      </w:pPr>
      <w:r>
        <w:rPr>
          <w:rFonts w:ascii="Arial" w:cs="Arial" w:eastAsia="Arial" w:hAnsi="Arial"/>
          <w:sz w:val="21"/>
          <w:szCs w:val="21"/>
          <w:b w:val="1"/>
          <w:bCs w:val="1"/>
          <w:color w:val="auto"/>
        </w:rPr>
        <w:t>Offering Note</w:t>
      </w:r>
    </w:p>
    <w:p>
      <w:pPr>
        <w:spacing w:after="0" w:line="162" w:lineRule="exact"/>
        <w:rPr>
          <w:sz w:val="20"/>
          <w:szCs w:val="20"/>
          <w:color w:val="auto"/>
        </w:rPr>
      </w:pPr>
    </w:p>
    <w:p>
      <w:pPr>
        <w:ind w:left="580"/>
        <w:spacing w:after="0"/>
        <w:rPr>
          <w:sz w:val="20"/>
          <w:szCs w:val="20"/>
          <w:color w:val="auto"/>
        </w:rPr>
      </w:pPr>
      <w:r>
        <w:rPr>
          <w:rFonts w:ascii="Arial" w:cs="Arial" w:eastAsia="Arial" w:hAnsi="Arial"/>
          <w:sz w:val="13"/>
          <w:szCs w:val="13"/>
          <w:color w:val="auto"/>
        </w:rPr>
        <w:t>1</w:t>
      </w:r>
    </w:p>
    <w:p>
      <w:pPr>
        <w:spacing w:after="0" w:line="77" w:lineRule="exact"/>
        <w:rPr>
          <w:sz w:val="20"/>
          <w:szCs w:val="20"/>
          <w:color w:val="auto"/>
        </w:rPr>
      </w:pPr>
    </w:p>
    <w:p>
      <w:pPr>
        <w:ind w:left="800" w:right="640"/>
        <w:spacing w:after="0" w:line="245" w:lineRule="auto"/>
        <w:rPr>
          <w:sz w:val="20"/>
          <w:szCs w:val="20"/>
          <w:color w:val="auto"/>
        </w:rPr>
      </w:pPr>
      <w:r>
        <w:rPr>
          <w:rFonts w:ascii="Arial" w:cs="Arial" w:eastAsia="Arial" w:hAnsi="Arial"/>
          <w:sz w:val="21"/>
          <w:szCs w:val="21"/>
          <w:color w:val="auto"/>
        </w:rPr>
        <w:t>1(a). Pursuant to Rule 416(a) promulgated under the Securities Act of 1933, as amended, (the "Securities Act"), this Registration Statement shall also cover any additional shares of Latham Group, Inc. (the "Registrant") common stock that become issuable under the Registrant's 2021 Omnibus Equity Incentive Plan, as amended, set forth herein by reason of any stock dividend, stock split, reclassification, recapitalization, spin-off or other similar transaction effected without receipt of consideration that increases the number of outstanding shares of Registrant's common stock, as applicable.</w:t>
      </w:r>
    </w:p>
    <w:p>
      <w:pPr>
        <w:spacing w:after="0" w:line="200" w:lineRule="exact"/>
        <w:rPr>
          <w:sz w:val="20"/>
          <w:szCs w:val="20"/>
          <w:color w:val="auto"/>
        </w:rPr>
      </w:pPr>
    </w:p>
    <w:p>
      <w:pPr>
        <w:spacing w:after="0" w:line="245" w:lineRule="exact"/>
        <w:rPr>
          <w:sz w:val="20"/>
          <w:szCs w:val="20"/>
          <w:color w:val="auto"/>
        </w:rPr>
      </w:pPr>
    </w:p>
    <w:p>
      <w:pPr>
        <w:ind w:left="800" w:right="760"/>
        <w:spacing w:after="0" w:line="252" w:lineRule="auto"/>
        <w:rPr>
          <w:sz w:val="20"/>
          <w:szCs w:val="20"/>
          <w:color w:val="auto"/>
        </w:rPr>
      </w:pPr>
      <w:r>
        <w:rPr>
          <w:rFonts w:ascii="Arial" w:cs="Arial" w:eastAsia="Arial" w:hAnsi="Arial"/>
          <w:sz w:val="21"/>
          <w:szCs w:val="21"/>
          <w:color w:val="auto"/>
        </w:rPr>
        <w:t>1(b). Estimated solely for the purpose of calculating the amount of the registration fee pursuant to Rule 457(c) and Rule 457(h) under the Securities Act. The offering price per unit and aggregate offering price are based on the average of the high and low prices of the Registrant's common stock as reported on the Nasdaq Global Select Market on April 29,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72390</wp:posOffset>
            </wp:positionV>
            <wp:extent cx="638746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5">
                      <a:extLst>
                        <a:ext uri="{28A0092B-C50C-407E-A947-70E740481C1C}"/>
                      </a:extLst>
                    </a:blip>
                    <a:srcRect/>
                    <a:stretch>
                      <a:fillRect/>
                    </a:stretch>
                  </pic:blipFill>
                  <pic:spPr bwMode="auto">
                    <a:xfrm>
                      <a:off x="0" y="0"/>
                      <a:ext cx="6387465" cy="42545"/>
                    </a:xfrm>
                    <a:prstGeom prst="rect">
                      <a:avLst/>
                    </a:prstGeom>
                    <a:noFill/>
                  </pic:spPr>
                </pic:pic>
              </a:graphicData>
            </a:graphic>
          </wp:anchor>
        </w:drawing>
      </w:r>
    </w:p>
    <w:p>
      <w:pPr>
        <w:spacing w:after="0" w:line="200" w:lineRule="exact"/>
        <w:rPr>
          <w:sz w:val="20"/>
          <w:szCs w:val="20"/>
          <w:color w:val="auto"/>
        </w:rPr>
      </w:pPr>
    </w:p>
    <w:p>
      <w:pPr>
        <w:spacing w:after="0" w:line="333" w:lineRule="exact"/>
        <w:rPr>
          <w:sz w:val="20"/>
          <w:szCs w:val="20"/>
          <w:color w:val="auto"/>
        </w:rPr>
      </w:pPr>
    </w:p>
    <w:p>
      <w:pPr>
        <w:spacing w:after="0" w:line="242" w:lineRule="exact"/>
        <w:tabs>
          <w:tab w:leader="none" w:pos="9460" w:val="left"/>
        </w:tabs>
        <w:rPr>
          <w:sz w:val="20"/>
          <w:szCs w:val="20"/>
          <w:color w:val="auto"/>
        </w:rPr>
      </w:pPr>
      <w:r>
        <w:rPr>
          <w:rFonts w:ascii="Arial" w:cs="Arial" w:eastAsia="Arial" w:hAnsi="Arial"/>
          <w:sz w:val="21"/>
          <w:szCs w:val="21"/>
          <w:b w:val="1"/>
          <w:bCs w:val="1"/>
          <w:color w:val="auto"/>
        </w:rPr>
        <w:t>Table 2: Fee Offset Claims and Sources</w:t>
      </w:r>
      <w:r>
        <w:rPr>
          <w:sz w:val="20"/>
          <w:szCs w:val="20"/>
          <w:color w:val="auto"/>
        </w:rPr>
        <w:tab/>
      </w:r>
      <w:r>
        <w:rPr>
          <w:rFonts w:ascii="MS PGothic" w:cs="MS PGothic" w:eastAsia="MS PGothic" w:hAnsi="MS PGothic"/>
          <w:sz w:val="20"/>
          <w:szCs w:val="20"/>
          <w:color w:val="auto"/>
          <w:highlight w:val="black"/>
        </w:rPr>
        <w:t>☑</w:t>
      </w:r>
      <w:r>
        <w:rPr>
          <w:rFonts w:ascii="Arial" w:cs="Arial" w:eastAsia="Arial" w:hAnsi="Arial"/>
          <w:sz w:val="20"/>
          <w:szCs w:val="20"/>
          <w:b w:val="1"/>
          <w:bCs w:val="1"/>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70485</wp:posOffset>
            </wp:positionV>
            <wp:extent cx="7198360" cy="24644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6">
                      <a:extLst>
                        <a:ext uri="{28A0092B-C50C-407E-A947-70E740481C1C}"/>
                      </a:extLst>
                    </a:blip>
                    <a:srcRect/>
                    <a:stretch>
                      <a:fillRect/>
                    </a:stretch>
                  </pic:blipFill>
                  <pic:spPr bwMode="auto">
                    <a:xfrm>
                      <a:off x="0" y="0"/>
                      <a:ext cx="7198360" cy="2464435"/>
                    </a:xfrm>
                    <a:prstGeom prst="rect">
                      <a:avLst/>
                    </a:prstGeom>
                    <a:noFill/>
                  </pic:spPr>
                </pic:pic>
              </a:graphicData>
            </a:graphic>
          </wp:anchor>
        </w:drawing>
      </w:r>
    </w:p>
    <w:p>
      <w:pPr>
        <w:sectPr>
          <w:pgSz w:w="11900" w:h="16838" w:orient="portrait"/>
          <w:cols w:equalWidth="0" w:num="1">
            <w:col w:w="11240"/>
          </w:cols>
          <w:pgMar w:left="360" w:top="142" w:right="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left="920"/>
        <w:spacing w:after="0" w:line="265" w:lineRule="auto"/>
        <w:rPr>
          <w:sz w:val="20"/>
          <w:szCs w:val="20"/>
          <w:color w:val="auto"/>
        </w:rPr>
      </w:pPr>
      <w:r>
        <w:rPr>
          <w:rFonts w:ascii="Arial" w:cs="Arial" w:eastAsia="Arial" w:hAnsi="Arial"/>
          <w:sz w:val="21"/>
          <w:szCs w:val="21"/>
          <w:b w:val="1"/>
          <w:bCs w:val="1"/>
          <w:color w:val="auto"/>
        </w:rPr>
        <w:t>Registrant or Filer Name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0"/>
        <w:spacing w:after="0"/>
        <w:rPr>
          <w:sz w:val="20"/>
          <w:szCs w:val="20"/>
          <w:color w:val="auto"/>
        </w:rPr>
      </w:pPr>
      <w:r>
        <w:rPr>
          <w:rFonts w:ascii="Arial" w:cs="Arial" w:eastAsia="Arial" w:hAnsi="Arial"/>
          <w:sz w:val="21"/>
          <w:szCs w:val="21"/>
          <w:color w:val="auto"/>
        </w:rPr>
        <w:t>Fee</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21"/>
          <w:szCs w:val="21"/>
          <w:color w:val="auto"/>
        </w:rPr>
        <w:t>Offset</w:t>
      </w:r>
    </w:p>
    <w:p>
      <w:pPr>
        <w:ind w:left="20"/>
        <w:spacing w:after="0"/>
        <w:rPr>
          <w:sz w:val="20"/>
          <w:szCs w:val="20"/>
          <w:color w:val="auto"/>
        </w:rPr>
      </w:pPr>
      <w:r>
        <w:rPr>
          <w:rFonts w:ascii="Arial" w:cs="Arial" w:eastAsia="Arial" w:hAnsi="Arial"/>
          <w:sz w:val="21"/>
          <w:szCs w:val="21"/>
          <w:color w:val="auto"/>
        </w:rPr>
        <w:t>Claims</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21"/>
          <w:szCs w:val="21"/>
          <w:color w:val="auto"/>
        </w:rPr>
        <w:t>Fee</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21"/>
          <w:szCs w:val="21"/>
          <w:color w:val="auto"/>
        </w:rPr>
        <w:t>Offset</w:t>
      </w:r>
    </w:p>
    <w:p>
      <w:pPr>
        <w:ind w:left="20"/>
        <w:spacing w:after="0"/>
        <w:rPr>
          <w:sz w:val="20"/>
          <w:szCs w:val="20"/>
          <w:color w:val="auto"/>
        </w:rPr>
      </w:pPr>
      <w:r>
        <w:rPr>
          <w:rFonts w:ascii="Arial" w:cs="Arial" w:eastAsia="Arial" w:hAnsi="Arial"/>
          <w:sz w:val="21"/>
          <w:szCs w:val="21"/>
          <w:color w:val="auto"/>
        </w:rPr>
        <w:t>Sources</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706"/>
        </w:trPr>
        <w:tc>
          <w:tcPr>
            <w:tcW w:w="60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Form</w:t>
            </w:r>
          </w:p>
        </w:tc>
        <w:tc>
          <w:tcPr>
            <w:tcW w:w="40" w:type="dxa"/>
            <w:vAlign w:val="bottom"/>
          </w:tcPr>
          <w:p>
            <w:pPr>
              <w:spacing w:after="0"/>
              <w:rPr>
                <w:sz w:val="24"/>
                <w:szCs w:val="24"/>
                <w:color w:val="auto"/>
              </w:rPr>
            </w:pPr>
          </w:p>
        </w:tc>
        <w:tc>
          <w:tcPr>
            <w:tcW w:w="8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Initial</w:t>
            </w: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60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or</w:t>
            </w:r>
          </w:p>
        </w:tc>
        <w:tc>
          <w:tcPr>
            <w:tcW w:w="40" w:type="dxa"/>
            <w:vAlign w:val="bottom"/>
          </w:tcPr>
          <w:p>
            <w:pPr>
              <w:spacing w:after="0"/>
              <w:rPr>
                <w:sz w:val="10"/>
                <w:szCs w:val="10"/>
                <w:color w:val="auto"/>
              </w:rPr>
            </w:pPr>
          </w:p>
        </w:tc>
        <w:tc>
          <w:tcPr>
            <w:tcW w:w="84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File</w:t>
            </w:r>
          </w:p>
        </w:tc>
        <w:tc>
          <w:tcPr>
            <w:tcW w:w="20" w:type="dxa"/>
            <w:vAlign w:val="bottom"/>
          </w:tcPr>
          <w:p>
            <w:pPr>
              <w:spacing w:after="0"/>
              <w:rPr>
                <w:sz w:val="10"/>
                <w:szCs w:val="10"/>
                <w:color w:val="auto"/>
              </w:rPr>
            </w:pPr>
          </w:p>
        </w:tc>
        <w:tc>
          <w:tcPr>
            <w:tcW w:w="600" w:type="dxa"/>
            <w:vAlign w:val="bottom"/>
            <w:vMerge w:val="continue"/>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Filing</w:t>
            </w:r>
          </w:p>
        </w:tc>
        <w:tc>
          <w:tcPr>
            <w:tcW w:w="0" w:type="dxa"/>
            <w:vAlign w:val="bottom"/>
          </w:tcPr>
          <w:p>
            <w:pPr>
              <w:spacing w:after="0"/>
              <w:rPr>
                <w:sz w:val="1"/>
                <w:szCs w:val="1"/>
                <w:color w:val="auto"/>
              </w:rPr>
            </w:pPr>
          </w:p>
        </w:tc>
      </w:tr>
      <w:tr>
        <w:trPr>
          <w:trHeight w:val="215"/>
        </w:trPr>
        <w:tc>
          <w:tcPr>
            <w:tcW w:w="600" w:type="dxa"/>
            <w:vAlign w:val="bottom"/>
            <w:vMerge w:val="continue"/>
            <w:shd w:val="clear" w:color="auto" w:fill="9ADAF6"/>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vMerge w:val="continue"/>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shd w:val="clear" w:color="auto" w:fill="9ADAF6"/>
          </w:tcPr>
          <w:p>
            <w:pPr>
              <w:jc w:val="center"/>
              <w:spacing w:after="0" w:line="216" w:lineRule="exact"/>
              <w:rPr>
                <w:sz w:val="20"/>
                <w:szCs w:val="20"/>
                <w:color w:val="auto"/>
              </w:rPr>
            </w:pPr>
            <w:r>
              <w:rPr>
                <w:rFonts w:ascii="Arial" w:cs="Arial" w:eastAsia="Arial" w:hAnsi="Arial"/>
                <w:sz w:val="21"/>
                <w:szCs w:val="21"/>
                <w:b w:val="1"/>
                <w:bCs w:val="1"/>
                <w:color w:val="auto"/>
                <w:w w:val="99"/>
              </w:rPr>
              <w:t>Filing</w:t>
            </w:r>
          </w:p>
        </w:tc>
        <w:tc>
          <w:tcPr>
            <w:tcW w:w="20" w:type="dxa"/>
            <w:vAlign w:val="bottom"/>
          </w:tcPr>
          <w:p>
            <w:pPr>
              <w:spacing w:after="0"/>
              <w:rPr>
                <w:sz w:val="18"/>
                <w:szCs w:val="18"/>
                <w:color w:val="auto"/>
              </w:rPr>
            </w:pPr>
          </w:p>
        </w:tc>
        <w:tc>
          <w:tcPr>
            <w:tcW w:w="600" w:type="dxa"/>
            <w:vAlign w:val="bottom"/>
            <w:vMerge w:val="continue"/>
            <w:shd w:val="clear" w:color="auto" w:fill="9ADAF6"/>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60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9"/>
              </w:rPr>
              <w:t>Filing</w:t>
            </w:r>
          </w:p>
        </w:tc>
        <w:tc>
          <w:tcPr>
            <w:tcW w:w="40" w:type="dxa"/>
            <w:vAlign w:val="bottom"/>
          </w:tcPr>
          <w:p>
            <w:pPr>
              <w:spacing w:after="0"/>
              <w:rPr>
                <w:sz w:val="20"/>
                <w:szCs w:val="20"/>
                <w:color w:val="auto"/>
              </w:rPr>
            </w:pPr>
          </w:p>
        </w:tc>
        <w:tc>
          <w:tcPr>
            <w:tcW w:w="84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Number</w:t>
            </w:r>
          </w:p>
        </w:tc>
        <w:tc>
          <w:tcPr>
            <w:tcW w:w="20" w:type="dxa"/>
            <w:vAlign w:val="bottom"/>
          </w:tcPr>
          <w:p>
            <w:pPr>
              <w:spacing w:after="0"/>
              <w:rPr>
                <w:sz w:val="20"/>
                <w:szCs w:val="20"/>
                <w:color w:val="auto"/>
              </w:rPr>
            </w:pPr>
          </w:p>
        </w:tc>
        <w:tc>
          <w:tcPr>
            <w:tcW w:w="60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Date</w:t>
            </w:r>
          </w:p>
        </w:tc>
        <w:tc>
          <w:tcPr>
            <w:tcW w:w="20" w:type="dxa"/>
            <w:vAlign w:val="bottom"/>
          </w:tcPr>
          <w:p>
            <w:pPr>
              <w:spacing w:after="0"/>
              <w:rPr>
                <w:sz w:val="20"/>
                <w:szCs w:val="20"/>
                <w:color w:val="auto"/>
              </w:rPr>
            </w:pPr>
          </w:p>
        </w:tc>
        <w:tc>
          <w:tcPr>
            <w:tcW w:w="60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Date</w:t>
            </w:r>
          </w:p>
        </w:tc>
        <w:tc>
          <w:tcPr>
            <w:tcW w:w="0" w:type="dxa"/>
            <w:vAlign w:val="bottom"/>
          </w:tcPr>
          <w:p>
            <w:pPr>
              <w:spacing w:after="0"/>
              <w:rPr>
                <w:sz w:val="1"/>
                <w:szCs w:val="1"/>
                <w:color w:val="auto"/>
              </w:rPr>
            </w:pPr>
          </w:p>
        </w:tc>
      </w:tr>
      <w:tr>
        <w:trPr>
          <w:trHeight w:val="295"/>
        </w:trPr>
        <w:tc>
          <w:tcPr>
            <w:tcW w:w="60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7"/>
              </w:rPr>
              <w:t>Type</w:t>
            </w:r>
          </w:p>
        </w:tc>
        <w:tc>
          <w:tcPr>
            <w:tcW w:w="40" w:type="dxa"/>
            <w:vAlign w:val="bottom"/>
          </w:tcPr>
          <w:p>
            <w:pPr>
              <w:spacing w:after="0"/>
              <w:rPr>
                <w:sz w:val="24"/>
                <w:szCs w:val="24"/>
                <w:color w:val="auto"/>
              </w:rPr>
            </w:pPr>
          </w:p>
        </w:tc>
        <w:tc>
          <w:tcPr>
            <w:tcW w:w="8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60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8"/>
        </w:trPr>
        <w:tc>
          <w:tcPr>
            <w:tcW w:w="600" w:type="dxa"/>
            <w:vAlign w:val="bottom"/>
            <w:shd w:val="clear" w:color="auto" w:fill="E7E7E2"/>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E7E7E2"/>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748"/>
        </w:trPr>
        <w:tc>
          <w:tcPr>
            <w:tcW w:w="600" w:type="dxa"/>
            <w:vAlign w:val="bottom"/>
            <w:shd w:val="clear" w:color="auto" w:fill="E7E7E2"/>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E7E7E2"/>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1"/>
        </w:trPr>
        <w:tc>
          <w:tcPr>
            <w:tcW w:w="86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16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16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18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Unsold</w:t>
            </w:r>
          </w:p>
        </w:tc>
        <w:tc>
          <w:tcPr>
            <w:tcW w:w="20" w:type="dxa"/>
            <w:vAlign w:val="bottom"/>
          </w:tcPr>
          <w:p>
            <w:pPr>
              <w:spacing w:after="0"/>
              <w:rPr>
                <w:sz w:val="20"/>
                <w:szCs w:val="20"/>
                <w:color w:val="auto"/>
              </w:rPr>
            </w:pPr>
          </w:p>
        </w:tc>
        <w:tc>
          <w:tcPr>
            <w:tcW w:w="760" w:type="dxa"/>
            <w:vAlign w:val="bottom"/>
            <w:shd w:val="clear" w:color="auto" w:fill="9ADAF6"/>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86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Security</w:t>
            </w: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Security</w:t>
            </w:r>
          </w:p>
        </w:tc>
        <w:tc>
          <w:tcPr>
            <w:tcW w:w="4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Unsold</w:t>
            </w:r>
          </w:p>
        </w:tc>
        <w:tc>
          <w:tcPr>
            <w:tcW w:w="2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Aggregate</w:t>
            </w:r>
          </w:p>
        </w:tc>
        <w:tc>
          <w:tcPr>
            <w:tcW w:w="20" w:type="dxa"/>
            <w:vAlign w:val="bottom"/>
          </w:tcPr>
          <w:p>
            <w:pPr>
              <w:spacing w:after="0"/>
              <w:rPr>
                <w:sz w:val="20"/>
                <w:szCs w:val="20"/>
                <w:color w:val="auto"/>
              </w:rPr>
            </w:pPr>
          </w:p>
        </w:tc>
        <w:tc>
          <w:tcPr>
            <w:tcW w:w="7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9"/>
              </w:rPr>
              <w:t>Fee</w:t>
            </w:r>
          </w:p>
        </w:tc>
        <w:tc>
          <w:tcPr>
            <w:tcW w:w="0" w:type="dxa"/>
            <w:vAlign w:val="bottom"/>
          </w:tcPr>
          <w:p>
            <w:pPr>
              <w:spacing w:after="0"/>
              <w:rPr>
                <w:sz w:val="1"/>
                <w:szCs w:val="1"/>
                <w:color w:val="auto"/>
              </w:rPr>
            </w:pPr>
          </w:p>
        </w:tc>
      </w:tr>
      <w:tr>
        <w:trPr>
          <w:trHeight w:val="240"/>
        </w:trPr>
        <w:tc>
          <w:tcPr>
            <w:tcW w:w="8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Fee</w:t>
            </w: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7"/>
              </w:rPr>
              <w:t>Type</w:t>
            </w: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Title</w:t>
            </w:r>
          </w:p>
        </w:tc>
        <w:tc>
          <w:tcPr>
            <w:tcW w:w="4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Securities</w:t>
            </w:r>
          </w:p>
        </w:tc>
        <w:tc>
          <w:tcPr>
            <w:tcW w:w="2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Offering</w:t>
            </w:r>
          </w:p>
        </w:tc>
        <w:tc>
          <w:tcPr>
            <w:tcW w:w="20" w:type="dxa"/>
            <w:vAlign w:val="bottom"/>
          </w:tcPr>
          <w:p>
            <w:pPr>
              <w:spacing w:after="0"/>
              <w:rPr>
                <w:sz w:val="20"/>
                <w:szCs w:val="20"/>
                <w:color w:val="auto"/>
              </w:rPr>
            </w:pPr>
          </w:p>
        </w:tc>
        <w:tc>
          <w:tcPr>
            <w:tcW w:w="7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9"/>
              </w:rPr>
              <w:t>Paid</w:t>
            </w:r>
          </w:p>
        </w:tc>
        <w:tc>
          <w:tcPr>
            <w:tcW w:w="0" w:type="dxa"/>
            <w:vAlign w:val="bottom"/>
          </w:tcPr>
          <w:p>
            <w:pPr>
              <w:spacing w:after="0"/>
              <w:rPr>
                <w:sz w:val="1"/>
                <w:szCs w:val="1"/>
                <w:color w:val="auto"/>
              </w:rPr>
            </w:pPr>
          </w:p>
        </w:tc>
      </w:tr>
      <w:tr>
        <w:trPr>
          <w:trHeight w:val="120"/>
        </w:trPr>
        <w:tc>
          <w:tcPr>
            <w:tcW w:w="860" w:type="dxa"/>
            <w:vAlign w:val="bottom"/>
            <w:vMerge w:val="continue"/>
            <w:shd w:val="clear" w:color="auto" w:fill="9ADAF6"/>
          </w:tcPr>
          <w:p>
            <w:pPr>
              <w:spacing w:after="0"/>
              <w:rPr>
                <w:sz w:val="10"/>
                <w:szCs w:val="10"/>
                <w:color w:val="auto"/>
              </w:rPr>
            </w:pPr>
          </w:p>
        </w:tc>
        <w:tc>
          <w:tcPr>
            <w:tcW w:w="40" w:type="dxa"/>
            <w:vAlign w:val="bottom"/>
          </w:tcPr>
          <w:p>
            <w:pPr>
              <w:spacing w:after="0"/>
              <w:rPr>
                <w:sz w:val="10"/>
                <w:szCs w:val="10"/>
                <w:color w:val="auto"/>
              </w:rPr>
            </w:pPr>
          </w:p>
        </w:tc>
        <w:tc>
          <w:tcPr>
            <w:tcW w:w="11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Associated</w:t>
            </w:r>
          </w:p>
        </w:tc>
        <w:tc>
          <w:tcPr>
            <w:tcW w:w="40" w:type="dxa"/>
            <w:vAlign w:val="bottom"/>
          </w:tcPr>
          <w:p>
            <w:pPr>
              <w:spacing w:after="0"/>
              <w:rPr>
                <w:sz w:val="10"/>
                <w:szCs w:val="10"/>
                <w:color w:val="auto"/>
              </w:rPr>
            </w:pPr>
          </w:p>
        </w:tc>
        <w:tc>
          <w:tcPr>
            <w:tcW w:w="11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Associated</w:t>
            </w:r>
          </w:p>
        </w:tc>
        <w:tc>
          <w:tcPr>
            <w:tcW w:w="40" w:type="dxa"/>
            <w:vAlign w:val="bottom"/>
          </w:tcPr>
          <w:p>
            <w:pPr>
              <w:spacing w:after="0"/>
              <w:rPr>
                <w:sz w:val="10"/>
                <w:szCs w:val="10"/>
                <w:color w:val="auto"/>
              </w:rPr>
            </w:pPr>
          </w:p>
        </w:tc>
        <w:tc>
          <w:tcPr>
            <w:tcW w:w="118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Associated</w:t>
            </w:r>
          </w:p>
        </w:tc>
        <w:tc>
          <w:tcPr>
            <w:tcW w:w="20" w:type="dxa"/>
            <w:vAlign w:val="bottom"/>
          </w:tcPr>
          <w:p>
            <w:pPr>
              <w:spacing w:after="0"/>
              <w:rPr>
                <w:sz w:val="10"/>
                <w:szCs w:val="10"/>
                <w:color w:val="auto"/>
              </w:rPr>
            </w:pPr>
          </w:p>
        </w:tc>
        <w:tc>
          <w:tcPr>
            <w:tcW w:w="118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Amount</w:t>
            </w:r>
          </w:p>
        </w:tc>
        <w:tc>
          <w:tcPr>
            <w:tcW w:w="20" w:type="dxa"/>
            <w:vAlign w:val="bottom"/>
          </w:tcPr>
          <w:p>
            <w:pPr>
              <w:spacing w:after="0"/>
              <w:rPr>
                <w:sz w:val="10"/>
                <w:szCs w:val="10"/>
                <w:color w:val="auto"/>
              </w:rPr>
            </w:pPr>
          </w:p>
        </w:tc>
        <w:tc>
          <w:tcPr>
            <w:tcW w:w="7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with</w:t>
            </w:r>
          </w:p>
        </w:tc>
        <w:tc>
          <w:tcPr>
            <w:tcW w:w="0" w:type="dxa"/>
            <w:vAlign w:val="bottom"/>
          </w:tcPr>
          <w:p>
            <w:pPr>
              <w:spacing w:after="0"/>
              <w:rPr>
                <w:sz w:val="1"/>
                <w:szCs w:val="1"/>
                <w:color w:val="auto"/>
              </w:rPr>
            </w:pPr>
          </w:p>
        </w:tc>
      </w:tr>
      <w:tr>
        <w:trPr>
          <w:trHeight w:val="142"/>
        </w:trPr>
        <w:tc>
          <w:tcPr>
            <w:tcW w:w="860" w:type="dxa"/>
            <w:vAlign w:val="bottom"/>
            <w:shd w:val="clear" w:color="auto" w:fill="9ADAF6"/>
          </w:tcPr>
          <w:p>
            <w:pPr>
              <w:jc w:val="center"/>
              <w:spacing w:after="0" w:line="142" w:lineRule="exact"/>
              <w:rPr>
                <w:sz w:val="20"/>
                <w:szCs w:val="20"/>
                <w:color w:val="auto"/>
              </w:rPr>
            </w:pPr>
            <w:r>
              <w:rPr>
                <w:rFonts w:ascii="Arial" w:cs="Arial" w:eastAsia="Arial" w:hAnsi="Arial"/>
                <w:sz w:val="16"/>
                <w:szCs w:val="16"/>
                <w:b w:val="1"/>
                <w:bCs w:val="1"/>
                <w:color w:val="auto"/>
              </w:rPr>
              <w:t>Offset</w:t>
            </w:r>
          </w:p>
        </w:tc>
        <w:tc>
          <w:tcPr>
            <w:tcW w:w="40" w:type="dxa"/>
            <w:vAlign w:val="bottom"/>
          </w:tcPr>
          <w:p>
            <w:pPr>
              <w:spacing w:after="0"/>
              <w:rPr>
                <w:sz w:val="12"/>
                <w:szCs w:val="12"/>
                <w:color w:val="auto"/>
              </w:rPr>
            </w:pPr>
          </w:p>
        </w:tc>
        <w:tc>
          <w:tcPr>
            <w:tcW w:w="1160" w:type="dxa"/>
            <w:vAlign w:val="bottom"/>
            <w:vMerge w:val="continue"/>
            <w:shd w:val="clear" w:color="auto" w:fill="9ADAF6"/>
          </w:tcPr>
          <w:p>
            <w:pPr>
              <w:spacing w:after="0"/>
              <w:rPr>
                <w:sz w:val="12"/>
                <w:szCs w:val="12"/>
                <w:color w:val="auto"/>
              </w:rPr>
            </w:pPr>
          </w:p>
        </w:tc>
        <w:tc>
          <w:tcPr>
            <w:tcW w:w="40" w:type="dxa"/>
            <w:vAlign w:val="bottom"/>
          </w:tcPr>
          <w:p>
            <w:pPr>
              <w:spacing w:after="0"/>
              <w:rPr>
                <w:sz w:val="12"/>
                <w:szCs w:val="12"/>
                <w:color w:val="auto"/>
              </w:rPr>
            </w:pPr>
          </w:p>
        </w:tc>
        <w:tc>
          <w:tcPr>
            <w:tcW w:w="1160" w:type="dxa"/>
            <w:vAlign w:val="bottom"/>
            <w:vMerge w:val="continue"/>
            <w:shd w:val="clear" w:color="auto" w:fill="9ADAF6"/>
          </w:tcPr>
          <w:p>
            <w:pPr>
              <w:spacing w:after="0"/>
              <w:rPr>
                <w:sz w:val="12"/>
                <w:szCs w:val="12"/>
                <w:color w:val="auto"/>
              </w:rPr>
            </w:pPr>
          </w:p>
        </w:tc>
        <w:tc>
          <w:tcPr>
            <w:tcW w:w="40" w:type="dxa"/>
            <w:vAlign w:val="bottom"/>
          </w:tcPr>
          <w:p>
            <w:pPr>
              <w:spacing w:after="0"/>
              <w:rPr>
                <w:sz w:val="12"/>
                <w:szCs w:val="12"/>
                <w:color w:val="auto"/>
              </w:rPr>
            </w:pPr>
          </w:p>
        </w:tc>
        <w:tc>
          <w:tcPr>
            <w:tcW w:w="1180" w:type="dxa"/>
            <w:vAlign w:val="bottom"/>
            <w:vMerge w:val="continue"/>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1180" w:type="dxa"/>
            <w:vAlign w:val="bottom"/>
            <w:vMerge w:val="continue"/>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vMerge w:val="continue"/>
            <w:shd w:val="clear" w:color="auto" w:fill="9ADAF6"/>
          </w:tcPr>
          <w:p>
            <w:pPr>
              <w:spacing w:after="0"/>
              <w:rPr>
                <w:sz w:val="12"/>
                <w:szCs w:val="12"/>
                <w:color w:val="auto"/>
              </w:rPr>
            </w:pPr>
          </w:p>
        </w:tc>
        <w:tc>
          <w:tcPr>
            <w:tcW w:w="0" w:type="dxa"/>
            <w:vAlign w:val="bottom"/>
          </w:tcPr>
          <w:p>
            <w:pPr>
              <w:spacing w:after="0"/>
              <w:rPr>
                <w:sz w:val="1"/>
                <w:szCs w:val="1"/>
                <w:color w:val="auto"/>
              </w:rPr>
            </w:pPr>
          </w:p>
        </w:tc>
      </w:tr>
      <w:tr>
        <w:trPr>
          <w:trHeight w:val="314"/>
        </w:trPr>
        <w:tc>
          <w:tcPr>
            <w:tcW w:w="8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Claimed</w:t>
            </w:r>
          </w:p>
        </w:tc>
        <w:tc>
          <w:tcPr>
            <w:tcW w:w="40" w:type="dxa"/>
            <w:vAlign w:val="bottom"/>
          </w:tcPr>
          <w:p>
            <w:pPr>
              <w:spacing w:after="0"/>
              <w:rPr>
                <w:sz w:val="24"/>
                <w:szCs w:val="24"/>
                <w:color w:val="auto"/>
              </w:rPr>
            </w:pPr>
          </w:p>
        </w:tc>
        <w:tc>
          <w:tcPr>
            <w:tcW w:w="11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with Fee</w:t>
            </w:r>
          </w:p>
        </w:tc>
        <w:tc>
          <w:tcPr>
            <w:tcW w:w="40" w:type="dxa"/>
            <w:vAlign w:val="bottom"/>
          </w:tcPr>
          <w:p>
            <w:pPr>
              <w:spacing w:after="0"/>
              <w:rPr>
                <w:sz w:val="24"/>
                <w:szCs w:val="24"/>
                <w:color w:val="auto"/>
              </w:rPr>
            </w:pPr>
          </w:p>
        </w:tc>
        <w:tc>
          <w:tcPr>
            <w:tcW w:w="11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with Fee</w:t>
            </w:r>
          </w:p>
        </w:tc>
        <w:tc>
          <w:tcPr>
            <w:tcW w:w="40" w:type="dxa"/>
            <w:vAlign w:val="bottom"/>
          </w:tcPr>
          <w:p>
            <w:pPr>
              <w:spacing w:after="0"/>
              <w:rPr>
                <w:sz w:val="24"/>
                <w:szCs w:val="24"/>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with Fee</w:t>
            </w:r>
          </w:p>
        </w:tc>
        <w:tc>
          <w:tcPr>
            <w:tcW w:w="20" w:type="dxa"/>
            <w:vAlign w:val="bottom"/>
          </w:tcPr>
          <w:p>
            <w:pPr>
              <w:spacing w:after="0"/>
              <w:rPr>
                <w:sz w:val="24"/>
                <w:szCs w:val="24"/>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Associated</w:t>
            </w:r>
          </w:p>
        </w:tc>
        <w:tc>
          <w:tcPr>
            <w:tcW w:w="20" w:type="dxa"/>
            <w:vAlign w:val="bottom"/>
          </w:tcPr>
          <w:p>
            <w:pPr>
              <w:spacing w:after="0"/>
              <w:rPr>
                <w:sz w:val="24"/>
                <w:szCs w:val="24"/>
                <w:color w:val="auto"/>
              </w:rPr>
            </w:pPr>
          </w:p>
        </w:tc>
        <w:tc>
          <w:tcPr>
            <w:tcW w:w="7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Fee</w:t>
            </w:r>
          </w:p>
        </w:tc>
        <w:tc>
          <w:tcPr>
            <w:tcW w:w="0" w:type="dxa"/>
            <w:vAlign w:val="bottom"/>
          </w:tcPr>
          <w:p>
            <w:pPr>
              <w:spacing w:after="0"/>
              <w:rPr>
                <w:sz w:val="1"/>
                <w:szCs w:val="1"/>
                <w:color w:val="auto"/>
              </w:rPr>
            </w:pPr>
          </w:p>
        </w:tc>
      </w:tr>
      <w:tr>
        <w:trPr>
          <w:trHeight w:val="145"/>
        </w:trPr>
        <w:tc>
          <w:tcPr>
            <w:tcW w:w="860" w:type="dxa"/>
            <w:vAlign w:val="bottom"/>
            <w:shd w:val="clear" w:color="auto" w:fill="9ADAF6"/>
          </w:tcPr>
          <w:p>
            <w:pPr>
              <w:spacing w:after="0"/>
              <w:rPr>
                <w:sz w:val="12"/>
                <w:szCs w:val="12"/>
                <w:color w:val="auto"/>
              </w:rPr>
            </w:pPr>
          </w:p>
        </w:tc>
        <w:tc>
          <w:tcPr>
            <w:tcW w:w="40" w:type="dxa"/>
            <w:vAlign w:val="bottom"/>
          </w:tcPr>
          <w:p>
            <w:pPr>
              <w:spacing w:after="0"/>
              <w:rPr>
                <w:sz w:val="12"/>
                <w:szCs w:val="12"/>
                <w:color w:val="auto"/>
              </w:rPr>
            </w:pPr>
          </w:p>
        </w:tc>
        <w:tc>
          <w:tcPr>
            <w:tcW w:w="116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Offset</w:t>
            </w:r>
          </w:p>
        </w:tc>
        <w:tc>
          <w:tcPr>
            <w:tcW w:w="40" w:type="dxa"/>
            <w:vAlign w:val="bottom"/>
          </w:tcPr>
          <w:p>
            <w:pPr>
              <w:spacing w:after="0"/>
              <w:rPr>
                <w:sz w:val="12"/>
                <w:szCs w:val="12"/>
                <w:color w:val="auto"/>
              </w:rPr>
            </w:pPr>
          </w:p>
        </w:tc>
        <w:tc>
          <w:tcPr>
            <w:tcW w:w="116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Offset</w:t>
            </w:r>
          </w:p>
        </w:tc>
        <w:tc>
          <w:tcPr>
            <w:tcW w:w="40" w:type="dxa"/>
            <w:vAlign w:val="bottom"/>
          </w:tcPr>
          <w:p>
            <w:pPr>
              <w:spacing w:after="0"/>
              <w:rPr>
                <w:sz w:val="12"/>
                <w:szCs w:val="12"/>
                <w:color w:val="auto"/>
              </w:rPr>
            </w:pPr>
          </w:p>
        </w:tc>
        <w:tc>
          <w:tcPr>
            <w:tcW w:w="118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Offset</w:t>
            </w:r>
          </w:p>
        </w:tc>
        <w:tc>
          <w:tcPr>
            <w:tcW w:w="20" w:type="dxa"/>
            <w:vAlign w:val="bottom"/>
          </w:tcPr>
          <w:p>
            <w:pPr>
              <w:spacing w:after="0"/>
              <w:rPr>
                <w:sz w:val="12"/>
                <w:szCs w:val="12"/>
                <w:color w:val="auto"/>
              </w:rPr>
            </w:pPr>
          </w:p>
        </w:tc>
        <w:tc>
          <w:tcPr>
            <w:tcW w:w="118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with Fee</w:t>
            </w:r>
          </w:p>
        </w:tc>
        <w:tc>
          <w:tcPr>
            <w:tcW w:w="20" w:type="dxa"/>
            <w:vAlign w:val="bottom"/>
          </w:tcPr>
          <w:p>
            <w:pPr>
              <w:spacing w:after="0"/>
              <w:rPr>
                <w:sz w:val="12"/>
                <w:szCs w:val="12"/>
                <w:color w:val="auto"/>
              </w:rPr>
            </w:pPr>
          </w:p>
        </w:tc>
        <w:tc>
          <w:tcPr>
            <w:tcW w:w="76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Offset</w:t>
            </w:r>
          </w:p>
        </w:tc>
        <w:tc>
          <w:tcPr>
            <w:tcW w:w="0" w:type="dxa"/>
            <w:vAlign w:val="bottom"/>
          </w:tcPr>
          <w:p>
            <w:pPr>
              <w:spacing w:after="0"/>
              <w:rPr>
                <w:sz w:val="1"/>
                <w:szCs w:val="1"/>
                <w:color w:val="auto"/>
              </w:rPr>
            </w:pPr>
          </w:p>
        </w:tc>
      </w:tr>
      <w:tr>
        <w:trPr>
          <w:trHeight w:val="240"/>
        </w:trPr>
        <w:tc>
          <w:tcPr>
            <w:tcW w:w="86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Claimed</w:t>
            </w: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Claimed</w:t>
            </w:r>
          </w:p>
        </w:tc>
        <w:tc>
          <w:tcPr>
            <w:tcW w:w="4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Claimed</w:t>
            </w:r>
          </w:p>
        </w:tc>
        <w:tc>
          <w:tcPr>
            <w:tcW w:w="2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Offset</w:t>
            </w:r>
          </w:p>
        </w:tc>
        <w:tc>
          <w:tcPr>
            <w:tcW w:w="20" w:type="dxa"/>
            <w:vAlign w:val="bottom"/>
          </w:tcPr>
          <w:p>
            <w:pPr>
              <w:spacing w:after="0"/>
              <w:rPr>
                <w:sz w:val="20"/>
                <w:szCs w:val="20"/>
                <w:color w:val="auto"/>
              </w:rPr>
            </w:pPr>
          </w:p>
        </w:tc>
        <w:tc>
          <w:tcPr>
            <w:tcW w:w="7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Source</w:t>
            </w:r>
          </w:p>
        </w:tc>
        <w:tc>
          <w:tcPr>
            <w:tcW w:w="0" w:type="dxa"/>
            <w:vAlign w:val="bottom"/>
          </w:tcPr>
          <w:p>
            <w:pPr>
              <w:spacing w:after="0"/>
              <w:rPr>
                <w:sz w:val="1"/>
                <w:szCs w:val="1"/>
                <w:color w:val="auto"/>
              </w:rPr>
            </w:pPr>
          </w:p>
        </w:tc>
      </w:tr>
      <w:tr>
        <w:trPr>
          <w:trHeight w:val="282"/>
        </w:trPr>
        <w:tc>
          <w:tcPr>
            <w:tcW w:w="86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16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16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18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Claimed</w:t>
            </w:r>
          </w:p>
        </w:tc>
        <w:tc>
          <w:tcPr>
            <w:tcW w:w="20" w:type="dxa"/>
            <w:vAlign w:val="bottom"/>
          </w:tcPr>
          <w:p>
            <w:pPr>
              <w:spacing w:after="0"/>
              <w:rPr>
                <w:sz w:val="24"/>
                <w:szCs w:val="24"/>
                <w:color w:val="auto"/>
              </w:rPr>
            </w:pPr>
          </w:p>
        </w:tc>
        <w:tc>
          <w:tcPr>
            <w:tcW w:w="760" w:type="dxa"/>
            <w:vAlign w:val="bottom"/>
            <w:shd w:val="clear" w:color="auto" w:fill="9ADAF6"/>
          </w:tcPr>
          <w:p>
            <w:pPr>
              <w:spacing w:after="0"/>
              <w:rPr>
                <w:sz w:val="24"/>
                <w:szCs w:val="24"/>
                <w:color w:val="auto"/>
              </w:rPr>
            </w:pPr>
          </w:p>
        </w:tc>
        <w:tc>
          <w:tcPr>
            <w:tcW w:w="0" w:type="dxa"/>
            <w:vAlign w:val="bottom"/>
          </w:tcPr>
          <w:p>
            <w:pPr>
              <w:spacing w:after="0"/>
              <w:rPr>
                <w:sz w:val="1"/>
                <w:szCs w:val="1"/>
                <w:color w:val="auto"/>
              </w:rPr>
            </w:pPr>
          </w:p>
        </w:tc>
      </w:tr>
    </w:tbl>
    <w:p>
      <w:pPr>
        <w:spacing w:after="0" w:line="12" w:lineRule="exact"/>
        <w:rPr>
          <w:sz w:val="20"/>
          <w:szCs w:val="20"/>
          <w:color w:val="auto"/>
        </w:rPr>
      </w:pPr>
    </w:p>
    <w:p>
      <w:pPr>
        <w:ind w:left="280"/>
        <w:spacing w:after="0"/>
        <w:rPr>
          <w:sz w:val="20"/>
          <w:szCs w:val="20"/>
          <w:color w:val="auto"/>
        </w:rPr>
      </w:pPr>
      <w:r>
        <w:rPr>
          <w:rFonts w:ascii="Arial" w:cs="Arial" w:eastAsia="Arial" w:hAnsi="Arial"/>
          <w:sz w:val="21"/>
          <w:szCs w:val="21"/>
          <w:b w:val="1"/>
          <w:bCs w:val="1"/>
          <w:color w:val="auto"/>
        </w:rPr>
        <w:t>Rule 457(p)</w:t>
      </w:r>
    </w:p>
    <w:p>
      <w:pPr>
        <w:sectPr>
          <w:pgSz w:w="11900" w:h="16838" w:orient="portrait"/>
          <w:cols w:equalWidth="0" w:num="3">
            <w:col w:w="1980" w:space="40"/>
            <w:col w:w="2720" w:space="40"/>
            <w:col w:w="6460"/>
          </w:cols>
          <w:pgMar w:left="360" w:top="142" w:right="299" w:bottom="1440" w:gutter="0" w:footer="0" w:header="0"/>
          <w:type w:val="continuous"/>
        </w:sectPr>
      </w:pPr>
    </w:p>
    <w:bookmarkStart w:id="6" w:name="page7"/>
    <w:bookmarkEnd w:id="6"/>
    <w:p>
      <w:pPr>
        <w:jc w:val="right"/>
        <w:spacing w:after="0"/>
        <w:rPr>
          <w:sz w:val="20"/>
          <w:szCs w:val="20"/>
          <w:color w:val="auto"/>
        </w:rPr>
      </w:pPr>
      <w:r>
        <w:rPr>
          <w:rFonts w:ascii="Times New Roman" w:cs="Times New Roman" w:eastAsia="Times New Roman" w:hAnsi="Times New Roman"/>
          <w:sz w:val="18"/>
          <w:szCs w:val="18"/>
          <w:b w:val="1"/>
          <w:bCs w:val="1"/>
          <w:color w:val="auto"/>
        </w:rPr>
        <w:t>Exhibit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875030</wp:posOffset>
            </wp:positionV>
            <wp:extent cx="1526540" cy="2292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7">
                      <a:extLst>
                        <a:ext uri="{28A0092B-C50C-407E-A947-70E740481C1C}"/>
                      </a:extLst>
                    </a:blip>
                    <a:srcRect/>
                    <a:stretch>
                      <a:fillRect/>
                    </a:stretch>
                  </pic:blipFill>
                  <pic:spPr bwMode="auto">
                    <a:xfrm>
                      <a:off x="0" y="0"/>
                      <a:ext cx="1526540" cy="229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May 6, 2026</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Latham Group, Inc.</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787 Watervliet Shaker Road</w:t>
      </w:r>
    </w:p>
    <w:p>
      <w:pPr>
        <w:spacing w:after="0"/>
        <w:rPr>
          <w:sz w:val="20"/>
          <w:szCs w:val="20"/>
          <w:color w:val="auto"/>
        </w:rPr>
      </w:pPr>
      <w:r>
        <w:rPr>
          <w:rFonts w:ascii="Times New Roman" w:cs="Times New Roman" w:eastAsia="Times New Roman" w:hAnsi="Times New Roman"/>
          <w:sz w:val="18"/>
          <w:szCs w:val="18"/>
          <w:color w:val="auto"/>
        </w:rPr>
        <w:t>Latham, New York 12110</w:t>
      </w:r>
    </w:p>
    <w:p>
      <w:pPr>
        <w:spacing w:after="0" w:line="21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Re: Registration Statement on Form S-8</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43" w:lineRule="exact"/>
        <w:rPr>
          <w:sz w:val="20"/>
          <w:szCs w:val="20"/>
          <w:color w:val="auto"/>
        </w:rPr>
      </w:pPr>
    </w:p>
    <w:p>
      <w:pPr>
        <w:jc w:val="both"/>
        <w:ind w:firstLine="641"/>
        <w:spacing w:after="0" w:line="256" w:lineRule="auto"/>
        <w:rPr>
          <w:sz w:val="20"/>
          <w:szCs w:val="20"/>
          <w:color w:val="auto"/>
        </w:rPr>
      </w:pPr>
      <w:r>
        <w:rPr>
          <w:rFonts w:ascii="Times New Roman" w:cs="Times New Roman" w:eastAsia="Times New Roman" w:hAnsi="Times New Roman"/>
          <w:sz w:val="18"/>
          <w:szCs w:val="18"/>
          <w:color w:val="auto"/>
        </w:rPr>
        <w:t>We have acted as counsel to Latham Group, Inc.,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in connection with the preparation and filing with the Securities and Exchange Commission (the “</w:t>
      </w:r>
      <w:r>
        <w:rPr>
          <w:rFonts w:ascii="Times New Roman" w:cs="Times New Roman" w:eastAsia="Times New Roman" w:hAnsi="Times New Roman"/>
          <w:sz w:val="18"/>
          <w:szCs w:val="18"/>
          <w:b w:val="1"/>
          <w:bCs w:val="1"/>
          <w:i w:val="1"/>
          <w:iCs w:val="1"/>
          <w:color w:val="auto"/>
        </w:rPr>
        <w:t>Commission</w:t>
      </w:r>
      <w:r>
        <w:rPr>
          <w:rFonts w:ascii="Times New Roman" w:cs="Times New Roman" w:eastAsia="Times New Roman" w:hAnsi="Times New Roman"/>
          <w:sz w:val="18"/>
          <w:szCs w:val="18"/>
          <w:color w:val="auto"/>
        </w:rPr>
        <w:t>”) of a Registration Statement on Form S-8 (the “</w:t>
      </w:r>
      <w:r>
        <w:rPr>
          <w:rFonts w:ascii="Times New Roman" w:cs="Times New Roman" w:eastAsia="Times New Roman" w:hAnsi="Times New Roman"/>
          <w:sz w:val="18"/>
          <w:szCs w:val="18"/>
          <w:b w:val="1"/>
          <w:bCs w:val="1"/>
          <w:i w:val="1"/>
          <w:iCs w:val="1"/>
          <w:color w:val="auto"/>
        </w:rPr>
        <w:t>Registration Statement</w:t>
      </w:r>
      <w:r>
        <w:rPr>
          <w:rFonts w:ascii="Times New Roman" w:cs="Times New Roman" w:eastAsia="Times New Roman" w:hAnsi="Times New Roman"/>
          <w:sz w:val="18"/>
          <w:szCs w:val="18"/>
          <w:color w:val="auto"/>
        </w:rPr>
        <w:t>”) for the registration under the Securities Act of 1933, as amended (the “</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of a maximum of 3,400,000 shares (the “</w:t>
      </w:r>
      <w:r>
        <w:rPr>
          <w:rFonts w:ascii="Times New Roman" w:cs="Times New Roman" w:eastAsia="Times New Roman" w:hAnsi="Times New Roman"/>
          <w:sz w:val="18"/>
          <w:szCs w:val="18"/>
          <w:b w:val="1"/>
          <w:bCs w:val="1"/>
          <w:i w:val="1"/>
          <w:iCs w:val="1"/>
          <w:color w:val="auto"/>
        </w:rPr>
        <w:t>Shares</w:t>
      </w:r>
      <w:r>
        <w:rPr>
          <w:rFonts w:ascii="Times New Roman" w:cs="Times New Roman" w:eastAsia="Times New Roman" w:hAnsi="Times New Roman"/>
          <w:sz w:val="18"/>
          <w:szCs w:val="18"/>
          <w:color w:val="auto"/>
        </w:rPr>
        <w:t>”) of the Company’s common stock, par value $0.0001 per share (the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to be issued by the Company pursuant to awards under the Latham Group, Inc. 2021 Omnibus Equity Incentive Plan (as amended from time to time, the “</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w:t>
      </w:r>
    </w:p>
    <w:p>
      <w:pPr>
        <w:spacing w:after="0" w:line="205" w:lineRule="exact"/>
        <w:rPr>
          <w:sz w:val="20"/>
          <w:szCs w:val="20"/>
          <w:color w:val="auto"/>
        </w:rPr>
      </w:pPr>
    </w:p>
    <w:p>
      <w:pPr>
        <w:jc w:val="both"/>
        <w:ind w:firstLine="641"/>
        <w:spacing w:after="0" w:line="265" w:lineRule="auto"/>
        <w:rPr>
          <w:sz w:val="20"/>
          <w:szCs w:val="20"/>
          <w:color w:val="auto"/>
        </w:rPr>
      </w:pPr>
      <w:r>
        <w:rPr>
          <w:rFonts w:ascii="Times New Roman" w:cs="Times New Roman" w:eastAsia="Times New Roman" w:hAnsi="Times New Roman"/>
          <w:sz w:val="18"/>
          <w:szCs w:val="18"/>
          <w:color w:val="auto"/>
        </w:rPr>
        <w:t>We do not express any opinion herein concerning any law other than the Delaware General Corporation Law (the “</w:t>
      </w:r>
      <w:r>
        <w:rPr>
          <w:rFonts w:ascii="Times New Roman" w:cs="Times New Roman" w:eastAsia="Times New Roman" w:hAnsi="Times New Roman"/>
          <w:sz w:val="18"/>
          <w:szCs w:val="18"/>
          <w:b w:val="1"/>
          <w:bCs w:val="1"/>
          <w:i w:val="1"/>
          <w:iCs w:val="1"/>
          <w:color w:val="auto"/>
        </w:rPr>
        <w:t>DGCL</w:t>
      </w:r>
      <w:r>
        <w:rPr>
          <w:rFonts w:ascii="Times New Roman" w:cs="Times New Roman" w:eastAsia="Times New Roman" w:hAnsi="Times New Roman"/>
          <w:sz w:val="18"/>
          <w:szCs w:val="18"/>
          <w:color w:val="auto"/>
        </w:rPr>
        <w:t>”). We are not admitted to practice in the State of Delaware and, with respect to the opinion set forth herein, insofar as it relates to any Delaware law, we have limited our review to standard compilations available to us of the DGCL, which we have assumed to be accurate and complete, and we have not reviewed case law.</w:t>
      </w:r>
    </w:p>
    <w:p>
      <w:pPr>
        <w:spacing w:after="0" w:line="200" w:lineRule="exact"/>
        <w:rPr>
          <w:sz w:val="20"/>
          <w:szCs w:val="20"/>
          <w:color w:val="auto"/>
        </w:rPr>
      </w:pPr>
    </w:p>
    <w:p>
      <w:pPr>
        <w:jc w:val="both"/>
        <w:ind w:firstLine="641"/>
        <w:spacing w:after="0" w:line="252" w:lineRule="auto"/>
        <w:rPr>
          <w:sz w:val="20"/>
          <w:szCs w:val="20"/>
          <w:color w:val="auto"/>
        </w:rPr>
      </w:pPr>
      <w:r>
        <w:rPr>
          <w:rFonts w:ascii="Times New Roman" w:cs="Times New Roman" w:eastAsia="Times New Roman" w:hAnsi="Times New Roman"/>
          <w:sz w:val="18"/>
          <w:szCs w:val="18"/>
          <w:color w:val="auto"/>
        </w:rPr>
        <w:t>In rendering this opinion, we have assumed the genuineness of all signatures on all documents examined by us, the due authority of the parties signing such documents, the authenticity of all documents submitted to us as originals, the conformity to authentic originals of all documents submitted to us as copies and that the offer and sale of the Shares complies in all respects with the terms, conditions and restrictions set forth in the Registration Statement and the Plan. The Company has represented to us and we have also assumed that the Company has reserved from its duly authorized capital stock a sufficient number of shares of Common Stock, including the Shares, for issuance under the Plan and will keep such reserve available at all times to enable the Company to issue and deliver the Shares upon the settlement of awards under the Plan. We have also assumed without independent investigation that there are no agreements or understandings between or among the Company and any participants in the Plan that would expand, modify or otherwise affect the terms of the Plan or the respective rights or obligations of the participants thereunder.</w:t>
      </w:r>
    </w:p>
    <w:p>
      <w:pPr>
        <w:spacing w:after="0" w:line="212" w:lineRule="exact"/>
        <w:rPr>
          <w:sz w:val="20"/>
          <w:szCs w:val="20"/>
          <w:color w:val="auto"/>
        </w:rPr>
      </w:pPr>
    </w:p>
    <w:p>
      <w:pPr>
        <w:jc w:val="both"/>
        <w:ind w:firstLine="641"/>
        <w:spacing w:after="0" w:line="257" w:lineRule="auto"/>
        <w:rPr>
          <w:sz w:val="20"/>
          <w:szCs w:val="20"/>
          <w:color w:val="auto"/>
        </w:rPr>
      </w:pPr>
      <w:r>
        <w:rPr>
          <w:rFonts w:ascii="Times New Roman" w:cs="Times New Roman" w:eastAsia="Times New Roman" w:hAnsi="Times New Roman"/>
          <w:sz w:val="18"/>
          <w:szCs w:val="18"/>
          <w:color w:val="auto"/>
        </w:rPr>
        <w:t>Based upon, subject to and limited by the foregoing, and based upon our examination of such documents and other matters as we deem relevant, we are of the opinion that the Shares to be issued by the Company under the Plan pursuant to the Registration Statement are duly authorized and, when issued and sold by the Company in accordance with the Plan and the awards thereunder, the Registration Statement and the related prospectus, will be validly issued, fully paid and non-assessable.</w:t>
      </w:r>
    </w:p>
    <w:p>
      <w:pPr>
        <w:spacing w:after="0" w:line="209" w:lineRule="exact"/>
        <w:rPr>
          <w:sz w:val="20"/>
          <w:szCs w:val="20"/>
          <w:color w:val="auto"/>
        </w:rPr>
      </w:pPr>
    </w:p>
    <w:p>
      <w:pPr>
        <w:jc w:val="both"/>
        <w:ind w:firstLine="641"/>
        <w:spacing w:after="0" w:line="277" w:lineRule="auto"/>
        <w:rPr>
          <w:sz w:val="20"/>
          <w:szCs w:val="20"/>
          <w:color w:val="auto"/>
        </w:rPr>
      </w:pPr>
      <w:r>
        <w:rPr>
          <w:rFonts w:ascii="Times New Roman" w:cs="Times New Roman" w:eastAsia="Times New Roman" w:hAnsi="Times New Roman"/>
          <w:sz w:val="18"/>
          <w:szCs w:val="18"/>
          <w:color w:val="auto"/>
        </w:rPr>
        <w:t>This opinion letter speaks only as of its date. We do not undertake any obligation to advise you or any other party of changes of law or fact that occur after the date of this opinion letter – even though the change may affect the legal analysis or legal conclusion in this opinion letter.</w:t>
      </w:r>
    </w:p>
    <w:p>
      <w:pPr>
        <w:spacing w:after="0" w:line="190" w:lineRule="exact"/>
        <w:rPr>
          <w:sz w:val="20"/>
          <w:szCs w:val="20"/>
          <w:color w:val="auto"/>
        </w:rPr>
      </w:pPr>
    </w:p>
    <w:p>
      <w:pPr>
        <w:jc w:val="both"/>
        <w:ind w:firstLine="641"/>
        <w:spacing w:after="0" w:line="262" w:lineRule="auto"/>
        <w:rPr>
          <w:sz w:val="20"/>
          <w:szCs w:val="20"/>
          <w:color w:val="auto"/>
        </w:rPr>
      </w:pPr>
      <w:r>
        <w:rPr>
          <w:rFonts w:ascii="Times New Roman" w:cs="Times New Roman" w:eastAsia="Times New Roman" w:hAnsi="Times New Roman"/>
          <w:sz w:val="18"/>
          <w:szCs w:val="18"/>
          <w:color w:val="auto"/>
        </w:rPr>
        <w:t>We hereby consent to the filing of this opinion with the Commission as Exhibit 5 to the Registration Statement. In giving such consent, we do not admit that we are within the category of persons whose consent is required by Section 7 of the Securities Act or the rules and regulations promulgated thereunder by the Commission.</w:t>
      </w:r>
    </w:p>
    <w:p>
      <w:pPr>
        <w:spacing w:after="0" w:line="20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45"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i w:val="1"/>
          <w:iCs w:val="1"/>
          <w:color w:val="auto"/>
        </w:rPr>
        <w:t>/s/ HONIGMAN LLP</w:t>
      </w:r>
    </w:p>
    <w:p>
      <w:pPr>
        <w:spacing w:after="0" w:line="249"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color w:val="auto"/>
        </w:rPr>
        <w:t>HONIGMAN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191135</wp:posOffset>
            </wp:positionH>
            <wp:positionV relativeFrom="paragraph">
              <wp:posOffset>295910</wp:posOffset>
            </wp:positionV>
            <wp:extent cx="67691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8">
                      <a:extLst>
                        <a:ext uri="{28A0092B-C50C-407E-A947-70E740481C1C}"/>
                      </a:extLst>
                    </a:blip>
                    <a:srcRect/>
                    <a:stretch>
                      <a:fillRect/>
                    </a:stretch>
                  </pic:blipFill>
                  <pic:spPr bwMode="auto">
                    <a:xfrm>
                      <a:off x="0" y="0"/>
                      <a:ext cx="6769100" cy="8255"/>
                    </a:xfrm>
                    <a:prstGeom prst="rect">
                      <a:avLst/>
                    </a:prstGeom>
                    <a:noFill/>
                  </pic:spPr>
                </pic:pic>
              </a:graphicData>
            </a:graphic>
          </wp:anchor>
        </w:drawing>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Honigman LLP • 2290 First National Building • 660 Woodward Avenue • Detroit, Michigan 48226-3506</w:t>
      </w:r>
    </w:p>
    <w:p>
      <w:pPr>
        <w:sectPr>
          <w:pgSz w:w="11900" w:h="16838" w:orient="portrait"/>
          <w:cols w:equalWidth="0" w:num="1">
            <w:col w:w="11240"/>
          </w:cols>
          <w:pgMar w:left="320" w:top="117" w:right="33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38"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auto"/>
        </w:rPr>
        <w:t>We consent to the incorporation by reference in this Registration Statement on Form S-8 of our report dated March 4, 2026, relating to the financial statements of Latham Group, Inc., appearing in the Annual Report on Form 10-K of Latham Group, Inc. for the year ended December 31, 2025.</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 Deloitte &amp; Touche LLP</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Hartford, Connecticut</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6, 2026</w:t>
      </w:r>
    </w:p>
    <w:sectPr>
      <w:pgSz w:w="11900" w:h="16838" w:orient="portrait"/>
      <w:cols w:equalWidth="0" w:num="1">
        <w:col w:w="11240"/>
      </w:cols>
      <w:pgMar w:left="320" w:top="10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24" Type="http://schemas.openxmlformats.org/officeDocument/2006/relationships/image" Target="media/image5.png"/><Relationship Id="rId25" Type="http://schemas.openxmlformats.org/officeDocument/2006/relationships/image" Target="media/image6.png"/><Relationship Id="rId26" Type="http://schemas.openxmlformats.org/officeDocument/2006/relationships/image" Target="media/image7.png"/><Relationship Id="rId27" Type="http://schemas.openxmlformats.org/officeDocument/2006/relationships/image" Target="media/image8.jpeg"/><Relationship Id="rId28" Type="http://schemas.openxmlformats.org/officeDocument/2006/relationships/image" Target="media/image9.png"/><Relationship Id="rId12" Type="http://schemas.openxmlformats.org/officeDocument/2006/relationships/hyperlink" Target="https://www.sec.gov/Archives/edgar/data/1833197/000110465921053708/tm2038279d19_s8.htm" TargetMode="External"/><Relationship Id="rId13" Type="http://schemas.openxmlformats.org/officeDocument/2006/relationships/hyperlink" Target="https://www.sec.gov/Archives/edgar/data/1833197/000110465923056048/tm2314223d2_s8.htm" TargetMode="External"/><Relationship Id="rId14" Type="http://schemas.openxmlformats.org/officeDocument/2006/relationships/hyperlink" Target="https://www.sec.gov/ix?doc=/Archives/edgar/data/0001833197/000183319726000017/swim-20251231.htm" TargetMode="External"/><Relationship Id="rId15" Type="http://schemas.openxmlformats.org/officeDocument/2006/relationships/hyperlink" Target="https://www.sec.gov/Archives/edgar/data/1833197/000183319726000022/swim-20260430.htm" TargetMode="External"/><Relationship Id="rId16" Type="http://schemas.openxmlformats.org/officeDocument/2006/relationships/hyperlink" Target="https://www.sec.gov/ix?doc=/Archives/edgar/data/0001833197/000114036126010486/ny20065092x1_def14a.htm" TargetMode="External"/><Relationship Id="rId17" Type="http://schemas.openxmlformats.org/officeDocument/2006/relationships/hyperlink" Target="https://www.sec.gov/Archives/edgar/data/1833197/000110465921053469/tm2038279d20_8a12b.htm" TargetMode="External"/><Relationship Id="rId18" Type="http://schemas.openxmlformats.org/officeDocument/2006/relationships/hyperlink" Target="https://www.sec.gov/Archives/edgar/data/1833197/000155837022003292/swim-20211231xex4d1.htm" TargetMode="External"/><Relationship Id="rId19" Type="http://schemas.openxmlformats.org/officeDocument/2006/relationships/hyperlink" Target="https://www.sec.gov/Archives/edgar/data/1833197/000110465921076404/tm2117455d1_ex3-1.htm" TargetMode="External"/><Relationship Id="rId20" Type="http://schemas.openxmlformats.org/officeDocument/2006/relationships/hyperlink" Target="https://www.sec.gov/Archives/edgar/data/1833197/000110465921076404/tm2117455d1_ex3-2.htm" TargetMode="External"/><Relationship Id="rId21" Type="http://schemas.openxmlformats.org/officeDocument/2006/relationships/hyperlink" Target="https://www.sec.gov/Archives/edgar/data/1833197/000110465921100799/swim-20210630xex10d5.htm" TargetMode="External"/><Relationship Id="rId22" Type="http://schemas.openxmlformats.org/officeDocument/2006/relationships/hyperlink" Target="https://www.sec.gov/Archives/edgar/data/1833197/000110465923056014/tm2314223d1_ex10.htm" TargetMode="External"/><Relationship Id="rId23" Type="http://schemas.openxmlformats.org/officeDocument/2006/relationships/hyperlink" Target="https://www.sec.gov/Archives/edgar/data/1833197/000183319726000022/exhibit10.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2026-05-06T05:47:01Z</dcterms:created>
  <dcterms:modified xsi:type="dcterms:W3CDTF">2026-05-06T05:47:01Z</dcterms:modified>
</cp:coreProperties>
</file>