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swim-20230401x10q.htm"/>
        <w:bookmarkStart w:id="1" w:name="ksswim202304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lineRule="atLeast" w:line="141" w:before="0" w:after="240"/>
        <w:ind w:left="0" w:right="0" w:hanging="0"/>
        <w:rPr/>
      </w:pPr>
      <w:r>
        <w:rPr/>
        <w:t>​</w:t>
      </w:r>
    </w:p>
    <w:p>
      <w:pPr>
        <w:pStyle w:val="TextBody"/>
        <w:spacing w:before="0" w:after="240"/>
        <w:ind w:left="0" w:right="0" w:hanging="0"/>
        <w:jc w:val="center"/>
        <w:rPr/>
      </w:pPr>
      <w:bookmarkStart w:id="2" w:name="_be0267e4_fc2b_4a8e_9ff8_2f53ddc58250"/>
      <w:bookmarkEnd w:id="2"/>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spacing w:before="0" w:after="0"/>
        <w:rPr>
          <w:sz w:val="4"/>
          <w:szCs w:val="4"/>
        </w:rPr>
      </w:pPr>
      <w:r>
        <w:rPr>
          <w:sz w:val="4"/>
          <w:szCs w:val="4"/>
        </w:rPr>
      </w:r>
      <w:bookmarkStart w:id="3" w:name="Tc_2MFwFX3n0USbO8-GmSM93g_1_1"/>
      <w:bookmarkStart w:id="4" w:name="_41efd709_66ba_4efe_b738_3e2734d87d9a"/>
      <w:bookmarkStart w:id="5" w:name="Tc_2MFwFX3n0USbO8-GmSM93g_1_1"/>
      <w:bookmarkStart w:id="6" w:name="_41efd709_66ba_4efe_b738_3e2734d87d9a"/>
      <w:bookmarkEnd w:id="5"/>
      <w:bookmarkEnd w:id="6"/>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40"/>
              <w:ind w:left="0" w:right="0" w:hanging="0"/>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20"/>
        <w:ind w:left="0" w:right="0" w:hanging="0"/>
        <w:rPr>
          <w:rFonts w:ascii="Times New Roman;Times;serif" w:hAnsi="Times New Roman;Times;serif"/>
          <w:sz w:val="20"/>
        </w:rPr>
      </w:pPr>
      <w:r>
        <w:rPr>
          <w:rFonts w:ascii="Times New Roman;Times;serif" w:hAnsi="Times New Roman;Times;serif"/>
          <w:sz w:val="16"/>
        </w:rPr>
        <w:t xml:space="preserve">For the quarterly period ended </w:t>
      </w:r>
      <w:r>
        <w:rPr>
          <w:rFonts w:ascii="Times New Roman;Times;serif" w:hAnsi="Times New Roman;Times;serif"/>
          <w:b/>
          <w:sz w:val="16"/>
        </w:rPr>
        <w:t>April 1, 2023</w:t>
      </w:r>
    </w:p>
    <w:p>
      <w:pPr>
        <w:pStyle w:val="TextBody"/>
        <w:spacing w:before="0" w:after="200"/>
        <w:ind w:left="0" w:right="0" w:hanging="0"/>
        <w:jc w:val="center"/>
        <w:rPr>
          <w:rFonts w:ascii="Times New Roman;Times;serif" w:hAnsi="Times New Roman;Times;serif"/>
          <w:sz w:val="20"/>
        </w:rPr>
      </w:pPr>
      <w:r>
        <w:rPr>
          <w:rFonts w:ascii="Times New Roman;Times;serif" w:hAnsi="Times New Roman;Times;serif"/>
          <w:sz w:val="20"/>
        </w:rPr>
        <w:t>OR</w:t>
      </w:r>
    </w:p>
    <w:p>
      <w:pPr>
        <w:pStyle w:val="Normal"/>
        <w:spacing w:before="0" w:after="0"/>
        <w:rPr>
          <w:sz w:val="4"/>
          <w:szCs w:val="4"/>
        </w:rPr>
      </w:pPr>
      <w:r>
        <w:rPr>
          <w:sz w:val="4"/>
          <w:szCs w:val="4"/>
        </w:rPr>
      </w:r>
      <w:bookmarkStart w:id="7" w:name="Tc_RHAcwL5830-nt4Rs6Lucyg_1_1"/>
      <w:bookmarkStart w:id="8" w:name="_35a06079_20ba_4567_9c54_ae1deaef45d7"/>
      <w:bookmarkStart w:id="9" w:name="Tc_RHAcwL5830-nt4Rs6Lucyg_1_1"/>
      <w:bookmarkStart w:id="10" w:name="_35a06079_20ba_4567_9c54_ae1deaef45d7"/>
      <w:bookmarkEnd w:id="9"/>
      <w:bookmarkEnd w:id="10"/>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ind w:left="0" w:right="0" w:hanging="0"/>
              <w:rPr/>
            </w:pPr>
            <w:r>
              <w:rPr/>
              <w:t>​</w:t>
            </w:r>
          </w:p>
        </w:tc>
        <w:tc>
          <w:tcPr>
            <w:tcW w:w="987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40"/>
              <w:ind w:left="0" w:right="0" w:hanging="0"/>
              <w:rPr/>
            </w:pPr>
            <w:r>
              <w:rPr/>
              <w:t>☐</w:t>
            </w:r>
          </w:p>
        </w:tc>
        <w:tc>
          <w:tcPr>
            <w:tcW w:w="9874" w:type="dxa"/>
            <w:tcBorders/>
            <w:shd w:fill="auto" w:val="clear"/>
            <w:vAlign w:val="center"/>
          </w:tcPr>
          <w:p>
            <w:pPr>
              <w:pStyle w:val="TableContents"/>
              <w:spacing w:before="0" w:after="40"/>
              <w:ind w:left="0" w:right="0" w:hanging="0"/>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sz w:val="16"/>
        </w:rPr>
      </w:pPr>
      <w:r>
        <w:rPr>
          <w:rFonts w:ascii="Times New Roman;Times;serif" w:hAnsi="Times New Roman;Times;serif"/>
          <w:sz w:val="16"/>
        </w:rPr>
        <w:t>For the transition period from     to    </w:t>
      </w:r>
    </w:p>
    <w:p>
      <w:pPr>
        <w:pStyle w:val="TextBody"/>
        <w:spacing w:before="0" w:after="160"/>
        <w:ind w:left="0" w:right="0" w:hanging="0"/>
        <w:jc w:val="center"/>
        <w:rPr>
          <w:rFonts w:ascii="Times New Roman;Times;serif" w:hAnsi="Times New Roman;Times;serif"/>
          <w:sz w:val="20"/>
        </w:rPr>
      </w:pPr>
      <w:r>
        <w:rPr>
          <w:rFonts w:ascii="Times New Roman;Times;serif" w:hAnsi="Times New Roman;Times;serif"/>
          <w:sz w:val="16"/>
        </w:rPr>
        <w:t xml:space="preserve">Commission file number: </w:t>
      </w:r>
      <w:r>
        <w:rPr>
          <w:rFonts w:ascii="Times New Roman;Times;serif" w:hAnsi="Times New Roman;Times;serif"/>
          <w:b/>
          <w:sz w:val="16"/>
        </w:rPr>
        <w:t>001-40358</w:t>
      </w:r>
    </w:p>
    <w:p>
      <w:pPr>
        <w:pStyle w:val="TextBody"/>
        <w:spacing w:before="0" w:after="160"/>
        <w:ind w:left="0" w:right="0" w:hanging="0"/>
        <w:jc w:val="center"/>
        <w:rPr>
          <w:rFonts w:ascii="Times New Roman;Times;serif" w:hAnsi="Times New Roman;Times;serif"/>
          <w:b/>
          <w:sz w:val="28"/>
        </w:rPr>
      </w:pPr>
      <w:r>
        <w:rPr>
          <w:rFonts w:ascii="Times New Roman;Times;serif" w:hAnsi="Times New Roman;Times;serif"/>
          <w:b/>
          <w:sz w:val="28"/>
        </w:rPr>
        <w:t>LATHAM GROUP,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spacing w:before="0" w:after="0"/>
        <w:ind w:left="0" w:right="0" w:hanging="0"/>
        <w:jc w:val="center"/>
        <w:rPr/>
      </w:pPr>
      <w:r>
        <w:rPr/>
        <w:t>​</w:t>
      </w:r>
    </w:p>
    <w:p>
      <w:pPr>
        <w:pStyle w:val="Normal"/>
        <w:spacing w:before="0" w:after="0"/>
        <w:ind w:left="0" w:right="0" w:hanging="0"/>
        <w:rPr>
          <w:sz w:val="4"/>
          <w:szCs w:val="4"/>
        </w:rPr>
      </w:pPr>
      <w:r>
        <w:rPr>
          <w:sz w:val="4"/>
          <w:szCs w:val="4"/>
        </w:rPr>
      </w:r>
      <w:bookmarkStart w:id="11" w:name="Tc_QVVzo1omZE6weGiOzx0AHA_5_2"/>
      <w:bookmarkStart w:id="12" w:name="Tc_Mu-l2HhZA0ai8Sz-mSjUJQ_5_0"/>
      <w:bookmarkStart w:id="13" w:name="Tc_oTa_tLYug0ut5zgw3K4duA_4_0"/>
      <w:bookmarkStart w:id="14" w:name="Tc_hSzbAurpqEOyz5g5jFJ3Mw_2_2"/>
      <w:bookmarkStart w:id="15" w:name="Tc_isdVxt9FBkyx4nfRsgU-7g_2_0"/>
      <w:bookmarkStart w:id="16" w:name="_56192867_2e07_419f_b568_51469b8a1e9c"/>
      <w:bookmarkStart w:id="17" w:name="Tc_QVVzo1omZE6weGiOzx0AHA_5_2"/>
      <w:bookmarkStart w:id="18" w:name="Tc_Mu-l2HhZA0ai8Sz-mSjUJQ_5_0"/>
      <w:bookmarkStart w:id="19" w:name="Tc_oTa_tLYug0ut5zgw3K4duA_4_0"/>
      <w:bookmarkStart w:id="20" w:name="Tc_hSzbAurpqEOyz5g5jFJ3Mw_2_2"/>
      <w:bookmarkStart w:id="21" w:name="Tc_isdVxt9FBkyx4nfRsgU-7g_2_0"/>
      <w:bookmarkStart w:id="22" w:name="_56192867_2e07_419f_b568_51469b8a1e9c"/>
      <w:bookmarkEnd w:id="17"/>
      <w:bookmarkEnd w:id="18"/>
      <w:bookmarkEnd w:id="19"/>
      <w:bookmarkEnd w:id="20"/>
      <w:bookmarkEnd w:id="21"/>
      <w:bookmarkEnd w:id="22"/>
    </w:p>
    <w:tbl>
      <w:tblPr>
        <w:tblW w:w="6193" w:type="dxa"/>
        <w:jc w:val="left"/>
        <w:tblInd w:w="0" w:type="dxa"/>
        <w:tblCellMar>
          <w:top w:w="0" w:type="dxa"/>
          <w:left w:w="0" w:type="dxa"/>
          <w:bottom w:w="0" w:type="dxa"/>
          <w:right w:w="0" w:type="dxa"/>
        </w:tblCellMar>
      </w:tblPr>
      <w:tblGrid>
        <w:gridCol w:w="3196"/>
        <w:gridCol w:w="326"/>
        <w:gridCol w:w="267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29460" cy="29210"/>
                      <wp:effectExtent l="0" t="0" r="0" b="0"/>
                      <wp:wrapNone/>
                      <wp:docPr id="1" name="Frame1"/>
                      <a:graphic xmlns:a="http://schemas.openxmlformats.org/drawingml/2006/main">
                        <a:graphicData uri="http://schemas.microsoft.com/office/word/2010/wordprocessingShape">
                          <wps:wsp>
                            <wps:cNvSpPr txBox="1"/>
                            <wps:spPr>
                              <a:xfrm>
                                <a:off x="0" y="0"/>
                                <a:ext cx="20294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96085" cy="29210"/>
                      <wp:effectExtent l="0" t="0" r="0" b="0"/>
                      <wp:wrapNone/>
                      <wp:docPr id="3" name="Frame3"/>
                      <a:graphic xmlns:a="http://schemas.openxmlformats.org/drawingml/2006/main">
                        <a:graphicData uri="http://schemas.microsoft.com/office/word/2010/wordprocessingShape">
                          <wps:wsp>
                            <wps:cNvSpPr txBox="1"/>
                            <wps:spPr>
                              <a:xfrm>
                                <a:off x="0" y="0"/>
                                <a:ext cx="1696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1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6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83-2797583</w:t>
            </w:r>
          </w:p>
        </w:tc>
      </w:tr>
      <w:tr>
        <w:trPr/>
        <w:tc>
          <w:tcPr>
            <w:tcW w:w="3196" w:type="dxa"/>
            <w:tcBorders>
              <w:top w:val="single" w:sz="2" w:space="0" w:color="000000"/>
            </w:tcBorders>
            <w:shd w:fill="auto" w:val="clear"/>
            <w:tcMar>
              <w:top w:w="28" w:type="dxa"/>
            </w:tcMar>
            <w:vAlign w:val="center"/>
          </w:tcPr>
          <w:p>
            <w:pPr>
              <w:pStyle w:val="TableContents"/>
              <w:spacing w:before="4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26" w:type="dxa"/>
            <w:tcBorders/>
            <w:shd w:fill="auto" w:val="clear"/>
            <w:vAlign w:val="center"/>
          </w:tcPr>
          <w:p>
            <w:pPr>
              <w:pStyle w:val="TableContents"/>
              <w:spacing w:before="40" w:after="0"/>
              <w:ind w:left="0" w:right="0" w:hanging="0"/>
              <w:rPr/>
            </w:pPr>
            <w:r>
              <w:rPr/>
              <w:t>​</w:t>
            </w:r>
          </w:p>
        </w:tc>
        <w:tc>
          <w:tcPr>
            <w:tcW w:w="2671" w:type="dxa"/>
            <w:tcBorders>
              <w:top w:val="single" w:sz="2" w:space="0" w:color="000000"/>
            </w:tcBorders>
            <w:shd w:fill="auto" w:val="clear"/>
            <w:tcMar>
              <w:top w:w="28" w:type="dxa"/>
            </w:tcMar>
            <w:vAlign w:val="center"/>
          </w:tcPr>
          <w:p>
            <w:pPr>
              <w:pStyle w:val="TableContents"/>
              <w:spacing w:before="4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71" w:type="dxa"/>
            <w:tcBorders/>
            <w:shd w:fill="auto" w:val="clear"/>
            <w:vAlign w:val="center"/>
          </w:tcPr>
          <w:p>
            <w:pPr>
              <w:pStyle w:val="TableContents"/>
              <w:spacing w:before="0" w:after="0"/>
              <w:ind w:left="0" w:right="0" w:hanging="0"/>
              <w:rPr/>
            </w:pPr>
            <w:r>
              <w:rPr/>
              <w:t>​</w:t>
            </w:r>
          </w:p>
        </w:tc>
      </w:tr>
      <w:tr>
        <w:trPr/>
        <w:tc>
          <w:tcPr>
            <w:tcW w:w="31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787 Watervliet Shaker Road, Latham, NY</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6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12110</w:t>
            </w:r>
          </w:p>
        </w:tc>
      </w:tr>
      <w:tr>
        <w:trPr/>
        <w:tc>
          <w:tcPr>
            <w:tcW w:w="319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shd w:fill="auto" w:val="clear"/>
            <w:vAlign w:val="center"/>
          </w:tcPr>
          <w:p>
            <w:pPr>
              <w:pStyle w:val="TableContents"/>
              <w:spacing w:before="0" w:after="0"/>
              <w:ind w:left="0" w:right="0" w:hanging="0"/>
              <w:rPr/>
            </w:pPr>
            <w:r>
              <w:rPr/>
              <w:t>​</w:t>
            </w:r>
          </w:p>
        </w:tc>
        <w:tc>
          <w:tcPr>
            <w:tcW w:w="267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(800) 833-3800</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spacing w:before="0" w:after="240"/>
        <w:ind w:left="0" w:right="0" w:hanging="0"/>
        <w:rPr/>
      </w:pPr>
      <w:r>
        <w:rPr/>
        <w:t>​</w:t>
      </w:r>
    </w:p>
    <w:p>
      <w:pPr>
        <w:pStyle w:val="Normal"/>
        <w:spacing w:before="0" w:after="0"/>
        <w:rPr>
          <w:sz w:val="4"/>
          <w:szCs w:val="4"/>
        </w:rPr>
      </w:pPr>
      <w:r>
        <w:rPr>
          <w:sz w:val="4"/>
          <w:szCs w:val="4"/>
        </w:rPr>
      </w:r>
      <w:bookmarkStart w:id="23" w:name="Tc_Xn9mGGoI70Oq78-Oq9sGkw_2_2"/>
      <w:bookmarkStart w:id="24" w:name="Tc_FkrKZ4VgsES2w_m-oAarkA_1_2"/>
      <w:bookmarkStart w:id="25" w:name="Tc_dbM540w7WEiJoxBapGn82w_1_1"/>
      <w:bookmarkStart w:id="26" w:name="Tc_3arTo4M14kOvuLG5gyLHyA_1_0"/>
      <w:bookmarkStart w:id="27" w:name="_e6383762_7257_4173_a910_d3e6acefd205"/>
      <w:bookmarkStart w:id="28" w:name="Tc_Xn9mGGoI70Oq78-Oq9sGkw_2_2"/>
      <w:bookmarkStart w:id="29" w:name="Tc_FkrKZ4VgsES2w_m-oAarkA_1_2"/>
      <w:bookmarkStart w:id="30" w:name="Tc_dbM540w7WEiJoxBapGn82w_1_1"/>
      <w:bookmarkStart w:id="31" w:name="Tc_3arTo4M14kOvuLG5gyLHyA_1_0"/>
      <w:bookmarkStart w:id="32" w:name="_e6383762_7257_4173_a910_d3e6acefd205"/>
      <w:bookmarkEnd w:id="28"/>
      <w:bookmarkEnd w:id="29"/>
      <w:bookmarkEnd w:id="30"/>
      <w:bookmarkEnd w:id="31"/>
      <w:bookmarkEnd w:id="32"/>
    </w:p>
    <w:tbl>
      <w:tblPr>
        <w:tblW w:w="6003" w:type="dxa"/>
        <w:jc w:val="left"/>
        <w:tblInd w:w="0" w:type="dxa"/>
        <w:tblCellMar>
          <w:top w:w="0" w:type="dxa"/>
          <w:left w:w="0" w:type="dxa"/>
          <w:bottom w:w="0" w:type="dxa"/>
          <w:right w:w="0" w:type="dxa"/>
        </w:tblCellMar>
      </w:tblPr>
      <w:tblGrid>
        <w:gridCol w:w="1351"/>
        <w:gridCol w:w="1426"/>
        <w:gridCol w:w="3226"/>
      </w:tblGrid>
      <w:tr>
        <w:trPr/>
        <w:tc>
          <w:tcPr>
            <w:tcW w:w="1351"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rPr/>
            </w:pPr>
            <w:r>
              <w:rPr/>
              <w:t>​</w:t>
            </w:r>
          </w:p>
        </w:tc>
        <w:tc>
          <w:tcPr>
            <w:tcW w:w="3226" w:type="dxa"/>
            <w:tcBorders/>
            <w:shd w:fill="auto" w:val="clear"/>
            <w:vAlign w:val="center"/>
          </w:tcPr>
          <w:p>
            <w:pPr>
              <w:pStyle w:val="TableContents"/>
              <w:spacing w:before="0" w:after="0"/>
              <w:ind w:left="0" w:right="0" w:hanging="0"/>
              <w:rPr/>
            </w:pPr>
            <w:r>
              <w:rPr/>
              <w:t>​</w:t>
            </w:r>
          </w:p>
        </w:tc>
      </w:tr>
      <w:tr>
        <w:trPr/>
        <w:tc>
          <w:tcPr>
            <w:tcW w:w="135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1351"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57885" cy="350520"/>
                      <wp:effectExtent l="0" t="0" r="0" b="0"/>
                      <wp:wrapNone/>
                      <wp:docPr id="4" name="Frame4"/>
                      <a:graphic xmlns:a="http://schemas.openxmlformats.org/drawingml/2006/main">
                        <a:graphicData uri="http://schemas.microsoft.com/office/word/2010/wordprocessingShape">
                          <wps:wsp>
                            <wps:cNvSpPr txBox="1"/>
                            <wps:spPr>
                              <a:xfrm>
                                <a:off x="0" y="0"/>
                                <a:ext cx="857885" cy="350520"/>
                              </a:xfrm>
                              <a:prstGeom prst="rect"/>
                            </wps:spPr>
                            <wps:txb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v:textbox>
                    </v:rect>
                  </w:pict>
                </mc:Fallback>
              </mc:AlternateContent>
            </w:r>
          </w:p>
        </w:tc>
        <w:tc>
          <w:tcPr>
            <w:tcW w:w="1426" w:type="dxa"/>
            <w:tcBorders>
              <w:top w:val="single" w:sz="8"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05510" cy="116840"/>
                      <wp:effectExtent l="0" t="0" r="0" b="0"/>
                      <wp:wrapNone/>
                      <wp:docPr id="5" name="Frame5"/>
                      <a:graphic xmlns:a="http://schemas.openxmlformats.org/drawingml/2006/main">
                        <a:graphicData uri="http://schemas.microsoft.com/office/word/2010/wordprocessingShape">
                          <wps:wsp>
                            <wps:cNvSpPr txBox="1"/>
                            <wps:spPr>
                              <a:xfrm>
                                <a:off x="0" y="0"/>
                                <a:ext cx="905510" cy="116840"/>
                              </a:xfrm>
                              <a:prstGeom prst="rect"/>
                            </wps:spPr>
                            <wps:txb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v:textbox>
                    </v:rect>
                  </w:pict>
                </mc:Fallback>
              </mc:AlternateContent>
            </w:r>
          </w:p>
        </w:tc>
        <w:tc>
          <w:tcPr>
            <w:tcW w:w="322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48510" cy="146685"/>
                      <wp:effectExtent l="0" t="0" r="0" b="0"/>
                      <wp:wrapNone/>
                      <wp:docPr id="6" name="Frame6"/>
                      <a:graphic xmlns:a="http://schemas.openxmlformats.org/drawingml/2006/main">
                        <a:graphicData uri="http://schemas.microsoft.com/office/word/2010/wordprocessingShape">
                          <wps:wsp>
                            <wps:cNvSpPr txBox="1"/>
                            <wps:spPr>
                              <a:xfrm>
                                <a:off x="0" y="0"/>
                                <a:ext cx="2048510" cy="146685"/>
                              </a:xfrm>
                              <a:prstGeom prst="rect"/>
                            </wps:spPr>
                            <wps:txb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v:textbox>
                    </v:rect>
                  </w:pict>
                </mc:Fallback>
              </mc:AlternateConten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rPr/>
      </w:pPr>
      <w:r>
        <w:rPr/>
        <w:t>​</w:t>
      </w:r>
    </w:p>
    <w:p>
      <w:pPr>
        <w:pStyle w:val="Normal"/>
        <w:spacing w:before="0" w:after="0"/>
        <w:rPr>
          <w:sz w:val="4"/>
          <w:szCs w:val="4"/>
        </w:rPr>
      </w:pPr>
      <w:r>
        <w:rPr>
          <w:sz w:val="4"/>
          <w:szCs w:val="4"/>
        </w:rPr>
      </w:r>
      <w:bookmarkStart w:id="33" w:name="Tc_edw-Bl9qHkWp3YNF9iPonA_1_8"/>
      <w:bookmarkStart w:id="34" w:name="Tc_nPSnXOL_-EGPFap2RvuH-w_1_6"/>
      <w:bookmarkStart w:id="35" w:name="Tc_hMDtgSaExkux5UmHtawv6A_1_5"/>
      <w:bookmarkStart w:id="36" w:name="Tc_xp0_cuy-ikO9wtntamE72A_1_4"/>
      <w:bookmarkStart w:id="37" w:name="Tc_nnMJnCNw4ES_rnIkDBeyQw_1_3"/>
      <w:bookmarkStart w:id="38" w:name="Tc_Am3IQTVuWkKfyCT37JBI1Q_1_1"/>
      <w:bookmarkStart w:id="39" w:name="Tc_IUHGcsHJA0myQlb_iCtGpg_1_0"/>
      <w:bookmarkStart w:id="40" w:name="_aca45e85_43a0_4d88_abc6_5e9a5e11903b"/>
      <w:bookmarkStart w:id="41" w:name="Tc_edw-Bl9qHkWp3YNF9iPonA_1_8"/>
      <w:bookmarkStart w:id="42" w:name="Tc_nPSnXOL_-EGPFap2RvuH-w_1_6"/>
      <w:bookmarkStart w:id="43" w:name="Tc_hMDtgSaExkux5UmHtawv6A_1_5"/>
      <w:bookmarkStart w:id="44" w:name="Tc_xp0_cuy-ikO9wtntamE72A_1_4"/>
      <w:bookmarkStart w:id="45" w:name="Tc_nnMJnCNw4ES_rnIkDBeyQw_1_3"/>
      <w:bookmarkStart w:id="46" w:name="Tc_Am3IQTVuWkKfyCT37JBI1Q_1_1"/>
      <w:bookmarkStart w:id="47" w:name="Tc_IUHGcsHJA0myQlb_iCtGpg_1_0"/>
      <w:bookmarkStart w:id="48" w:name="_aca45e85_43a0_4d88_abc6_5e9a5e11903b"/>
      <w:bookmarkEnd w:id="41"/>
      <w:bookmarkEnd w:id="42"/>
      <w:bookmarkEnd w:id="43"/>
      <w:bookmarkEnd w:id="44"/>
      <w:bookmarkEnd w:id="45"/>
      <w:bookmarkEnd w:id="46"/>
      <w:bookmarkEnd w:id="47"/>
      <w:bookmarkEnd w:id="48"/>
    </w:p>
    <w:tbl>
      <w:tblPr>
        <w:tblW w:w="10135" w:type="dxa"/>
        <w:jc w:val="left"/>
        <w:tblInd w:w="0" w:type="dxa"/>
        <w:tblCellMar>
          <w:top w:w="0" w:type="dxa"/>
          <w:left w:w="0" w:type="dxa"/>
          <w:bottom w:w="0" w:type="dxa"/>
          <w:right w:w="0" w:type="dxa"/>
        </w:tblCellMar>
      </w:tblPr>
      <w:tblGrid>
        <w:gridCol w:w="1666"/>
        <w:gridCol w:w="316"/>
        <w:gridCol w:w="1246"/>
        <w:gridCol w:w="316"/>
        <w:gridCol w:w="1561"/>
        <w:gridCol w:w="316"/>
        <w:gridCol w:w="2011"/>
        <w:gridCol w:w="316"/>
        <w:gridCol w:w="2026"/>
        <w:gridCol w:w="361"/>
      </w:tblGrid>
      <w:tr>
        <w:trPr/>
        <w:tc>
          <w:tcPr>
            <w:tcW w:w="16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56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Large accelerated filer</w:t>
            </w:r>
          </w:p>
        </w:tc>
        <w:tc>
          <w:tcPr>
            <w:tcW w:w="31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Accelerated filer</w:t>
            </w:r>
          </w:p>
        </w:tc>
        <w:tc>
          <w:tcPr>
            <w:tcW w:w="316" w:type="dxa"/>
            <w:tcBorders/>
            <w:shd w:fill="auto" w:val="clear"/>
            <w:vAlign w:val="center"/>
          </w:tcPr>
          <w:p>
            <w:pPr>
              <w:pStyle w:val="TableContents"/>
              <w:spacing w:before="0" w:after="0"/>
              <w:ind w:left="0" w:right="0" w:hanging="0"/>
              <w:rPr/>
            </w:pPr>
            <w:r>
              <w:rPr/>
              <w:t>☒</w:t>
            </w:r>
          </w:p>
        </w:tc>
        <w:tc>
          <w:tcPr>
            <w:tcW w:w="156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w:t>
            </w:r>
          </w:p>
        </w:tc>
        <w:tc>
          <w:tcPr>
            <w:tcW w:w="316" w:type="dxa"/>
            <w:tcBorders/>
            <w:shd w:fill="auto" w:val="clear"/>
            <w:vAlign w:val="center"/>
          </w:tcPr>
          <w:p>
            <w:pPr>
              <w:pStyle w:val="TableContents"/>
              <w:spacing w:before="0" w:after="0"/>
              <w:ind w:left="0" w:right="0" w:hanging="0"/>
              <w:rPr/>
            </w:pPr>
            <w:r>
              <w:rPr/>
              <w:t>☐</w:t>
            </w:r>
          </w:p>
        </w:tc>
        <w:tc>
          <w:tcPr>
            <w:tcW w:w="201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Smaller reporting company</w:t>
            </w:r>
          </w:p>
        </w:tc>
        <w:tc>
          <w:tcPr>
            <w:tcW w:w="316"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Emerging growth company</w:t>
            </w:r>
          </w:p>
        </w:tc>
        <w:tc>
          <w:tcPr>
            <w:tcW w:w="36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As of May 5, 2023, 114,789,027 shares of the registrant’s common stock, $0.0001 par value, were outstanding.</w:t>
      </w:r>
    </w:p>
    <w:p>
      <w:pPr>
        <w:pStyle w:val="TextBody"/>
        <w:spacing w:before="0" w:after="240"/>
        <w:ind w:left="0" w:right="0" w:firstLine="360"/>
        <w:rPr/>
      </w:pPr>
      <w:r>
        <w:rPr/>
        <w:t>​</w:t>
      </w:r>
    </w:p>
    <w:p>
      <w:pPr>
        <w:pStyle w:val="TextBody"/>
        <w:pBdr>
          <w:top w:val="single" w:sz="2" w:space="1" w:color="000000"/>
          <w:bottom w:val="single" w:sz="24" w:space="1" w:color="000000"/>
        </w:pBdr>
        <w:spacing w:lineRule="atLeast" w:line="141" w:before="0" w:after="24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center"/>
        <w:rPr>
          <w:rFonts w:ascii="Times New Roman;Times;serif" w:hAnsi="Times New Roman;Times;serif"/>
          <w:b/>
          <w:sz w:val="20"/>
        </w:rPr>
      </w:pPr>
      <w:bookmarkStart w:id="49" w:name="TOC"/>
      <w:bookmarkStart w:id="50" w:name="_163b9aff_d57c_4284_8167_cf4d64eac697"/>
      <w:bookmarkEnd w:id="49"/>
      <w:bookmarkEnd w:id="50"/>
      <w:r>
        <w:rPr>
          <w:rFonts w:ascii="Times New Roman;Times;serif" w:hAnsi="Times New Roman;Times;serif"/>
          <w:b/>
          <w:sz w:val="20"/>
        </w:rPr>
        <w:t>TABLE OF CONTENTS</w:t>
      </w:r>
    </w:p>
    <w:tbl>
      <w:tblPr>
        <w:tblW w:w="8676" w:type="dxa"/>
        <w:jc w:val="left"/>
        <w:tblInd w:w="0" w:type="dxa"/>
        <w:tblCellMar>
          <w:top w:w="0" w:type="dxa"/>
          <w:left w:w="0" w:type="dxa"/>
          <w:bottom w:w="0" w:type="dxa"/>
          <w:right w:w="0" w:type="dxa"/>
        </w:tblCellMar>
      </w:tblPr>
      <w:tblGrid>
        <w:gridCol w:w="8206"/>
        <w:gridCol w:w="109"/>
        <w:gridCol w:w="361"/>
      </w:tblGrid>
      <w:tr>
        <w:trPr/>
        <w:tc>
          <w:tcPr>
            <w:tcW w:w="8206" w:type="dxa"/>
            <w:tcBorders/>
            <w:shd w:fill="CCEEFF" w:val="clear"/>
            <w:vAlign w:val="center"/>
          </w:tcPr>
          <w:p>
            <w:pPr>
              <w:pStyle w:val="TableContents"/>
              <w:spacing w:before="0" w:after="0"/>
              <w:ind w:left="0" w:right="0" w:hanging="0"/>
              <w:rPr/>
            </w:pPr>
            <w:hyperlink w:anchor="PARTIFINANCIALINFORMATION_382427">
              <w:r>
                <w:rPr>
                  <w:rStyle w:val="InternetLink"/>
                  <w:rFonts w:ascii="Times New Roman;Times;serif" w:hAnsi="Times New Roman;Times;serif"/>
                  <w:b/>
                  <w:i w:val="false"/>
                  <w:caps w:val="false"/>
                  <w:smallCaps w:val="false"/>
                  <w:sz w:val="20"/>
                </w:rPr>
                <w:t>PART I — FINANCIAL INFORMATION</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shd w:fill="auto" w:val="clear"/>
            <w:vAlign w:val="center"/>
          </w:tcPr>
          <w:p>
            <w:pPr>
              <w:pStyle w:val="TableContents"/>
              <w:spacing w:before="0" w:after="0"/>
              <w:ind w:left="0" w:right="0" w:hanging="0"/>
              <w:rPr/>
            </w:pPr>
            <w:hyperlink w:anchor="Item1FinancialStatements_39771">
              <w:r>
                <w:rPr>
                  <w:rStyle w:val="InternetLink"/>
                  <w:rFonts w:ascii="Times New Roman;Times;serif" w:hAnsi="Times New Roman;Times;serif"/>
                  <w:b/>
                  <w:i w:val="false"/>
                  <w:caps w:val="false"/>
                  <w:smallCaps w:val="false"/>
                  <w:sz w:val="20"/>
                </w:rPr>
                <w:t>Item 1. Financial Statements</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206" w:type="dxa"/>
            <w:tcBorders/>
            <w:shd w:fill="auto" w:val="clear"/>
            <w:vAlign w:val="center"/>
          </w:tcPr>
          <w:p>
            <w:pPr>
              <w:pStyle w:val="TableContents"/>
              <w:spacing w:before="0" w:after="0"/>
              <w:ind w:left="0" w:right="0" w:hanging="0"/>
              <w:rPr/>
            </w:pPr>
            <w:hyperlink w:anchor="_Item_3._Quantita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06" w:type="dxa"/>
            <w:tcBorders/>
            <w:shd w:fill="CCEEFF" w:val="clear"/>
            <w:vAlign w:val="center"/>
          </w:tcPr>
          <w:p>
            <w:pPr>
              <w:pStyle w:val="TableContents"/>
              <w:spacing w:before="0" w:after="0"/>
              <w:ind w:left="0" w:right="0" w:hanging="0"/>
              <w:rPr/>
            </w:pPr>
            <w:hyperlink w:anchor="Item4ControlsandProcedures_231254">
              <w:r>
                <w:rPr>
                  <w:rStyle w:val="InternetLink"/>
                  <w:rFonts w:ascii="Times New Roman;Times;serif" w:hAnsi="Times New Roman;Times;serif"/>
                  <w:b/>
                  <w:i w:val="false"/>
                  <w:caps w:val="false"/>
                  <w:smallCaps w:val="false"/>
                  <w:sz w:val="20"/>
                </w:rPr>
                <w:t>Item 4. Controls and Procedures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206" w:type="dxa"/>
            <w:tcBorders/>
            <w:shd w:fill="auto" w:val="clear"/>
            <w:vAlign w:val="center"/>
          </w:tcPr>
          <w:p>
            <w:pPr>
              <w:pStyle w:val="TableContents"/>
              <w:spacing w:before="0" w:after="0"/>
              <w:ind w:left="0" w:right="0" w:hanging="0"/>
              <w:rPr/>
            </w:pPr>
            <w:hyperlink w:anchor="PARTIIOTHERINFORMATION_817159">
              <w:r>
                <w:rPr>
                  <w:rStyle w:val="InternetLink"/>
                  <w:rFonts w:ascii="Times New Roman;Times;serif" w:hAnsi="Times New Roman;Times;serif"/>
                  <w:b/>
                  <w:i w:val="false"/>
                  <w:caps w:val="false"/>
                  <w:smallCaps w:val="false"/>
                  <w:sz w:val="20"/>
                </w:rPr>
                <w:t>PART II — OTHER INFORMATION</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CCEEFF" w:val="clear"/>
            <w:vAlign w:val="center"/>
          </w:tcPr>
          <w:p>
            <w:pPr>
              <w:pStyle w:val="TableContents"/>
              <w:spacing w:before="0" w:after="0"/>
              <w:ind w:left="0" w:right="0" w:hanging="0"/>
              <w:rPr/>
            </w:pPr>
            <w:hyperlink w:anchor="_Item_1._Legal">
              <w:r>
                <w:rPr>
                  <w:rStyle w:val="InternetLink"/>
                  <w:rFonts w:ascii="Times New Roman;Times;serif" w:hAnsi="Times New Roman;Times;serif"/>
                  <w:b/>
                  <w:i w:val="false"/>
                  <w:caps w:val="false"/>
                  <w:smallCaps w:val="false"/>
                  <w:sz w:val="20"/>
                </w:rPr>
                <w:t>Item 1. Legal Proceedings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auto" w:val="clear"/>
            <w:vAlign w:val="center"/>
          </w:tcPr>
          <w:p>
            <w:pPr>
              <w:pStyle w:val="TableContents"/>
              <w:spacing w:before="0" w:after="0"/>
              <w:ind w:left="0" w:right="0" w:hanging="0"/>
              <w:rPr/>
            </w:pPr>
            <w:hyperlink w:anchor="Item1ARiskFactors_762234">
              <w:r>
                <w:rPr>
                  <w:rStyle w:val="InternetLink"/>
                  <w:rFonts w:ascii="Times New Roman;Times;serif" w:hAnsi="Times New Roman;Times;serif"/>
                  <w:b/>
                  <w:i w:val="false"/>
                  <w:caps w:val="false"/>
                  <w:smallCaps w:val="false"/>
                  <w:sz w:val="20"/>
                </w:rPr>
                <w:t>Item 1A. Risk Factors</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CCEEFF" w:val="clear"/>
            <w:vAlign w:val="center"/>
          </w:tcPr>
          <w:p>
            <w:pPr>
              <w:pStyle w:val="TableContents"/>
              <w:spacing w:before="0" w:after="0"/>
              <w:ind w:left="0" w:right="0" w:hanging="0"/>
              <w:rPr/>
            </w:pPr>
            <w:hyperlink w:anchor="_Item_2._Unregistered">
              <w:r>
                <w:rPr>
                  <w:rStyle w:val="InternetLink"/>
                  <w:rFonts w:ascii="Times New Roman;Times;serif" w:hAnsi="Times New Roman;Times;serif"/>
                  <w:b/>
                  <w:i w:val="false"/>
                  <w:caps w:val="false"/>
                  <w:smallCaps w:val="false"/>
                  <w:sz w:val="20"/>
                </w:rPr>
                <w:t>Item 2. Unregistered Sales of Equity Securities and Use of Proceeds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206" w:type="dxa"/>
            <w:tcBorders/>
            <w:shd w:fill="auto" w:val="clear"/>
            <w:vAlign w:val="center"/>
          </w:tcPr>
          <w:p>
            <w:pPr>
              <w:pStyle w:val="TableContents"/>
              <w:spacing w:before="0" w:after="0"/>
              <w:ind w:left="0" w:right="0" w:hanging="0"/>
              <w:rPr/>
            </w:pPr>
            <w:hyperlink w:anchor="Item6Exhibits_62690">
              <w:r>
                <w:rPr>
                  <w:rStyle w:val="InternetLink"/>
                  <w:rFonts w:ascii="Times New Roman;Times;serif" w:hAnsi="Times New Roman;Times;serif"/>
                  <w:b/>
                  <w:i w:val="false"/>
                  <w:caps w:val="false"/>
                  <w:smallCaps w:val="false"/>
                  <w:sz w:val="20"/>
                </w:rPr>
                <w:t>Item 6. Exhibits</w:t>
              </w:r>
            </w:hyperlink>
          </w:p>
        </w:tc>
        <w:tc>
          <w:tcPr>
            <w:tcW w:w="109"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206" w:type="dxa"/>
            <w:tcBorders/>
            <w:shd w:fill="CCEEFF" w:val="clear"/>
            <w:vAlign w:val="center"/>
          </w:tcPr>
          <w:p>
            <w:pPr>
              <w:pStyle w:val="TableContents"/>
              <w:spacing w:before="0" w:after="0"/>
              <w:ind w:left="0" w:right="0" w:hanging="0"/>
              <w:rPr/>
            </w:pPr>
            <w:hyperlink w:anchor="SIGNATURES_654110">
              <w:r>
                <w:rPr>
                  <w:rStyle w:val="InternetLink"/>
                  <w:rFonts w:ascii="Times New Roman;Times;serif" w:hAnsi="Times New Roman;Times;serif"/>
                  <w:b/>
                  <w:i w:val="false"/>
                  <w:caps w:val="false"/>
                  <w:smallCaps w:val="false"/>
                  <w:sz w:val="20"/>
                </w:rPr>
                <w:t>SIGNATURES</w:t>
              </w:r>
            </w:hyperlink>
          </w:p>
        </w:tc>
        <w:tc>
          <w:tcPr>
            <w:tcW w:w="109"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1" w:name="PARTIFINANCIALINFORMATION_382427"/>
      <w:bookmarkStart w:id="52" w:name="_90e18747_ba02_481b_a483_ac6d5ae31965"/>
      <w:bookmarkEnd w:id="51"/>
      <w:bookmarkEnd w:id="52"/>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bookmarkStart w:id="53" w:name="Item1FinancialStatements_39771"/>
      <w:bookmarkEnd w:id="53"/>
      <w:r>
        <w:rPr>
          <w:rFonts w:ascii="Times New Roman;Times;serif" w:hAnsi="Times New Roman;Times;serif"/>
          <w:b/>
          <w:sz w:val="20"/>
        </w:rPr>
        <w:t>Item 1.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Condensed Consolidated Financial Statements (Unaudited)</w:t>
      </w:r>
    </w:p>
    <w:tbl>
      <w:tblPr>
        <w:tblW w:w="5773" w:type="dxa"/>
        <w:jc w:val="left"/>
        <w:tblInd w:w="0" w:type="dxa"/>
        <w:tblCellMar>
          <w:top w:w="0" w:type="dxa"/>
          <w:left w:w="0" w:type="dxa"/>
          <w:bottom w:w="0" w:type="dxa"/>
          <w:right w:w="0" w:type="dxa"/>
        </w:tblCellMar>
      </w:tblPr>
      <w:tblGrid>
        <w:gridCol w:w="5086"/>
        <w:gridCol w:w="326"/>
        <w:gridCol w:w="361"/>
      </w:tblGrid>
      <w:tr>
        <w:trPr/>
        <w:tc>
          <w:tcPr>
            <w:tcW w:w="5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229610" cy="175260"/>
                      <wp:effectExtent l="0" t="0" r="0" b="0"/>
                      <wp:wrapNone/>
                      <wp:docPr id="7" name="Frame7"/>
                      <a:graphic xmlns:a="http://schemas.openxmlformats.org/drawingml/2006/main">
                        <a:graphicData uri="http://schemas.microsoft.com/office/word/2010/wordprocessingShape">
                          <wps:wsp>
                            <wps:cNvSpPr txBox="1"/>
                            <wps:spPr>
                              <a:xfrm>
                                <a:off x="0" y="0"/>
                                <a:ext cx="322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175260"/>
                      <wp:effectExtent l="0" t="0" r="0" b="0"/>
                      <wp:wrapNone/>
                      <wp:docPr id="8" name="Frame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86" w:type="dxa"/>
            <w:tcBorders/>
            <w:shd w:fill="CCEEFF" w:val="clear"/>
            <w:vAlign w:val="center"/>
          </w:tcPr>
          <w:p>
            <w:pPr>
              <w:pStyle w:val="TableContents"/>
              <w:spacing w:before="0" w:after="0"/>
              <w:ind w:left="0" w:right="0" w:hanging="0"/>
              <w:rPr/>
            </w:pPr>
            <w:hyperlink w:anchor="CondensedConsolidatedBalanceSheets_25550">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086" w:type="dxa"/>
            <w:tcBorders/>
            <w:shd w:fill="auto" w:val="clear"/>
            <w:vAlign w:val="center"/>
          </w:tcPr>
          <w:p>
            <w:pPr>
              <w:pStyle w:val="TableContents"/>
              <w:spacing w:before="0" w:after="0"/>
              <w:ind w:left="0" w:right="0" w:hanging="0"/>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086" w:type="dxa"/>
            <w:tcBorders/>
            <w:shd w:fill="CCEEFF" w:val="clear"/>
            <w:vAlign w:val="center"/>
          </w:tcPr>
          <w:p>
            <w:pPr>
              <w:pStyle w:val="TableContents"/>
              <w:spacing w:before="0" w:after="0"/>
              <w:ind w:left="0" w:right="0" w:hanging="0"/>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w:t>
              </w:r>
            </w:hyperlink>
          </w:p>
        </w:tc>
        <w:tc>
          <w:tcPr>
            <w:tcW w:w="32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086" w:type="dxa"/>
            <w:tcBorders/>
            <w:shd w:fill="auto" w:val="clear"/>
            <w:vAlign w:val="center"/>
          </w:tcPr>
          <w:p>
            <w:pPr>
              <w:pStyle w:val="TableContents"/>
              <w:spacing w:before="0" w:after="0"/>
              <w:ind w:left="0" w:right="0" w:hanging="0"/>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086" w:type="dxa"/>
            <w:tcBorders/>
            <w:shd w:fill="CCEEFF" w:val="clear"/>
            <w:vAlign w:val="center"/>
          </w:tcPr>
          <w:p>
            <w:pPr>
              <w:pStyle w:val="TableContents"/>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086" w:type="dxa"/>
            <w:tcBorders/>
            <w:shd w:fill="auto" w:val="clear"/>
            <w:vAlign w:val="center"/>
          </w:tcPr>
          <w:p>
            <w:pPr>
              <w:pStyle w:val="TableContents"/>
              <w:spacing w:before="0" w:after="0"/>
              <w:ind w:left="0" w:right="0" w:hanging="0"/>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4" w:name="_f3602332_1f05_4527_9773_8be973caea4f"/>
      <w:bookmarkEnd w:id="54"/>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55" w:name="CondensedConsolidatedBalanceSheets_25550"/>
      <w:bookmarkEnd w:id="55"/>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56" w:name="Tc_VGjEN60jHEWJz_vDO296uA_41_5"/>
      <w:bookmarkStart w:id="57" w:name="Tc_UIjyx06TKEGud1ztAkN3iA_41_2"/>
      <w:bookmarkStart w:id="58" w:name="Tc_5vSZMZem1E2b57L1asoMJg_41_0"/>
      <w:bookmarkStart w:id="59" w:name="Tc_MvKtOjNAAk2mLQaDrK5f4w_40_0"/>
      <w:bookmarkStart w:id="60" w:name="Tc_e_gFW1K90U-_2PFB3sQ7fg_39_0"/>
      <w:bookmarkStart w:id="61" w:name="Tc_q2C_VlVwp06KnhMbNZ00wA_38_0"/>
      <w:bookmarkStart w:id="62" w:name="Tc_CVlGPbt3nEe3XpgoxjrDJg_37_0"/>
      <w:bookmarkStart w:id="63" w:name="Tc_1ZiIdgZsOk2YsqaAR3EpFA_36_0"/>
      <w:bookmarkStart w:id="64" w:name="Tc_PQNVt6aJP0WURK_0iqmb-w_35_6"/>
      <w:bookmarkStart w:id="65" w:name="Tc_KwPnakh1qEOK92ZovjUJjw_35_3"/>
      <w:bookmarkStart w:id="66" w:name="_a176d905_4028_4275_b649_d8d6a098792b_3"/>
      <w:bookmarkStart w:id="67" w:name="_a176d905_4028_4275_b649_d8d6a098792b_2"/>
      <w:bookmarkStart w:id="68" w:name="_a176d905_4028_4275_b649_d8d6a098792b"/>
      <w:bookmarkStart w:id="69" w:name="_8014f9ca_972c_42a4_9223_de2593c84b79_3"/>
      <w:bookmarkStart w:id="70" w:name="_8014f9ca_972c_42a4_9223_de2593c84b79_2"/>
      <w:bookmarkStart w:id="71" w:name="_8014f9ca_972c_42a4_9223_de2593c84b79"/>
      <w:bookmarkStart w:id="72" w:name="Tc_pYM1LCKFrEagIvWYusm79Q_35_0"/>
      <w:bookmarkStart w:id="73" w:name="Tc__A9XkbSOokCVdfivSSbtOg_34_0"/>
      <w:bookmarkStart w:id="74" w:name="Tc_m2rouhonxk-pC3pTzFHf0w_33_0"/>
      <w:bookmarkStart w:id="75" w:name="Tc_8vVGJuCUaUCnQISvWfDqDg_32_0"/>
      <w:bookmarkStart w:id="76" w:name="Tc_khXWi5R6n0OlNqkxg2m1vg_31_0"/>
      <w:bookmarkStart w:id="77" w:name="Tc_xuZPDF0k50aHdVxebuYnqg_30_0"/>
      <w:bookmarkStart w:id="78" w:name="Tc_MhWFD6xoyUCkbfRH26LOjA_29_0"/>
      <w:bookmarkStart w:id="79" w:name="Tc_G2heanvyk0mU_ersut_gKA_28_0"/>
      <w:bookmarkStart w:id="80" w:name="Tc_l2Ie5mBbp0ChBuRka5Lb5w_27_0"/>
      <w:bookmarkStart w:id="81" w:name="Tc_ZyvmX8IJkUmLqy0VlbDfmA_26_0"/>
      <w:bookmarkStart w:id="82" w:name="Tc_c9T63r40WUC25FPPyVGJaQ_25_0"/>
      <w:bookmarkStart w:id="83" w:name="Tc_qfSrwNq0gU-pTcgjcwzCAQ_24_0"/>
      <w:bookmarkStart w:id="84" w:name="Tc_rqfn-sMaSUe0d8UViXu2NA_23_0"/>
      <w:bookmarkStart w:id="85" w:name="Tc_qb6Tk8mZjEiMXZYesZso3g_22_0"/>
      <w:bookmarkStart w:id="86" w:name="Tc_vTyfX_drcEusWcyIQHAVbA_21_5"/>
      <w:bookmarkStart w:id="87" w:name="Tc_2zsoPSubpkO07e_gpBGHRw_21_2"/>
      <w:bookmarkStart w:id="88" w:name="Tc_eohsylriyk2GBVnYa8XLJQ_21_0"/>
      <w:bookmarkStart w:id="89" w:name="Tc_dYL0xdD0a06alij7gC0pyQ_20_0"/>
      <w:bookmarkStart w:id="90" w:name="Tc_h-ZWL13qSkyez5RNw68Wpw_19_0"/>
      <w:bookmarkStart w:id="91" w:name="Tc_-Gj6RcuaP0SFGUS1cuQA4w_18_5"/>
      <w:bookmarkStart w:id="92" w:name="Tc_u0RQPFCziUOHgwIvkCNYSQ_18_2"/>
      <w:bookmarkStart w:id="93" w:name="Tc_5pSm5yRIiUS4oaoQ9WQOsA_18_0"/>
      <w:bookmarkStart w:id="94" w:name="Tc_uW9RIz9VHUylN8zIuhb4yw_17_0"/>
      <w:bookmarkStart w:id="95" w:name="Tc_57rde5Ql8UqKPcBE8owrkA_16_0"/>
      <w:bookmarkStart w:id="96" w:name="Tc_mXXZzStzM0SogEYfMeNW_Q_15_0"/>
      <w:bookmarkStart w:id="97" w:name="Tc_Kw8fSncPc0a6_0b8TGVibg_14_0"/>
      <w:bookmarkStart w:id="98" w:name="Tc_dwmTsOE4c0i1YSY2bSv20A_13_0"/>
      <w:bookmarkStart w:id="99" w:name="Tc_r7KqhhEL606Q-b1txI7m6w_12_0"/>
      <w:bookmarkStart w:id="100" w:name="Tc_rRvEKHjuH0-8jc1B_8mElQ_11_0"/>
      <w:bookmarkStart w:id="101" w:name="Tc_YzRbXUM1qUCMF--QYPVLFQ_10_0"/>
      <w:bookmarkStart w:id="102" w:name="Tc_xpM8-Qj2CUq6Hgk0ACT4FQ_9_0"/>
      <w:bookmarkStart w:id="103" w:name="Tc_-SRN9aOty0Su0AME9m1YkQ_8_0"/>
      <w:bookmarkStart w:id="104" w:name="Tc_SpygRPTK8ka9Q14RSYRcdw_7_0"/>
      <w:bookmarkStart w:id="105" w:name="Tc_LmFj0dsc70aN4lDz2bQ2Jw_6_0"/>
      <w:bookmarkStart w:id="106" w:name="Tc_hk9ji7lF6kGqgwTHWnMdlw_5_5"/>
      <w:bookmarkStart w:id="107" w:name="Tc_iNvB9WQATU2lpFTqc8IQaA_5_2"/>
      <w:bookmarkStart w:id="108" w:name="Tc_OxhpME_7j0WryXrTxr2Klg_5_0"/>
      <w:bookmarkStart w:id="109" w:name="Tc_tKzcafpJ90qEKVgckj39xQ_4_0"/>
      <w:bookmarkStart w:id="110" w:name="Tc_DU2eoPhrfE2nN8byhF84sg_3_0"/>
      <w:bookmarkStart w:id="111" w:name="Tc_hlty8x_jVUqcMjJaY2g0Ow_2_5"/>
      <w:bookmarkStart w:id="112" w:name="Tc_AfsLAtgsPkm8a-LctVweUA_2_2"/>
      <w:bookmarkStart w:id="113" w:name="Tc_gHe29WYIr0qOrwSg2asVCQ_1_5"/>
      <w:bookmarkStart w:id="114" w:name="Tc_1dUhoexj1UCcv-9ZPSRu-Q_1_2"/>
      <w:bookmarkStart w:id="115" w:name="_b705ee01_5baf_4812_b92d_33e067ab5788"/>
      <w:bookmarkStart w:id="116" w:name="Tc_VGjEN60jHEWJz_vDO296uA_41_5"/>
      <w:bookmarkStart w:id="117" w:name="Tc_UIjyx06TKEGud1ztAkN3iA_41_2"/>
      <w:bookmarkStart w:id="118" w:name="Tc_5vSZMZem1E2b57L1asoMJg_41_0"/>
      <w:bookmarkStart w:id="119" w:name="Tc_MvKtOjNAAk2mLQaDrK5f4w_40_0"/>
      <w:bookmarkStart w:id="120" w:name="Tc_e_gFW1K90U-_2PFB3sQ7fg_39_0"/>
      <w:bookmarkStart w:id="121" w:name="Tc_q2C_VlVwp06KnhMbNZ00wA_38_0"/>
      <w:bookmarkStart w:id="122" w:name="Tc_CVlGPbt3nEe3XpgoxjrDJg_37_0"/>
      <w:bookmarkStart w:id="123" w:name="Tc_1ZiIdgZsOk2YsqaAR3EpFA_36_0"/>
      <w:bookmarkStart w:id="124" w:name="Tc_PQNVt6aJP0WURK_0iqmb-w_35_6"/>
      <w:bookmarkStart w:id="125" w:name="Tc_KwPnakh1qEOK92ZovjUJjw_35_3"/>
      <w:bookmarkStart w:id="126" w:name="_a176d905_4028_4275_b649_d8d6a098792b_3"/>
      <w:bookmarkStart w:id="127" w:name="_a176d905_4028_4275_b649_d8d6a098792b_2"/>
      <w:bookmarkStart w:id="128" w:name="_a176d905_4028_4275_b649_d8d6a098792b"/>
      <w:bookmarkStart w:id="129" w:name="_8014f9ca_972c_42a4_9223_de2593c84b79_3"/>
      <w:bookmarkStart w:id="130" w:name="_8014f9ca_972c_42a4_9223_de2593c84b79_2"/>
      <w:bookmarkStart w:id="131" w:name="_8014f9ca_972c_42a4_9223_de2593c84b79"/>
      <w:bookmarkStart w:id="132" w:name="Tc_pYM1LCKFrEagIvWYusm79Q_35_0"/>
      <w:bookmarkStart w:id="133" w:name="Tc__A9XkbSOokCVdfivSSbtOg_34_0"/>
      <w:bookmarkStart w:id="134" w:name="Tc_m2rouhonxk-pC3pTzFHf0w_33_0"/>
      <w:bookmarkStart w:id="135" w:name="Tc_8vVGJuCUaUCnQISvWfDqDg_32_0"/>
      <w:bookmarkStart w:id="136" w:name="Tc_khXWi5R6n0OlNqkxg2m1vg_31_0"/>
      <w:bookmarkStart w:id="137" w:name="Tc_xuZPDF0k50aHdVxebuYnqg_30_0"/>
      <w:bookmarkStart w:id="138" w:name="Tc_MhWFD6xoyUCkbfRH26LOjA_29_0"/>
      <w:bookmarkStart w:id="139" w:name="Tc_G2heanvyk0mU_ersut_gKA_28_0"/>
      <w:bookmarkStart w:id="140" w:name="Tc_l2Ie5mBbp0ChBuRka5Lb5w_27_0"/>
      <w:bookmarkStart w:id="141" w:name="Tc_ZyvmX8IJkUmLqy0VlbDfmA_26_0"/>
      <w:bookmarkStart w:id="142" w:name="Tc_c9T63r40WUC25FPPyVGJaQ_25_0"/>
      <w:bookmarkStart w:id="143" w:name="Tc_qfSrwNq0gU-pTcgjcwzCAQ_24_0"/>
      <w:bookmarkStart w:id="144" w:name="Tc_rqfn-sMaSUe0d8UViXu2NA_23_0"/>
      <w:bookmarkStart w:id="145" w:name="Tc_qb6Tk8mZjEiMXZYesZso3g_22_0"/>
      <w:bookmarkStart w:id="146" w:name="Tc_vTyfX_drcEusWcyIQHAVbA_21_5"/>
      <w:bookmarkStart w:id="147" w:name="Tc_2zsoPSubpkO07e_gpBGHRw_21_2"/>
      <w:bookmarkStart w:id="148" w:name="Tc_eohsylriyk2GBVnYa8XLJQ_21_0"/>
      <w:bookmarkStart w:id="149" w:name="Tc_dYL0xdD0a06alij7gC0pyQ_20_0"/>
      <w:bookmarkStart w:id="150" w:name="Tc_h-ZWL13qSkyez5RNw68Wpw_19_0"/>
      <w:bookmarkStart w:id="151" w:name="Tc_-Gj6RcuaP0SFGUS1cuQA4w_18_5"/>
      <w:bookmarkStart w:id="152" w:name="Tc_u0RQPFCziUOHgwIvkCNYSQ_18_2"/>
      <w:bookmarkStart w:id="153" w:name="Tc_5pSm5yRIiUS4oaoQ9WQOsA_18_0"/>
      <w:bookmarkStart w:id="154" w:name="Tc_uW9RIz9VHUylN8zIuhb4yw_17_0"/>
      <w:bookmarkStart w:id="155" w:name="Tc_57rde5Ql8UqKPcBE8owrkA_16_0"/>
      <w:bookmarkStart w:id="156" w:name="Tc_mXXZzStzM0SogEYfMeNW_Q_15_0"/>
      <w:bookmarkStart w:id="157" w:name="Tc_Kw8fSncPc0a6_0b8TGVibg_14_0"/>
      <w:bookmarkStart w:id="158" w:name="Tc_dwmTsOE4c0i1YSY2bSv20A_13_0"/>
      <w:bookmarkStart w:id="159" w:name="Tc_r7KqhhEL606Q-b1txI7m6w_12_0"/>
      <w:bookmarkStart w:id="160" w:name="Tc_rRvEKHjuH0-8jc1B_8mElQ_11_0"/>
      <w:bookmarkStart w:id="161" w:name="Tc_YzRbXUM1qUCMF--QYPVLFQ_10_0"/>
      <w:bookmarkStart w:id="162" w:name="Tc_xpM8-Qj2CUq6Hgk0ACT4FQ_9_0"/>
      <w:bookmarkStart w:id="163" w:name="Tc_-SRN9aOty0Su0AME9m1YkQ_8_0"/>
      <w:bookmarkStart w:id="164" w:name="Tc_SpygRPTK8ka9Q14RSYRcdw_7_0"/>
      <w:bookmarkStart w:id="165" w:name="Tc_LmFj0dsc70aN4lDz2bQ2Jw_6_0"/>
      <w:bookmarkStart w:id="166" w:name="Tc_hk9ji7lF6kGqgwTHWnMdlw_5_5"/>
      <w:bookmarkStart w:id="167" w:name="Tc_iNvB9WQATU2lpFTqc8IQaA_5_2"/>
      <w:bookmarkStart w:id="168" w:name="Tc_OxhpME_7j0WryXrTxr2Klg_5_0"/>
      <w:bookmarkStart w:id="169" w:name="Tc_tKzcafpJ90qEKVgckj39xQ_4_0"/>
      <w:bookmarkStart w:id="170" w:name="Tc_DU2eoPhrfE2nN8byhF84sg_3_0"/>
      <w:bookmarkStart w:id="171" w:name="Tc_hlty8x_jVUqcMjJaY2g0Ow_2_5"/>
      <w:bookmarkStart w:id="172" w:name="Tc_AfsLAtgsPkm8a-LctVweUA_2_2"/>
      <w:bookmarkStart w:id="173" w:name="Tc_gHe29WYIr0qOrwSg2asVCQ_1_5"/>
      <w:bookmarkStart w:id="174" w:name="Tc_1dUhoexj1UCcv-9ZPSRu-Q_1_2"/>
      <w:bookmarkStart w:id="175" w:name="_b705ee01_5baf_4812_b92d_33e067ab5788"/>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W w:w="10205" w:type="dxa"/>
        <w:jc w:val="left"/>
        <w:tblInd w:w="0" w:type="dxa"/>
        <w:tblCellMar>
          <w:top w:w="0" w:type="dxa"/>
          <w:left w:w="0" w:type="dxa"/>
          <w:bottom w:w="0" w:type="dxa"/>
          <w:right w:w="0" w:type="dxa"/>
        </w:tblCellMar>
      </w:tblPr>
      <w:tblGrid>
        <w:gridCol w:w="7374"/>
        <w:gridCol w:w="326"/>
        <w:gridCol w:w="211"/>
        <w:gridCol w:w="786"/>
        <w:gridCol w:w="326"/>
        <w:gridCol w:w="217"/>
        <w:gridCol w:w="810"/>
        <w:gridCol w:w="155"/>
      </w:tblGrid>
      <w:tr>
        <w:trPr/>
        <w:tc>
          <w:tcPr>
            <w:tcW w:w="7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682490" cy="175260"/>
                      <wp:effectExtent l="0" t="0" r="0" b="0"/>
                      <wp:wrapNone/>
                      <wp:docPr id="9" name="Frame9"/>
                      <a:graphic xmlns:a="http://schemas.openxmlformats.org/drawingml/2006/main">
                        <a:graphicData uri="http://schemas.microsoft.com/office/word/2010/wordprocessingShape">
                          <wps:wsp>
                            <wps:cNvSpPr txBox="1"/>
                            <wps:spPr>
                              <a:xfrm>
                                <a:off x="0" y="0"/>
                                <a:ext cx="46824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9110" cy="175260"/>
                      <wp:effectExtent l="0" t="0" r="0" b="0"/>
                      <wp:wrapNone/>
                      <wp:docPr id="12" name="Frame12"/>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7795" cy="175260"/>
                      <wp:effectExtent l="0" t="0" r="0" b="0"/>
                      <wp:wrapNone/>
                      <wp:docPr id="14" name="Frame14"/>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4350" cy="175260"/>
                      <wp:effectExtent l="0" t="0" r="0" b="0"/>
                      <wp:wrapNone/>
                      <wp:docPr id="15" name="Frame15"/>
                      <a:graphic xmlns:a="http://schemas.openxmlformats.org/drawingml/2006/main">
                        <a:graphicData uri="http://schemas.microsoft.com/office/word/2010/wordprocessingShape">
                          <wps:wsp>
                            <wps:cNvSpPr txBox="1"/>
                            <wps:spPr>
                              <a:xfrm>
                                <a:off x="0" y="0"/>
                                <a:ext cx="514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8425" cy="175260"/>
                      <wp:effectExtent l="0" t="0" r="0" b="0"/>
                      <wp:wrapNone/>
                      <wp:docPr id="16" name="Frame16"/>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w:t>
            </w:r>
          </w:p>
        </w:tc>
        <w:tc>
          <w:tcPr>
            <w:tcW w:w="326" w:type="dxa"/>
            <w:tcBorders/>
            <w:shd w:fill="auto" w:val="clear"/>
            <w:vAlign w:val="center"/>
          </w:tcPr>
          <w:p>
            <w:pPr>
              <w:pStyle w:val="TableContents"/>
              <w:spacing w:before="0" w:after="0"/>
              <w:ind w:left="0" w:right="0" w:hanging="0"/>
              <w:rPr/>
            </w:pPr>
            <w:r>
              <w:rPr/>
              <w:t>​</w:t>
            </w:r>
          </w:p>
        </w:tc>
        <w:tc>
          <w:tcPr>
            <w:tcW w:w="10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55" w:type="dxa"/>
            <w:tcBorders/>
            <w:shd w:fill="auto" w:val="clear"/>
            <w:vAlign w:val="center"/>
          </w:tcPr>
          <w:p>
            <w:pPr>
              <w:pStyle w:val="TableContents"/>
              <w:spacing w:before="0" w:after="0"/>
              <w:ind w:left="0" w:right="0" w:hanging="0"/>
              <w:jc w:val="center"/>
              <w:rPr/>
            </w:pPr>
            <w:r>
              <w:rPr/>
              <w:t>​</w:t>
            </w:r>
          </w:p>
        </w:tc>
      </w:tr>
      <w:tr>
        <w:trPr/>
        <w:tc>
          <w:tcPr>
            <w:tcW w:w="73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5" w:type="dxa"/>
            <w:tcBorders/>
            <w:shd w:fill="auto" w:val="clear"/>
            <w:vAlign w:val="center"/>
          </w:tcPr>
          <w:p>
            <w:pPr>
              <w:pStyle w:val="TableContents"/>
              <w:spacing w:before="0" w:after="0"/>
              <w:ind w:left="0" w:right="0" w:hanging="0"/>
              <w:jc w:val="center"/>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55,016</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32,626</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receivables,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102,374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48,847</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149,555</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165,220</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receivable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5,132</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6,579</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5,998</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318,656</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255,007</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105,167</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98,184</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25,132</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25,095</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7,867</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7,762</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36,927</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38,308</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131,196</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131,383</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302,299</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309,215</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2,408</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4,729</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929,652</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869,683</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pPr>
            <w:r>
              <w:rPr/>
              <w:t>  </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48,835</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25,449</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 – related party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6,923</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46,747</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50,885</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106,283</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86,865</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debt, net of discount, debt issuance costs, and current portion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357,211</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309,631</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 liabilities,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50,181</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50,181</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Liability for uncertain tax positions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7,248</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30,905</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32,391</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2,777</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554,605</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486,893</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pPr>
            <w:r>
              <w:rPr/>
              <w:t>  </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Preferred stock, $0.0001 par value; 100,000,000 shares authorized as of both April 1, 2023 and December 31, 2022; no shares issued and outstanding as of both April 1, 2023 and 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w:t>
            </w:r>
          </w:p>
        </w:tc>
        <w:tc>
          <w:tcPr>
            <w:tcW w:w="810"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$0.0001 par value; 900,000,000 shares authorized as of April 1, 2023 and December 31, 2022; 114,690,053 and 114,667,975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April 1, 2023 and December 31, 2022, respectively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447,649</w:t>
            </w:r>
          </w:p>
        </w:tc>
        <w:tc>
          <w:tcPr>
            <w:tcW w:w="326" w:type="dxa"/>
            <w:tcBorders/>
            <w:shd w:fill="CCEEFF" w:val="clear"/>
            <w:vAlign w:val="center"/>
          </w:tcPr>
          <w:p>
            <w:pPr>
              <w:pStyle w:val="TableContents"/>
              <w:spacing w:before="0" w:after="0"/>
              <w:ind w:left="0" w:right="0" w:hanging="0"/>
              <w:rPr/>
            </w:pPr>
            <w:r>
              <w:rPr/>
              <w:t>​</w:t>
            </w:r>
          </w:p>
        </w:tc>
        <w:tc>
          <w:tcPr>
            <w:tcW w:w="217" w:type="dxa"/>
            <w:tcBorders/>
            <w:shd w:fill="CCEEFF" w:val="clear"/>
            <w:vAlign w:val="center"/>
          </w:tcPr>
          <w:p>
            <w:pPr>
              <w:pStyle w:val="TableContents"/>
              <w:spacing w:before="0" w:after="0"/>
              <w:ind w:left="0" w:right="0" w:hanging="0"/>
              <w:rPr/>
            </w:pPr>
            <w:r>
              <w:rPr/>
              <w:t> </w:t>
            </w:r>
          </w:p>
        </w:tc>
        <w:tc>
          <w:tcPr>
            <w:tcW w:w="8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440,880</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(68,936)</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rPr/>
            </w:pPr>
            <w:r>
              <w:rPr/>
              <w:t> </w:t>
            </w:r>
          </w:p>
        </w:tc>
        <w:tc>
          <w:tcPr>
            <w:tcW w:w="8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(54,568)</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155" w:type="dxa"/>
            <w:tcBorders/>
            <w:shd w:fill="CCEEFF" w:val="clear"/>
            <w:vAlign w:val="center"/>
          </w:tcPr>
          <w:p>
            <w:pPr>
              <w:pStyle w:val="TableContents"/>
              <w:spacing w:before="0" w:after="0"/>
              <w:ind w:left="0" w:right="0" w:hanging="0"/>
              <w:jc w:val="right"/>
              <w:rPr/>
            </w:pPr>
            <w:r>
              <w:rPr/>
              <w:t>​</w:t>
            </w:r>
          </w:p>
        </w:tc>
      </w:tr>
      <w:tr>
        <w:trPr/>
        <w:tc>
          <w:tcPr>
            <w:tcW w:w="737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375,047</w:t>
            </w:r>
          </w:p>
        </w:tc>
        <w:tc>
          <w:tcPr>
            <w:tcW w:w="326" w:type="dxa"/>
            <w:tcBorders/>
            <w:shd w:fill="auto" w:val="clear"/>
            <w:vAlign w:val="center"/>
          </w:tcPr>
          <w:p>
            <w:pPr>
              <w:pStyle w:val="TableContents"/>
              <w:spacing w:before="0" w:after="0"/>
              <w:ind w:left="0" w:right="0" w:hanging="0"/>
              <w:rPr/>
            </w:pPr>
            <w:r>
              <w:rPr/>
              <w:t>​</w:t>
            </w:r>
          </w:p>
        </w:tc>
        <w:tc>
          <w:tcPr>
            <w:tcW w:w="21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382,790</w:t>
            </w:r>
          </w:p>
        </w:tc>
        <w:tc>
          <w:tcPr>
            <w:tcW w:w="155" w:type="dxa"/>
            <w:tcBorders/>
            <w:shd w:fill="auto" w:val="clear"/>
            <w:vAlign w:val="center"/>
          </w:tcPr>
          <w:p>
            <w:pPr>
              <w:pStyle w:val="TableContents"/>
              <w:spacing w:before="0" w:after="0"/>
              <w:ind w:left="0" w:right="0" w:hanging="0"/>
              <w:jc w:val="right"/>
              <w:rPr/>
            </w:pPr>
            <w:r>
              <w:rPr/>
              <w:t>​</w:t>
            </w:r>
          </w:p>
        </w:tc>
      </w:tr>
      <w:tr>
        <w:trPr/>
        <w:tc>
          <w:tcPr>
            <w:tcW w:w="737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929,652</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869,683</w:t>
            </w:r>
          </w:p>
        </w:tc>
        <w:tc>
          <w:tcPr>
            <w:tcW w:w="155"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76" w:name="_e2945db7_5670_409c_9fc0_1b19f4a60703"/>
      <w:bookmarkEnd w:id="176"/>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177" w:name="CondensedConsolidatedStatementsofOperati"/>
      <w:bookmarkEnd w:id="177"/>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78" w:name="Tc_vdEAthdkFE6Y_VxxeHNYVQ_24_0"/>
      <w:bookmarkStart w:id="179" w:name="Tc_zpmf87rndkSNhfVwZCMS4g_23_0"/>
      <w:bookmarkStart w:id="180" w:name="Tc_nJ2KJz9ujEiF37ketSrPeQ_22_0"/>
      <w:bookmarkStart w:id="181" w:name="Tc_CKAi9dAjEUiU2S12VgmL3A_21_5"/>
      <w:bookmarkStart w:id="182" w:name="Tc_vCrr1VVlA0uAGfcr2Oe4ZA_21_2"/>
      <w:bookmarkStart w:id="183" w:name="Tc_pe8dhYZrdkKKXbY8ZywuRA_21_0"/>
      <w:bookmarkStart w:id="184" w:name="Tc_3HtP0bhezkOxItAnn2ZkFA_20_5"/>
      <w:bookmarkStart w:id="185" w:name="Tc_K_PWC_ZC1UCGhELgDOqQ8Q_20_2"/>
      <w:bookmarkStart w:id="186" w:name="Tc_8HpenXAsLE2KxQSBjYeDig_20_0"/>
      <w:bookmarkStart w:id="187" w:name="Tc_GY2SGmQN9k-JvvyBaUrJaA_19_0"/>
      <w:bookmarkStart w:id="188" w:name="Tc_4VxsZuMTq06YTCpJ4SFxlg_18_5"/>
      <w:bookmarkStart w:id="189" w:name="Tc_M80xMvrudk-PMeSY6_qoVg_18_2"/>
      <w:bookmarkStart w:id="190" w:name="Tc_Qy0u7vBFyEKYMWRL9TulvA_18_0"/>
      <w:bookmarkStart w:id="191" w:name="Tc_zqBHn6VDUk-BsUCQ-7N6-g_17_0"/>
      <w:bookmarkStart w:id="192" w:name="Tc_Qg4TjVj4XkW1Y1JNIzT-9Q_16_0"/>
      <w:bookmarkStart w:id="193" w:name="Tc_-wyoHlrnr0uo3Y0HjuOLzg_15_0"/>
      <w:bookmarkStart w:id="194" w:name="Tc_HgTfFOJ9qkKStyN8658HIg_14_0"/>
      <w:bookmarkStart w:id="195" w:name="Tc_o1bIZlposESw8nQ0E6eMsg_13_0"/>
      <w:bookmarkStart w:id="196" w:name="Tc_iFIcIz_U30yM8MWjoaakVQ_12_3"/>
      <w:bookmarkStart w:id="197" w:name="Tc_mWvBZUDcJ0K4Z80XxVcCkw_12_0"/>
      <w:bookmarkStart w:id="198" w:name="Tc_ZQAQsvd74UmXk1Pev3QMYw_11_0"/>
      <w:bookmarkStart w:id="199" w:name="Tc_pvUAVeIAx0uXHRb_leR9kQ_10_0"/>
      <w:bookmarkStart w:id="200" w:name="Tc_9leH1hJRakSE_GFuncA17g_9_0"/>
      <w:bookmarkStart w:id="201" w:name="Tc_DQP2wh6LH0WSMn1gSnMySg_8_0"/>
      <w:bookmarkStart w:id="202" w:name="Tc_1UgA4CVRyk-ccxRizCrnRA_7_3"/>
      <w:bookmarkStart w:id="203" w:name="Tc_pkbLelI4FUeROV3Hx1mw8w_7_0"/>
      <w:bookmarkStart w:id="204" w:name="Tc_9YX64F1cyU-Nsgv7vDHyFA_6_0"/>
      <w:bookmarkStart w:id="205" w:name="Tc_3Eaq0JzMlUWmTLe_aveLyg_5_0"/>
      <w:bookmarkStart w:id="206" w:name="Tc_FzI8IGmJGU60tyGUnsyxww_4_0"/>
      <w:bookmarkStart w:id="207" w:name="Tc_12DinmjcwkaTjECP7b4pBw_3_5"/>
      <w:bookmarkStart w:id="208" w:name="Tc_b85vblPANUuwawSLH4sAqw_3_2"/>
      <w:bookmarkStart w:id="209" w:name="Tc_wkELKtkzzEC92nu3BsKlhw_3_0"/>
      <w:bookmarkStart w:id="210" w:name="Tc_k2m_94X1wE-DuX4kaKhUtw_2_5"/>
      <w:bookmarkStart w:id="211" w:name="Tc_M2ZWeFzX50WjH1tFOxeczw_2_2"/>
      <w:bookmarkStart w:id="212" w:name="Tc_NcPPa9sv90mQ2A1nmCfOOQ_1_2"/>
      <w:bookmarkStart w:id="213" w:name="_d350df35_561a_4894_942c_5aafb7aa9e37"/>
      <w:bookmarkStart w:id="214" w:name="Tc_vdEAthdkFE6Y_VxxeHNYVQ_24_0"/>
      <w:bookmarkStart w:id="215" w:name="Tc_zpmf87rndkSNhfVwZCMS4g_23_0"/>
      <w:bookmarkStart w:id="216" w:name="Tc_nJ2KJz9ujEiF37ketSrPeQ_22_0"/>
      <w:bookmarkStart w:id="217" w:name="Tc_CKAi9dAjEUiU2S12VgmL3A_21_5"/>
      <w:bookmarkStart w:id="218" w:name="Tc_vCrr1VVlA0uAGfcr2Oe4ZA_21_2"/>
      <w:bookmarkStart w:id="219" w:name="Tc_pe8dhYZrdkKKXbY8ZywuRA_21_0"/>
      <w:bookmarkStart w:id="220" w:name="Tc_3HtP0bhezkOxItAnn2ZkFA_20_5"/>
      <w:bookmarkStart w:id="221" w:name="Tc_K_PWC_ZC1UCGhELgDOqQ8Q_20_2"/>
      <w:bookmarkStart w:id="222" w:name="Tc_8HpenXAsLE2KxQSBjYeDig_20_0"/>
      <w:bookmarkStart w:id="223" w:name="Tc_GY2SGmQN9k-JvvyBaUrJaA_19_0"/>
      <w:bookmarkStart w:id="224" w:name="Tc_4VxsZuMTq06YTCpJ4SFxlg_18_5"/>
      <w:bookmarkStart w:id="225" w:name="Tc_M80xMvrudk-PMeSY6_qoVg_18_2"/>
      <w:bookmarkStart w:id="226" w:name="Tc_Qy0u7vBFyEKYMWRL9TulvA_18_0"/>
      <w:bookmarkStart w:id="227" w:name="Tc_zqBHn6VDUk-BsUCQ-7N6-g_17_0"/>
      <w:bookmarkStart w:id="228" w:name="Tc_Qg4TjVj4XkW1Y1JNIzT-9Q_16_0"/>
      <w:bookmarkStart w:id="229" w:name="Tc_-wyoHlrnr0uo3Y0HjuOLzg_15_0"/>
      <w:bookmarkStart w:id="230" w:name="Tc_HgTfFOJ9qkKStyN8658HIg_14_0"/>
      <w:bookmarkStart w:id="231" w:name="Tc_o1bIZlposESw8nQ0E6eMsg_13_0"/>
      <w:bookmarkStart w:id="232" w:name="Tc_iFIcIz_U30yM8MWjoaakVQ_12_3"/>
      <w:bookmarkStart w:id="233" w:name="Tc_mWvBZUDcJ0K4Z80XxVcCkw_12_0"/>
      <w:bookmarkStart w:id="234" w:name="Tc_ZQAQsvd74UmXk1Pev3QMYw_11_0"/>
      <w:bookmarkStart w:id="235" w:name="Tc_pvUAVeIAx0uXHRb_leR9kQ_10_0"/>
      <w:bookmarkStart w:id="236" w:name="Tc_9leH1hJRakSE_GFuncA17g_9_0"/>
      <w:bookmarkStart w:id="237" w:name="Tc_DQP2wh6LH0WSMn1gSnMySg_8_0"/>
      <w:bookmarkStart w:id="238" w:name="Tc_1UgA4CVRyk-ccxRizCrnRA_7_3"/>
      <w:bookmarkStart w:id="239" w:name="Tc_pkbLelI4FUeROV3Hx1mw8w_7_0"/>
      <w:bookmarkStart w:id="240" w:name="Tc_9YX64F1cyU-Nsgv7vDHyFA_6_0"/>
      <w:bookmarkStart w:id="241" w:name="Tc_3Eaq0JzMlUWmTLe_aveLyg_5_0"/>
      <w:bookmarkStart w:id="242" w:name="Tc_FzI8IGmJGU60tyGUnsyxww_4_0"/>
      <w:bookmarkStart w:id="243" w:name="Tc_12DinmjcwkaTjECP7b4pBw_3_5"/>
      <w:bookmarkStart w:id="244" w:name="Tc_b85vblPANUuwawSLH4sAqw_3_2"/>
      <w:bookmarkStart w:id="245" w:name="Tc_wkELKtkzzEC92nu3BsKlhw_3_0"/>
      <w:bookmarkStart w:id="246" w:name="Tc_k2m_94X1wE-DuX4kaKhUtw_2_5"/>
      <w:bookmarkStart w:id="247" w:name="Tc_M2ZWeFzX50WjH1tFOxeczw_2_2"/>
      <w:bookmarkStart w:id="248" w:name="Tc_NcPPa9sv90mQ2A1nmCfOOQ_1_2"/>
      <w:bookmarkStart w:id="249" w:name="_d350df35_561a_4894_942c_5aafb7aa9e37"/>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tbl>
      <w:tblPr>
        <w:tblW w:w="8919" w:type="dxa"/>
        <w:jc w:val="left"/>
        <w:tblInd w:w="0" w:type="dxa"/>
        <w:tblCellMar>
          <w:top w:w="0" w:type="dxa"/>
          <w:left w:w="0" w:type="dxa"/>
          <w:bottom w:w="0" w:type="dxa"/>
          <w:right w:w="0" w:type="dxa"/>
        </w:tblCellMar>
      </w:tblPr>
      <w:tblGrid>
        <w:gridCol w:w="5506"/>
        <w:gridCol w:w="266"/>
        <w:gridCol w:w="211"/>
        <w:gridCol w:w="1141"/>
        <w:gridCol w:w="326"/>
        <w:gridCol w:w="211"/>
        <w:gridCol w:w="1258"/>
      </w:tblGrid>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8910" cy="175260"/>
                      <wp:effectExtent l="0" t="0" r="0" b="0"/>
                      <wp:wrapNone/>
                      <wp:docPr id="17" name="Frame1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4535" cy="175260"/>
                      <wp:effectExtent l="0" t="0" r="0" b="0"/>
                      <wp:wrapNone/>
                      <wp:docPr id="19" name="Frame1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98830" cy="175260"/>
                      <wp:effectExtent l="0" t="0" r="0" b="0"/>
                      <wp:wrapNone/>
                      <wp:docPr id="22" name="Frame22"/>
                      <a:graphic xmlns:a="http://schemas.openxmlformats.org/drawingml/2006/main">
                        <a:graphicData uri="http://schemas.microsoft.com/office/word/2010/wordprocessingShape">
                          <wps:wsp>
                            <wps:cNvSpPr txBox="1"/>
                            <wps:spPr>
                              <a:xfrm>
                                <a:off x="0" y="0"/>
                                <a:ext cx="798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314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r>
      <w:tr>
        <w:trPr/>
        <w:tc>
          <w:tcPr>
            <w:tcW w:w="550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4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191,614</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120,960</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70,654</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45,225</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11,437</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6,632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7,192</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6,800</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(income):</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0" w:hanging="0"/>
              <w:jc w:val="right"/>
              <w:rPr/>
            </w:pPr>
            <w:r>
              <w:rPr/>
              <w:t>  </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 (income), net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11,014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from equity method investment</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(17,296)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 expense</w:t>
            </w:r>
          </w:p>
        </w:tc>
        <w:tc>
          <w:tcPr>
            <w:tcW w:w="26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5,307</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6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share attributable to common stockholders:</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8" w:type="dxa"/>
            <w:tcBorders/>
            <w:shd w:fill="CCEEFF" w:val="clear"/>
            <w:vAlign w:val="center"/>
          </w:tcPr>
          <w:p>
            <w:pPr>
              <w:pStyle w:val="TableContents"/>
              <w:spacing w:before="0" w:after="0"/>
              <w:ind w:left="0" w:right="0" w:hanging="0"/>
              <w:jc w:val="right"/>
              <w:rPr/>
            </w:pPr>
            <w:r>
              <w:rPr/>
              <w:t>  </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0" w:hanging="0"/>
              <w:jc w:val="right"/>
              <w:rPr/>
            </w:pPr>
            <w:r>
              <w:rPr/>
              <w:t>  </w:t>
            </w:r>
          </w:p>
        </w:tc>
      </w:tr>
      <w:tr>
        <w:trPr/>
        <w:tc>
          <w:tcPr>
            <w:tcW w:w="55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26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112,102,198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r>
      <w:tr>
        <w:trPr/>
        <w:tc>
          <w:tcPr>
            <w:tcW w:w="55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112,102,198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8" w:type="dxa"/>
            <w:tcBorders/>
            <w:shd w:fill="auto"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113,698,513</w:t>
            </w:r>
          </w:p>
        </w:tc>
      </w:tr>
    </w:tbl>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50" w:name="_0a7b11ac_4cc8_4494_a60b_b428954fa221"/>
      <w:bookmarkEnd w:id="250"/>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251" w:name="CondensedConsolidatedStatementsofCompreh"/>
      <w:bookmarkEnd w:id="251"/>
      <w:r>
        <w:rPr>
          <w:rFonts w:ascii="Times New Roman;Times;serif" w:hAnsi="Times New Roman;Times;serif"/>
          <w:b/>
          <w:sz w:val="20"/>
        </w:rPr>
        <w:t xml:space="preserve">Condensed Consolidated Statements of Comprehensive Loss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52" w:name="Tc_ogKdfg4TmECU6yjEU5_8lw_7_5"/>
      <w:bookmarkStart w:id="253" w:name="Tc_9i3WVNTJEUaELsgZtvfpuQ_7_2"/>
      <w:bookmarkStart w:id="254" w:name="Tc_UYbqgTCtBUuDsfxfrz0BJA_7_0"/>
      <w:bookmarkStart w:id="255" w:name="Tc_oxNOESj4a0SR2paz9SsQeg_6_0"/>
      <w:bookmarkStart w:id="256" w:name="Tc_EJ8e5ePISkWPNIK2otDPug_5_0"/>
      <w:bookmarkStart w:id="257" w:name="Tc_pJN3L5eu1UmgmGZcrSBwvg_4_0"/>
      <w:bookmarkStart w:id="258" w:name="Tc_W5bLwureG0CpgyDXrk8gng_3_5"/>
      <w:bookmarkStart w:id="259" w:name="Tc_iomgc9wRiUODwb_-g50h7g_3_2"/>
      <w:bookmarkStart w:id="260" w:name="Tc_rDtQm1ehWEyCb46lsF28Jg_3_0"/>
      <w:bookmarkStart w:id="261" w:name="Tc_F6h1i1gKHUC5Sb8v-iSLdA_2_5"/>
      <w:bookmarkStart w:id="262" w:name="Tc_UXhChHZ7zUiQk3zxuvdiPg_2_2"/>
      <w:bookmarkStart w:id="263" w:name="Tc_DrGc4aZpUU6-1pL2uM9siA_1_2"/>
      <w:bookmarkStart w:id="264" w:name="_feb9a36b_3dd2_4abb_b7cd_3b3bcca9646c"/>
      <w:bookmarkStart w:id="265" w:name="Tc_ogKdfg4TmECU6yjEU5_8lw_7_5"/>
      <w:bookmarkStart w:id="266" w:name="Tc_9i3WVNTJEUaELsgZtvfpuQ_7_2"/>
      <w:bookmarkStart w:id="267" w:name="Tc_UYbqgTCtBUuDsfxfrz0BJA_7_0"/>
      <w:bookmarkStart w:id="268" w:name="Tc_oxNOESj4a0SR2paz9SsQeg_6_0"/>
      <w:bookmarkStart w:id="269" w:name="Tc_EJ8e5ePISkWPNIK2otDPug_5_0"/>
      <w:bookmarkStart w:id="270" w:name="Tc_pJN3L5eu1UmgmGZcrSBwvg_4_0"/>
      <w:bookmarkStart w:id="271" w:name="Tc_W5bLwureG0CpgyDXrk8gng_3_5"/>
      <w:bookmarkStart w:id="272" w:name="Tc_iomgc9wRiUODwb_-g50h7g_3_2"/>
      <w:bookmarkStart w:id="273" w:name="Tc_rDtQm1ehWEyCb46lsF28Jg_3_0"/>
      <w:bookmarkStart w:id="274" w:name="Tc_F6h1i1gKHUC5Sb8v-iSLdA_2_5"/>
      <w:bookmarkStart w:id="275" w:name="Tc_UXhChHZ7zUiQk3zxuvdiPg_2_2"/>
      <w:bookmarkStart w:id="276" w:name="Tc_DrGc4aZpUU6-1pL2uM9siA_1_2"/>
      <w:bookmarkStart w:id="277" w:name="_feb9a36b_3dd2_4abb_b7cd_3b3bcca9646c"/>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7043" w:type="dxa"/>
        <w:jc w:val="left"/>
        <w:tblInd w:w="0" w:type="dxa"/>
        <w:tblCellMar>
          <w:top w:w="0" w:type="dxa"/>
          <w:left w:w="0" w:type="dxa"/>
          <w:bottom w:w="0" w:type="dxa"/>
          <w:right w:w="0" w:type="dxa"/>
        </w:tblCellMar>
      </w:tblPr>
      <w:tblGrid>
        <w:gridCol w:w="4276"/>
        <w:gridCol w:w="266"/>
        <w:gridCol w:w="223"/>
        <w:gridCol w:w="842"/>
        <w:gridCol w:w="326"/>
        <w:gridCol w:w="247"/>
        <w:gridCol w:w="863"/>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715260" cy="175260"/>
                      <wp:effectExtent l="0" t="0" r="0" b="0"/>
                      <wp:wrapNone/>
                      <wp:docPr id="23" name="Frame23"/>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8910" cy="175260"/>
                      <wp:effectExtent l="0" t="0" r="0" b="0"/>
                      <wp:wrapNone/>
                      <wp:docPr id="24" name="Frame2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1605" cy="175260"/>
                      <wp:effectExtent l="0" t="0" r="0" b="0"/>
                      <wp:wrapNone/>
                      <wp:docPr id="25" name="Frame25"/>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34670" cy="175260"/>
                      <wp:effectExtent l="0" t="0" r="0" b="0"/>
                      <wp:wrapNone/>
                      <wp:docPr id="26" name="Frame26"/>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6845" cy="175260"/>
                      <wp:effectExtent l="0" t="0" r="0" b="0"/>
                      <wp:wrapNone/>
                      <wp:docPr id="28" name="Frame28"/>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48005" cy="175260"/>
                      <wp:effectExtent l="0" t="0" r="0" b="0"/>
                      <wp:wrapNone/>
                      <wp:docPr id="29" name="Frame29"/>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250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r>
      <w:tr>
        <w:trPr/>
        <w:tc>
          <w:tcPr>
            <w:tcW w:w="427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6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income, net of tax:</w:t>
            </w:r>
          </w:p>
        </w:tc>
        <w:tc>
          <w:tcPr>
            <w:tcW w:w="26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4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pPr>
            <w:r>
              <w:rPr/>
              <w:t>  </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26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spacing w:before="0" w:after="0"/>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comprehensive (loss) income, net of tax</w:t>
            </w:r>
          </w:p>
        </w:tc>
        <w:tc>
          <w:tcPr>
            <w:tcW w:w="26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auto" w:val="clear"/>
            <w:vAlign w:val="center"/>
          </w:tcPr>
          <w:p>
            <w:pPr>
              <w:pStyle w:val="TableContents"/>
              <w:spacing w:before="0" w:after="0"/>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w:t>
            </w:r>
          </w:p>
        </w:tc>
        <w:tc>
          <w:tcPr>
            <w:tcW w:w="266" w:type="dxa"/>
            <w:tcBorders/>
            <w:shd w:fill="CCEEFF" w:val="clear"/>
            <w:vAlign w:val="center"/>
          </w:tcPr>
          <w:p>
            <w:pPr>
              <w:pStyle w:val="TableContents"/>
              <w:spacing w:before="0" w:after="0"/>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(14,512)</w:t>
            </w:r>
          </w:p>
        </w:tc>
        <w:tc>
          <w:tcPr>
            <w:tcW w:w="326" w:type="dxa"/>
            <w:tcBorders/>
            <w:shd w:fill="CCEEFF" w:val="clear"/>
            <w:vAlign w:val="center"/>
          </w:tcPr>
          <w:p>
            <w:pPr>
              <w:pStyle w:val="TableContents"/>
              <w:spacing w:before="0" w:after="0"/>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r>
    </w:tbl>
    <w:p>
      <w:pPr>
        <w:pStyle w:val="TextBody"/>
        <w:spacing w:before="0" w:after="0"/>
        <w:ind w:left="0" w:right="0" w:hanging="0"/>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78" w:name="_6704306a_718c_4b99_8a87_9652f54c6cc5"/>
      <w:bookmarkEnd w:id="278"/>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279" w:name="CondensedConsolidatedStatementsofStockho"/>
      <w:bookmarkEnd w:id="279"/>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280" w:name="Tc_oz0f3E9uT0qks_xawSEqGw_14_16"/>
      <w:bookmarkStart w:id="281" w:name="Tc_ZfyaHGH1HUSG4lLV0r4GRQ_14_13"/>
      <w:bookmarkStart w:id="282" w:name="Tc_iOBzr2wiEEK9W4f_Fa666w_14_10"/>
      <w:bookmarkStart w:id="283" w:name="Tc_qpJzuqDhRkK8kU6R7igHpQ_14_7"/>
      <w:bookmarkStart w:id="284" w:name="Tc_2P4s_ziHmkyp2XeKQ9Qvwg_14_4"/>
      <w:bookmarkStart w:id="285" w:name="Tc_k5Hrm3xM206o8VyPfdeTwA_14_0"/>
      <w:bookmarkStart w:id="286" w:name="Tc_Y53XOy0XyU6xvUn9DPVo2g_13_14"/>
      <w:bookmarkStart w:id="287" w:name="Tc_BrZeUU4LLkaiucNpY0ZMgg_13_11"/>
      <w:bookmarkStart w:id="288" w:name="Tc_sjbkFxjHqk-u9OuoV_1sXQ_13_5"/>
      <w:bookmarkStart w:id="289" w:name="Tc_CWGemBC37kuZ7JeHJDW1Cg_13_2"/>
      <w:bookmarkStart w:id="290" w:name="Tc_R7l8yWTDbEiWGJPSOC4gRw_13_0"/>
      <w:bookmarkStart w:id="291" w:name="Tc_IGaAOb7zPUSna8uqH8r6ng_12_17"/>
      <w:bookmarkStart w:id="292" w:name="Tc_FKrU8w4WyE-_VYTzljebAA_12_14"/>
      <w:bookmarkStart w:id="293" w:name="Tc_LnkkPdjyRESiLIWFeZRW2A_12_11"/>
      <w:bookmarkStart w:id="294" w:name="Tc_NyHd_ovIVk6Y3AXfNHbf0g_12_8"/>
      <w:bookmarkStart w:id="295" w:name="Tc_8X-uFxVeukWyU7C3d72B-Q_12_5"/>
      <w:bookmarkStart w:id="296" w:name="Tc_WHSLEmCylEeiHGgrYJCRpQ_12_0"/>
      <w:bookmarkStart w:id="297" w:name="Tc_6P-ctvYc30ybCOVx6pmkCg_11_17"/>
      <w:bookmarkStart w:id="298" w:name="Tc_CwNbGpvSl0Kq-gyegGy7eg_11_14"/>
      <w:bookmarkStart w:id="299" w:name="Tc_2GNUh1GyMkykqDl7S4UoUw_11_11"/>
      <w:bookmarkStart w:id="300" w:name="Tc_jJkqtEPS_U6wQRdrexqa3A_11_8"/>
      <w:bookmarkStart w:id="301" w:name="Tc_mjSRSzEUuESRNSXkCnIpRg_11_5"/>
      <w:bookmarkStart w:id="302" w:name="Tc_KcvWe1PegUmP6LtdzsEbuQ_11_0"/>
      <w:bookmarkStart w:id="303" w:name="Tc_bXRPQQHIakaw1n4We0NCbw_10_14"/>
      <w:bookmarkStart w:id="304" w:name="Tc_wm8x_45iD0O6p2VXnK6gLQ_10_11"/>
      <w:bookmarkStart w:id="305" w:name="Tc_gOr1oU7JN0KCjaqCAzsJtg_10_0"/>
      <w:bookmarkStart w:id="306" w:name="Tc_aRl_6rukx0eYEhD7AIj1Yg_9_14"/>
      <w:bookmarkStart w:id="307" w:name="Tc_tOIKQEx4a0qx-294v-AhPA_9_11"/>
      <w:bookmarkStart w:id="308" w:name="Tc_U2cq4i2fvkWbYgwLYDkc1g_9_0"/>
      <w:bookmarkStart w:id="309" w:name="Tc_9k5lR9mQlk26X4Osi8qHDw_8_11"/>
      <w:bookmarkStart w:id="310" w:name="Tc_VUIUY_LDT0a_q-VDbMAmdQ_8_8"/>
      <w:bookmarkStart w:id="311" w:name="Tc_yDGnMOqeLUCtFAHpzbxSVA_8_5"/>
      <w:bookmarkStart w:id="312" w:name="Tc_RRxkAP4sJk-VjFWcVrhYIA_8_2"/>
      <w:bookmarkStart w:id="313" w:name="Tc_onxDGotRrEa0y6Jl9h5ZAA_8_0"/>
      <w:bookmarkStart w:id="314" w:name="Tc_U7B5P0cNnEqkFabBH4e3lw_7_14"/>
      <w:bookmarkStart w:id="315" w:name="Tc_7CbBLJpc9EmD9b7u3_-nlQ_7_8"/>
      <w:bookmarkStart w:id="316" w:name="Tc_BCysr87UAESVAA4j5plcQA_7_5"/>
      <w:bookmarkStart w:id="317" w:name="Tc_szRuKZ9UBUGZFhtdYM47aw_7_2"/>
      <w:bookmarkStart w:id="318" w:name="Tc_7mD415rH802R10RSW5ngXw_7_0"/>
      <w:bookmarkStart w:id="319" w:name="Tc_5NcJwfTrd0m9c_5_CRYlDQ_6_14"/>
      <w:bookmarkStart w:id="320" w:name="Tc_sMoBPyxT50CbqIuHITl-QQ_6_8"/>
      <w:bookmarkStart w:id="321" w:name="Tc_8s6wBBLnokyaOIAPa8cocQ_6_5"/>
      <w:bookmarkStart w:id="322" w:name="Tc_xcUw8yIPNEa73DVR4im2Hg_6_2"/>
      <w:bookmarkStart w:id="323" w:name="Tc_8vsiuSi-kUSKYs7V0VEiLQ_6_0"/>
      <w:bookmarkStart w:id="324" w:name="Tc_KiyIStl8wkeSd70znJRqKg_5_16"/>
      <w:bookmarkStart w:id="325" w:name="Tc_NP12MGVeCEKoq4XSB0I_sw_5_13"/>
      <w:bookmarkStart w:id="326" w:name="Tc_OUc_NWaSn0WYhWGAr-liNQ_5_10"/>
      <w:bookmarkStart w:id="327" w:name="Tc_MtbM4mZkNkmo7GU3-IVt5g_5_7"/>
      <w:bookmarkStart w:id="328" w:name="Tc__K3EomupE062rOB0U_kOiw_5_4"/>
      <w:bookmarkStart w:id="329" w:name="Tc_9Ci6D4XY1karD2miGxKKUw_5_0"/>
      <w:bookmarkStart w:id="330" w:name="Tc__zBv66_2IU6VLsTCZFLDJA_4_16"/>
      <w:bookmarkStart w:id="331" w:name="Tc_NZF2DsekiUeJBM7AW_OUow_4_13"/>
      <w:bookmarkStart w:id="332" w:name="Tc_Q5OT1Dz9l0mpd2PlksqqLg_4_10"/>
      <w:bookmarkStart w:id="333" w:name="Tc_5_P0kwIrkE2kxpe2-qEbjw_4_7"/>
      <w:bookmarkStart w:id="334" w:name="Tc_KjyCK272yku9qWpnE1t85Q_4_4"/>
      <w:bookmarkStart w:id="335" w:name="Tc_5-O0KEfmNUSstPekNp2jSA_4_2"/>
      <w:bookmarkStart w:id="336" w:name="Tc_YaKmLF_7rUCHSVQ-NsMYTg_3_16"/>
      <w:bookmarkStart w:id="337" w:name="Tc_GoVLVsoLUkSvNt2v4Zoy-A_3_13"/>
      <w:bookmarkStart w:id="338" w:name="Tc_PhzOrvyh6UqA8hpy1vRt3A_3_10"/>
      <w:bookmarkStart w:id="339" w:name="Tc_ZzfD5qxnpEebvZXvEqGkig_3_7"/>
      <w:bookmarkStart w:id="340" w:name="Tc_pracl1Oz8k6W4G99XyaYog_2_16"/>
      <w:bookmarkStart w:id="341" w:name="Tc_3TFqeAzi-UKt1SeN1-u32A_2_13"/>
      <w:bookmarkStart w:id="342" w:name="Tc_dkZmXgGthE2tLLQyWqbewQ_2_7"/>
      <w:bookmarkStart w:id="343" w:name="Tc_A4ySmz7SQ0C9eRjce464zg_1_13"/>
      <w:bookmarkStart w:id="344" w:name="_b74ba71a_e334_4fb5_8edc_93db30df97ed"/>
      <w:bookmarkStart w:id="345" w:name="Tc_oz0f3E9uT0qks_xawSEqGw_14_16"/>
      <w:bookmarkStart w:id="346" w:name="Tc_ZfyaHGH1HUSG4lLV0r4GRQ_14_13"/>
      <w:bookmarkStart w:id="347" w:name="Tc_iOBzr2wiEEK9W4f_Fa666w_14_10"/>
      <w:bookmarkStart w:id="348" w:name="Tc_qpJzuqDhRkK8kU6R7igHpQ_14_7"/>
      <w:bookmarkStart w:id="349" w:name="Tc_2P4s_ziHmkyp2XeKQ9Qvwg_14_4"/>
      <w:bookmarkStart w:id="350" w:name="Tc_k5Hrm3xM206o8VyPfdeTwA_14_0"/>
      <w:bookmarkStart w:id="351" w:name="Tc_Y53XOy0XyU6xvUn9DPVo2g_13_14"/>
      <w:bookmarkStart w:id="352" w:name="Tc_BrZeUU4LLkaiucNpY0ZMgg_13_11"/>
      <w:bookmarkStart w:id="353" w:name="Tc_sjbkFxjHqk-u9OuoV_1sXQ_13_5"/>
      <w:bookmarkStart w:id="354" w:name="Tc_CWGemBC37kuZ7JeHJDW1Cg_13_2"/>
      <w:bookmarkStart w:id="355" w:name="Tc_R7l8yWTDbEiWGJPSOC4gRw_13_0"/>
      <w:bookmarkStart w:id="356" w:name="Tc_IGaAOb7zPUSna8uqH8r6ng_12_17"/>
      <w:bookmarkStart w:id="357" w:name="Tc_FKrU8w4WyE-_VYTzljebAA_12_14"/>
      <w:bookmarkStart w:id="358" w:name="Tc_LnkkPdjyRESiLIWFeZRW2A_12_11"/>
      <w:bookmarkStart w:id="359" w:name="Tc_NyHd_ovIVk6Y3AXfNHbf0g_12_8"/>
      <w:bookmarkStart w:id="360" w:name="Tc_8X-uFxVeukWyU7C3d72B-Q_12_5"/>
      <w:bookmarkStart w:id="361" w:name="Tc_WHSLEmCylEeiHGgrYJCRpQ_12_0"/>
      <w:bookmarkStart w:id="362" w:name="Tc_6P-ctvYc30ybCOVx6pmkCg_11_17"/>
      <w:bookmarkStart w:id="363" w:name="Tc_CwNbGpvSl0Kq-gyegGy7eg_11_14"/>
      <w:bookmarkStart w:id="364" w:name="Tc_2GNUh1GyMkykqDl7S4UoUw_11_11"/>
      <w:bookmarkStart w:id="365" w:name="Tc_jJkqtEPS_U6wQRdrexqa3A_11_8"/>
      <w:bookmarkStart w:id="366" w:name="Tc_mjSRSzEUuESRNSXkCnIpRg_11_5"/>
      <w:bookmarkStart w:id="367" w:name="Tc_KcvWe1PegUmP6LtdzsEbuQ_11_0"/>
      <w:bookmarkStart w:id="368" w:name="Tc_bXRPQQHIakaw1n4We0NCbw_10_14"/>
      <w:bookmarkStart w:id="369" w:name="Tc_wm8x_45iD0O6p2VXnK6gLQ_10_11"/>
      <w:bookmarkStart w:id="370" w:name="Tc_gOr1oU7JN0KCjaqCAzsJtg_10_0"/>
      <w:bookmarkStart w:id="371" w:name="Tc_aRl_6rukx0eYEhD7AIj1Yg_9_14"/>
      <w:bookmarkStart w:id="372" w:name="Tc_tOIKQEx4a0qx-294v-AhPA_9_11"/>
      <w:bookmarkStart w:id="373" w:name="Tc_U2cq4i2fvkWbYgwLYDkc1g_9_0"/>
      <w:bookmarkStart w:id="374" w:name="Tc_9k5lR9mQlk26X4Osi8qHDw_8_11"/>
      <w:bookmarkStart w:id="375" w:name="Tc_VUIUY_LDT0a_q-VDbMAmdQ_8_8"/>
      <w:bookmarkStart w:id="376" w:name="Tc_yDGnMOqeLUCtFAHpzbxSVA_8_5"/>
      <w:bookmarkStart w:id="377" w:name="Tc_RRxkAP4sJk-VjFWcVrhYIA_8_2"/>
      <w:bookmarkStart w:id="378" w:name="Tc_onxDGotRrEa0y6Jl9h5ZAA_8_0"/>
      <w:bookmarkStart w:id="379" w:name="Tc_U7B5P0cNnEqkFabBH4e3lw_7_14"/>
      <w:bookmarkStart w:id="380" w:name="Tc_7CbBLJpc9EmD9b7u3_-nlQ_7_8"/>
      <w:bookmarkStart w:id="381" w:name="Tc_BCysr87UAESVAA4j5plcQA_7_5"/>
      <w:bookmarkStart w:id="382" w:name="Tc_szRuKZ9UBUGZFhtdYM47aw_7_2"/>
      <w:bookmarkStart w:id="383" w:name="Tc_7mD415rH802R10RSW5ngXw_7_0"/>
      <w:bookmarkStart w:id="384" w:name="Tc_5NcJwfTrd0m9c_5_CRYlDQ_6_14"/>
      <w:bookmarkStart w:id="385" w:name="Tc_sMoBPyxT50CbqIuHITl-QQ_6_8"/>
      <w:bookmarkStart w:id="386" w:name="Tc_8s6wBBLnokyaOIAPa8cocQ_6_5"/>
      <w:bookmarkStart w:id="387" w:name="Tc_xcUw8yIPNEa73DVR4im2Hg_6_2"/>
      <w:bookmarkStart w:id="388" w:name="Tc_8vsiuSi-kUSKYs7V0VEiLQ_6_0"/>
      <w:bookmarkStart w:id="389" w:name="Tc_KiyIStl8wkeSd70znJRqKg_5_16"/>
      <w:bookmarkStart w:id="390" w:name="Tc_NP12MGVeCEKoq4XSB0I_sw_5_13"/>
      <w:bookmarkStart w:id="391" w:name="Tc_OUc_NWaSn0WYhWGAr-liNQ_5_10"/>
      <w:bookmarkStart w:id="392" w:name="Tc_MtbM4mZkNkmo7GU3-IVt5g_5_7"/>
      <w:bookmarkStart w:id="393" w:name="Tc__K3EomupE062rOB0U_kOiw_5_4"/>
      <w:bookmarkStart w:id="394" w:name="Tc_9Ci6D4XY1karD2miGxKKUw_5_0"/>
      <w:bookmarkStart w:id="395" w:name="Tc__zBv66_2IU6VLsTCZFLDJA_4_16"/>
      <w:bookmarkStart w:id="396" w:name="Tc_NZF2DsekiUeJBM7AW_OUow_4_13"/>
      <w:bookmarkStart w:id="397" w:name="Tc_Q5OT1Dz9l0mpd2PlksqqLg_4_10"/>
      <w:bookmarkStart w:id="398" w:name="Tc_5_P0kwIrkE2kxpe2-qEbjw_4_7"/>
      <w:bookmarkStart w:id="399" w:name="Tc_KjyCK272yku9qWpnE1t85Q_4_4"/>
      <w:bookmarkStart w:id="400" w:name="Tc_5-O0KEfmNUSstPekNp2jSA_4_2"/>
      <w:bookmarkStart w:id="401" w:name="Tc_YaKmLF_7rUCHSVQ-NsMYTg_3_16"/>
      <w:bookmarkStart w:id="402" w:name="Tc_GoVLVsoLUkSvNt2v4Zoy-A_3_13"/>
      <w:bookmarkStart w:id="403" w:name="Tc_PhzOrvyh6UqA8hpy1vRt3A_3_10"/>
      <w:bookmarkStart w:id="404" w:name="Tc_ZzfD5qxnpEebvZXvEqGkig_3_7"/>
      <w:bookmarkStart w:id="405" w:name="Tc_pracl1Oz8k6W4G99XyaYog_2_16"/>
      <w:bookmarkStart w:id="406" w:name="Tc_3TFqeAzi-UKt1SeN1-u32A_2_13"/>
      <w:bookmarkStart w:id="407" w:name="Tc_dkZmXgGthE2tLLQyWqbewQ_2_7"/>
      <w:bookmarkStart w:id="408" w:name="Tc_A4ySmz7SQ0C9eRjce464zg_1_13"/>
      <w:bookmarkStart w:id="409" w:name="_b74ba71a_e334_4fb5_8edc_93db30df97ed"/>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tbl>
      <w:tblPr>
        <w:tblW w:w="10205" w:type="dxa"/>
        <w:jc w:val="left"/>
        <w:tblInd w:w="0" w:type="dxa"/>
        <w:tblCellMar>
          <w:top w:w="0" w:type="dxa"/>
          <w:left w:w="0" w:type="dxa"/>
          <w:bottom w:w="0" w:type="dxa"/>
          <w:right w:w="0" w:type="dxa"/>
        </w:tblCellMar>
      </w:tblPr>
      <w:tblGrid>
        <w:gridCol w:w="1821"/>
        <w:gridCol w:w="326"/>
        <w:gridCol w:w="1142"/>
        <w:gridCol w:w="326"/>
        <w:gridCol w:w="261"/>
        <w:gridCol w:w="430"/>
        <w:gridCol w:w="326"/>
        <w:gridCol w:w="211"/>
        <w:gridCol w:w="848"/>
        <w:gridCol w:w="326"/>
        <w:gridCol w:w="247"/>
        <w:gridCol w:w="864"/>
        <w:gridCol w:w="326"/>
        <w:gridCol w:w="343"/>
        <w:gridCol w:w="933"/>
        <w:gridCol w:w="326"/>
        <w:gridCol w:w="211"/>
        <w:gridCol w:w="938"/>
      </w:tblGrid>
      <w:tr>
        <w:trPr/>
        <w:tc>
          <w:tcPr>
            <w:tcW w:w="1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56335" cy="175260"/>
                      <wp:effectExtent l="0" t="0" r="0" b="0"/>
                      <wp:wrapNone/>
                      <wp:docPr id="30" name="Frame30"/>
                      <a:graphic xmlns:a="http://schemas.openxmlformats.org/drawingml/2006/main">
                        <a:graphicData uri="http://schemas.microsoft.com/office/word/2010/wordprocessingShape">
                          <wps:wsp>
                            <wps:cNvSpPr txBox="1"/>
                            <wps:spPr>
                              <a:xfrm>
                                <a:off x="0" y="0"/>
                                <a:ext cx="1156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25170" cy="175260"/>
                      <wp:effectExtent l="0" t="0" r="0" b="0"/>
                      <wp:wrapNone/>
                      <wp:docPr id="32" name="Frame32"/>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65735" cy="175260"/>
                      <wp:effectExtent l="0" t="0" r="0" b="0"/>
                      <wp:wrapNone/>
                      <wp:docPr id="34" name="Frame34"/>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3050" cy="175260"/>
                      <wp:effectExtent l="0" t="0" r="0" b="0"/>
                      <wp:wrapNone/>
                      <wp:docPr id="35" name="Frame35"/>
                      <a:graphic xmlns:a="http://schemas.openxmlformats.org/drawingml/2006/main">
                        <a:graphicData uri="http://schemas.microsoft.com/office/word/2010/wordprocessingShape">
                          <wps:wsp>
                            <wps:cNvSpPr txBox="1"/>
                            <wps:spPr>
                              <a:xfrm>
                                <a:off x="0" y="0"/>
                                <a:ext cx="273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8480" cy="175260"/>
                      <wp:effectExtent l="0" t="0" r="0" b="0"/>
                      <wp:wrapNone/>
                      <wp:docPr id="38" name="Frame38"/>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6845" cy="175260"/>
                      <wp:effectExtent l="0" t="0" r="0" b="0"/>
                      <wp:wrapNone/>
                      <wp:docPr id="40" name="Frame40"/>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8640" cy="175260"/>
                      <wp:effectExtent l="0" t="0" r="0" b="0"/>
                      <wp:wrapNone/>
                      <wp:docPr id="41" name="Frame41"/>
                      <a:graphic xmlns:a="http://schemas.openxmlformats.org/drawingml/2006/main">
                        <a:graphicData uri="http://schemas.microsoft.com/office/word/2010/wordprocessingShape">
                          <wps:wsp>
                            <wps:cNvSpPr txBox="1"/>
                            <wps:spPr>
                              <a:xfrm>
                                <a:off x="0" y="0"/>
                                <a:ext cx="548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7805" cy="175260"/>
                      <wp:effectExtent l="0" t="0" r="0" b="0"/>
                      <wp:wrapNone/>
                      <wp:docPr id="43" name="Frame43"/>
                      <a:graphic xmlns:a="http://schemas.openxmlformats.org/drawingml/2006/main">
                        <a:graphicData uri="http://schemas.microsoft.com/office/word/2010/wordprocessingShape">
                          <wps:wsp>
                            <wps:cNvSpPr txBox="1"/>
                            <wps:spPr>
                              <a:xfrm>
                                <a:off x="0" y="0"/>
                                <a:ext cx="217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2455" cy="175260"/>
                      <wp:effectExtent l="0" t="0" r="0" b="0"/>
                      <wp:wrapNone/>
                      <wp:docPr id="44" name="Frame44"/>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5630" cy="175260"/>
                      <wp:effectExtent l="0" t="0" r="0" b="0"/>
                      <wp:wrapNone/>
                      <wp:docPr id="47" name="Frame47"/>
                      <a:graphic xmlns:a="http://schemas.openxmlformats.org/drawingml/2006/main">
                        <a:graphicData uri="http://schemas.microsoft.com/office/word/2010/wordprocessingShape">
                          <wps:wsp>
                            <wps:cNvSpPr txBox="1"/>
                            <wps:spPr>
                              <a:xfrm>
                                <a:off x="0" y="0"/>
                                <a:ext cx="595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4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center"/>
              <w:rPr/>
            </w:pPr>
            <w:r>
              <w:rPr/>
              <w:t>​</w:t>
            </w:r>
          </w:p>
        </w:tc>
      </w:tr>
      <w:tr>
        <w:trPr/>
        <w:tc>
          <w:tcPr>
            <w:tcW w:w="1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4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59"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Paid-in </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1"/>
              <w:ind w:left="0" w:right="0" w:hanging="0"/>
              <w:rPr/>
            </w:pPr>
            <w:r>
              <w:rPr/>
              <w:t>​</w:t>
            </w:r>
          </w:p>
        </w:tc>
        <w:tc>
          <w:tcPr>
            <w:tcW w:w="1149"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Stockholders'</w:t>
            </w:r>
          </w:p>
        </w:tc>
      </w:tr>
      <w:tr>
        <w:trPr/>
        <w:tc>
          <w:tcPr>
            <w:tcW w:w="1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w:t>
            </w:r>
          </w:p>
        </w:tc>
        <w:tc>
          <w:tcPr>
            <w:tcW w:w="10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rPr/>
            </w:pPr>
            <w:r>
              <w:rPr/>
              <w:t>​</w:t>
            </w:r>
          </w:p>
        </w:tc>
        <w:tc>
          <w:tcPr>
            <w:tcW w:w="127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Income</w:t>
            </w:r>
          </w:p>
        </w:tc>
        <w:tc>
          <w:tcPr>
            <w:tcW w:w="326" w:type="dxa"/>
            <w:tcBorders/>
            <w:shd w:fill="auto" w:val="clear"/>
            <w:vAlign w:val="center"/>
          </w:tcPr>
          <w:p>
            <w:pPr>
              <w:pStyle w:val="TableContents"/>
              <w:spacing w:before="0" w:after="1"/>
              <w:ind w:left="0" w:right="0" w:hanging="0"/>
              <w:rPr/>
            </w:pPr>
            <w:r>
              <w:rPr/>
              <w:t>​</w:t>
            </w:r>
          </w:p>
        </w:tc>
        <w:tc>
          <w:tcPr>
            <w:tcW w:w="114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Equity</w:t>
            </w:r>
          </w:p>
        </w:tc>
      </w:tr>
      <w:tr>
        <w:trPr/>
        <w:tc>
          <w:tcPr>
            <w:tcW w:w="18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Balances at December 31, 2021</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119,445,611</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401,846</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(48,583)</w:t>
            </w:r>
          </w:p>
        </w:tc>
        <w:tc>
          <w:tcPr>
            <w:tcW w:w="326" w:type="dxa"/>
            <w:tcBorders/>
            <w:shd w:fill="CCEEFF" w:val="clear"/>
            <w:vAlign w:val="center"/>
          </w:tcPr>
          <w:p>
            <w:pPr>
              <w:pStyle w:val="TableContents"/>
              <w:spacing w:before="0" w:after="1"/>
              <w:ind w:left="0" w:right="0" w:hanging="0"/>
              <w:rPr/>
            </w:pPr>
            <w:r>
              <w:rPr/>
              <w:t>​</w:t>
            </w:r>
          </w:p>
        </w:tc>
        <w:tc>
          <w:tcPr>
            <w:tcW w:w="3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353,645</w:t>
            </w:r>
          </w:p>
        </w:tc>
      </w:tr>
      <w:tr>
        <w:trPr/>
        <w:tc>
          <w:tcPr>
            <w:tcW w:w="1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Cumulative effect of adoption of new accounting standard - leases</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8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shd w:fill="auto" w:val="clear"/>
            <w:vAlign w:val="center"/>
          </w:tcPr>
          <w:p>
            <w:pPr>
              <w:pStyle w:val="TableContents"/>
              <w:spacing w:before="0" w:after="1"/>
              <w:ind w:left="0" w:right="0" w:hanging="0"/>
              <w:rPr/>
            </w:pPr>
            <w:r>
              <w:rPr/>
              <w:t>​</w:t>
            </w:r>
          </w:p>
        </w:tc>
        <w:tc>
          <w:tcPr>
            <w:tcW w:w="343"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1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 </w:t>
            </w:r>
          </w:p>
        </w:tc>
        <w:tc>
          <w:tcPr>
            <w:tcW w:w="4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8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1"/>
              <w:ind w:left="0" w:right="0" w:hanging="0"/>
              <w:rPr/>
            </w:pPr>
            <w:r>
              <w:rPr/>
              <w:t>​</w:t>
            </w:r>
          </w:p>
        </w:tc>
        <w:tc>
          <w:tcPr>
            <w:tcW w:w="343" w:type="dxa"/>
            <w:tcBorders/>
            <w:shd w:fill="CCEEFF" w:val="clear"/>
            <w:vAlign w:val="center"/>
          </w:tcPr>
          <w:p>
            <w:pPr>
              <w:pStyle w:val="TableContents"/>
              <w:spacing w:before="0" w:after="1"/>
              <w:ind w:left="0" w:right="0" w:hanging="0"/>
              <w:rPr/>
            </w:pPr>
            <w:r>
              <w:rPr/>
              <w:t> </w:t>
            </w:r>
          </w:p>
        </w:tc>
        <w:tc>
          <w:tcPr>
            <w:tcW w:w="93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1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 </w:t>
            </w:r>
          </w:p>
        </w:tc>
        <w:tc>
          <w:tcPr>
            <w:tcW w:w="4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86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43" w:type="dxa"/>
            <w:tcBorders/>
            <w:shd w:fill="auto" w:val="clear"/>
            <w:vAlign w:val="center"/>
          </w:tcPr>
          <w:p>
            <w:pPr>
              <w:pStyle w:val="TableContents"/>
              <w:spacing w:before="0" w:after="1"/>
              <w:ind w:left="0" w:right="0" w:hanging="0"/>
              <w:rPr/>
            </w:pPr>
            <w:r>
              <w:rPr/>
              <w:t> </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1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Sale of common stock</w:t>
            </w:r>
          </w:p>
        </w:tc>
        <w:tc>
          <w:tcPr>
            <w:tcW w:w="326"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13,800,000</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w:t>
            </w:r>
          </w:p>
        </w:tc>
        <w:tc>
          <w:tcPr>
            <w:tcW w:w="4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269,099</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86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43" w:type="dxa"/>
            <w:tcBorders/>
            <w:shd w:fill="CCEEFF" w:val="clear"/>
            <w:vAlign w:val="center"/>
          </w:tcPr>
          <w:p>
            <w:pPr>
              <w:pStyle w:val="TableContents"/>
              <w:spacing w:before="0" w:after="1"/>
              <w:ind w:left="0" w:right="0" w:hanging="0"/>
              <w:rPr/>
            </w:pPr>
            <w:r>
              <w:rPr/>
              <w:t>​</w:t>
            </w:r>
          </w:p>
        </w:tc>
        <w:tc>
          <w:tcPr>
            <w:tcW w:w="93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269,100</w:t>
            </w:r>
          </w:p>
        </w:tc>
      </w:tr>
      <w:tr>
        <w:trPr/>
        <w:tc>
          <w:tcPr>
            <w:tcW w:w="1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Repurchase and retirement of common stock</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(13,800,244)</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(257,662)</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86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43"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(257,663)</w:t>
            </w:r>
          </w:p>
        </w:tc>
      </w:tr>
      <w:tr>
        <w:trPr/>
        <w:tc>
          <w:tcPr>
            <w:tcW w:w="1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(53,961)</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w:t>
            </w:r>
          </w:p>
        </w:tc>
        <w:tc>
          <w:tcPr>
            <w:tcW w:w="4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86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43" w:type="dxa"/>
            <w:tcBorders/>
            <w:shd w:fill="CCEEFF" w:val="clear"/>
            <w:vAlign w:val="center"/>
          </w:tcPr>
          <w:p>
            <w:pPr>
              <w:pStyle w:val="TableContents"/>
              <w:spacing w:before="0" w:after="1"/>
              <w:ind w:left="0" w:right="0" w:hanging="0"/>
              <w:rPr/>
            </w:pPr>
            <w:r>
              <w:rPr/>
              <w:t>​</w:t>
            </w:r>
          </w:p>
        </w:tc>
        <w:tc>
          <w:tcPr>
            <w:tcW w:w="933"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8" w:type="dxa"/>
            <w:tcBorders/>
            <w:shd w:fill="CCEEFF" w:val="clear"/>
            <w:vAlign w:val="center"/>
          </w:tcPr>
          <w:p>
            <w:pPr>
              <w:pStyle w:val="TableContents"/>
              <w:spacing w:before="0" w:after="1"/>
              <w:ind w:left="0" w:right="0" w:hanging="0"/>
              <w:jc w:val="right"/>
              <w:rPr/>
            </w:pPr>
            <w:r>
              <w:rPr/>
              <w:t>—</w:t>
            </w:r>
          </w:p>
        </w:tc>
      </w:tr>
      <w:tr>
        <w:trPr/>
        <w:tc>
          <w:tcPr>
            <w:tcW w:w="18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78,341</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pPr>
            <w:r>
              <w:rPr/>
              <w:t>​</w:t>
            </w:r>
          </w:p>
        </w:tc>
        <w:tc>
          <w:tcPr>
            <w:tcW w:w="4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86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43"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8" w:type="dxa"/>
            <w:tcBorders/>
            <w:shd w:fill="auto" w:val="clear"/>
            <w:vAlign w:val="center"/>
          </w:tcPr>
          <w:p>
            <w:pPr>
              <w:pStyle w:val="TableContents"/>
              <w:spacing w:before="0" w:after="1"/>
              <w:ind w:left="0" w:right="0" w:hanging="0"/>
              <w:jc w:val="right"/>
              <w:rPr/>
            </w:pPr>
            <w:r>
              <w:rPr/>
              <w:t>—</w:t>
            </w:r>
          </w:p>
        </w:tc>
      </w:tr>
      <w:tr>
        <w:trPr/>
        <w:tc>
          <w:tcPr>
            <w:tcW w:w="18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1"/>
              <w:ind w:left="0" w:right="0" w:hanging="0"/>
              <w:rPr/>
            </w:pPr>
            <w:r>
              <w:rPr/>
              <w:t> </w:t>
            </w:r>
          </w:p>
        </w:tc>
        <w:tc>
          <w:tcPr>
            <w:tcW w:w="11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3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c>
          <w:tcPr>
            <w:tcW w:w="326"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4"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4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r>
      <w:tr>
        <w:trPr/>
        <w:tc>
          <w:tcPr>
            <w:tcW w:w="18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Balances at April 2, 2022</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119,469,747</w:t>
            </w:r>
          </w:p>
        </w:tc>
        <w:tc>
          <w:tcPr>
            <w:tcW w:w="326" w:type="dxa"/>
            <w:tcBorders/>
            <w:shd w:fill="auto" w:val="clear"/>
            <w:vAlign w:val="center"/>
          </w:tcPr>
          <w:p>
            <w:pPr>
              <w:pStyle w:val="TableContents"/>
              <w:spacing w:before="0" w:after="1"/>
              <w:ind w:left="0" w:right="0" w:hanging="0"/>
              <w:rPr/>
            </w:pPr>
            <w:r>
              <w:rPr/>
              <w:t>​</w:t>
            </w:r>
          </w:p>
        </w:tc>
        <w:tc>
          <w:tcPr>
            <w:tcW w:w="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430,208</w:t>
            </w:r>
          </w:p>
        </w:tc>
        <w:tc>
          <w:tcPr>
            <w:tcW w:w="326"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(51,714)</w:t>
            </w:r>
          </w:p>
        </w:tc>
        <w:tc>
          <w:tcPr>
            <w:tcW w:w="326" w:type="dxa"/>
            <w:tcBorders/>
            <w:shd w:fill="auto" w:val="clear"/>
            <w:vAlign w:val="center"/>
          </w:tcPr>
          <w:p>
            <w:pPr>
              <w:pStyle w:val="TableContents"/>
              <w:spacing w:before="0" w:after="1"/>
              <w:ind w:left="0" w:right="0" w:hanging="0"/>
              <w:rPr/>
            </w:pPr>
            <w:r>
              <w:rPr/>
              <w:t>​</w:t>
            </w:r>
          </w:p>
        </w:tc>
        <w:tc>
          <w:tcPr>
            <w:tcW w:w="34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380,096</w:t>
            </w:r>
          </w:p>
        </w:tc>
      </w:tr>
      <w:tr>
        <w:trPr/>
        <w:tc>
          <w:tcPr>
            <w:tcW w:w="18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61" w:type="dxa"/>
            <w:tcBorders/>
            <w:shd w:fill="CCEEFF" w:val="clear"/>
            <w:vAlign w:val="center"/>
          </w:tcPr>
          <w:p>
            <w:pPr>
              <w:pStyle w:val="TableContents"/>
              <w:spacing w:before="0" w:after="1"/>
              <w:ind w:left="0" w:right="0" w:hanging="0"/>
              <w:rPr/>
            </w:pPr>
            <w:r>
              <w:rPr/>
              <w:t>​</w:t>
            </w:r>
          </w:p>
        </w:tc>
        <w:tc>
          <w:tcPr>
            <w:tcW w:w="43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8"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86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343" w:type="dxa"/>
            <w:tcBorders/>
            <w:shd w:fill="CCEEFF" w:val="clear"/>
            <w:vAlign w:val="center"/>
          </w:tcPr>
          <w:p>
            <w:pPr>
              <w:pStyle w:val="TableContents"/>
              <w:spacing w:before="0" w:after="1"/>
              <w:ind w:left="0" w:right="0" w:hanging="0"/>
              <w:rPr/>
            </w:pPr>
            <w:r>
              <w:rPr/>
              <w:t>​</w:t>
            </w:r>
          </w:p>
        </w:tc>
        <w:tc>
          <w:tcPr>
            <w:tcW w:w="93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8"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center"/>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highlight w:val="yellow"/>
        </w:rPr>
      </w:pPr>
      <w:r>
        <w:rPr>
          <w:highlight w:val="yellow"/>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highlight w:val="yellow"/>
        </w:rPr>
      </w:pPr>
      <w:r>
        <w:rPr>
          <w:highlight w:val="yellow"/>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rPr>
          <w:highlight w:val="yellow"/>
        </w:rPr>
      </w:pPr>
      <w:r>
        <w:rPr>
          <w:highlight w:val="yellow"/>
        </w:rPr>
        <w:t>​</w:t>
      </w:r>
    </w:p>
    <w:p>
      <w:pPr>
        <w:pStyle w:val="Normal"/>
        <w:spacing w:before="0" w:after="0"/>
        <w:rPr>
          <w:sz w:val="4"/>
          <w:szCs w:val="4"/>
        </w:rPr>
      </w:pPr>
      <w:r>
        <w:rPr>
          <w:sz w:val="4"/>
          <w:szCs w:val="4"/>
        </w:rPr>
      </w:r>
      <w:bookmarkStart w:id="410" w:name="Tc_0ftrx9Lyi0OyNl9gOQaTMw_10_16"/>
      <w:bookmarkStart w:id="411" w:name="Tc_m-93Vpbmoku53LPHUQ917Q_10_13"/>
      <w:bookmarkStart w:id="412" w:name="Tc_MxZW1ilxZk-POedwstYfcg_10_10"/>
      <w:bookmarkStart w:id="413" w:name="Tc_jMlYXed9KEid-JNDs-TVQA_10_7"/>
      <w:bookmarkStart w:id="414" w:name="Tc_fhavtq8a30SuZ8WUwLG-1Q_10_4"/>
      <w:bookmarkStart w:id="415" w:name="Tc_uDw4AENN7EiJ2L3u2vNgww_10_0"/>
      <w:bookmarkStart w:id="416" w:name="Tc_qXfwy6J5KEKrf1K23BE3ag_9_14"/>
      <w:bookmarkStart w:id="417" w:name="Tc_zlFLugVWqkyneVFjJUQwhA_9_11"/>
      <w:bookmarkStart w:id="418" w:name="Tc_ztaA1fwpykaP6E4OGBy-LA_9_5"/>
      <w:bookmarkStart w:id="419" w:name="Tc_YbJABhIggk-97mkCVeroUg_9_2"/>
      <w:bookmarkStart w:id="420" w:name="Tc_jyLyx4yMKkKSfaXYGursHA_9_0"/>
      <w:bookmarkStart w:id="421" w:name="Tc_eP1daoDLQkq7mqnmxvh2Rg_8_17"/>
      <w:bookmarkStart w:id="422" w:name="Tc_hNDxpggoXU-hcFocuuHsbw_8_14"/>
      <w:bookmarkStart w:id="423" w:name="Tc_sFqJUs1fdkiAJM_eXhmKgg_8_11"/>
      <w:bookmarkStart w:id="424" w:name="Tc_fARqUfYDvUaddHzAqJjx2g_8_8"/>
      <w:bookmarkStart w:id="425" w:name="Tc_K77jCoQ1XUGAjjjsgbpI-Q_8_5"/>
      <w:bookmarkStart w:id="426" w:name="Tc_a2_SbDXtl0e3fO21D0LZgg_8_0"/>
      <w:bookmarkStart w:id="427" w:name="Tc_TcUSlKz6fkuCmjD4OzxF-g_7_11"/>
      <w:bookmarkStart w:id="428" w:name="Tc_78sq2hdQS0--U4JxcFNw9Q_7_8"/>
      <w:bookmarkStart w:id="429" w:name="Tc_Z22yGIUWAUOW7N11GPKMRQ_7_5"/>
      <w:bookmarkStart w:id="430" w:name="Tc_6Cc8_3298Uuyuh2NP34bAw_7_2"/>
      <w:bookmarkStart w:id="431" w:name="Tc_jaGhj1hIT0-BUzQt1ABogg_7_0"/>
      <w:bookmarkStart w:id="432" w:name="Tc_NdOkm6tR10iN1ThzqTLzqg_6_14"/>
      <w:bookmarkStart w:id="433" w:name="Tc_-A0qzIrEHkC6w_y2yJEuGA_6_8"/>
      <w:bookmarkStart w:id="434" w:name="Tc_vX0qJgT1CUG1yws76fO-8Q_6_5"/>
      <w:bookmarkStart w:id="435" w:name="Tc_mG5huQXso0im4YBxMd8ICg_6_2"/>
      <w:bookmarkStart w:id="436" w:name="Tc_iW40oAE-5EWz-fkKyizERg_6_0"/>
      <w:bookmarkStart w:id="437" w:name="Tc_EPdyDRHiT0qRBYFtYufgmw_5_16"/>
      <w:bookmarkStart w:id="438" w:name="Tc_uQnrKJleqU-SK4Fv-stPHw_5_13"/>
      <w:bookmarkStart w:id="439" w:name="Tc_Vy1EpR48qECoTXfcZevh7w_5_10"/>
      <w:bookmarkStart w:id="440" w:name="Tc_IHDu0ieFR0aQz3bG_35YCg_5_7"/>
      <w:bookmarkStart w:id="441" w:name="Tc_buzATYQUe0W_O3l-LkeqIw_5_4"/>
      <w:bookmarkStart w:id="442" w:name="Tc_3AXZzO-5_EOdIUX-skAoGA_5_0"/>
      <w:bookmarkStart w:id="443" w:name="Tc_FZkw7JGNekqA6aFtLeu_cg_4_16"/>
      <w:bookmarkStart w:id="444" w:name="Tc_E9t6-wmkU0iiddqNIkm_hQ_4_13"/>
      <w:bookmarkStart w:id="445" w:name="Tc_uZMvcLyhDEWfPTRJafDuEQ_4_10"/>
      <w:bookmarkStart w:id="446" w:name="Tc_Z-Iw-QrhREShf5f8nxy1Kg_4_7"/>
      <w:bookmarkStart w:id="447" w:name="Tc_LgPyf24P7UG1K1mzbGA7YQ_4_4"/>
      <w:bookmarkStart w:id="448" w:name="Tc_rpT1Va7M7E6gRTcvvly5fg_4_2"/>
      <w:bookmarkStart w:id="449" w:name="Tc_CSqWj4dZ2UygR7cpnHpNSg_3_16"/>
      <w:bookmarkStart w:id="450" w:name="Tc_oS_Ubsz5D0G50NFjBhYetw_3_13"/>
      <w:bookmarkStart w:id="451" w:name="Tc_yJBJ9UwnVkWUrY9nrBBMqw_3_10"/>
      <w:bookmarkStart w:id="452" w:name="Tc_-rNESGVStE-XFBdt_WHK8A_3_7"/>
      <w:bookmarkStart w:id="453" w:name="Tc_yi1WbI-wQkmUk_J6kdhAFg_2_16"/>
      <w:bookmarkStart w:id="454" w:name="Tc_1oWY9Aa9nEywCwPlMOGR8Q_2_13"/>
      <w:bookmarkStart w:id="455" w:name="Tc_kQzUijcYfEuG3i8T8aI4lQ_2_7"/>
      <w:bookmarkStart w:id="456" w:name="Tc_vNWM3-BCckGbddVG0PySfg_1_13"/>
      <w:bookmarkStart w:id="457" w:name="_690a4902_aa90_47d6_a1a3_607c22610712"/>
      <w:bookmarkStart w:id="458" w:name="Tc_0ftrx9Lyi0OyNl9gOQaTMw_10_16"/>
      <w:bookmarkStart w:id="459" w:name="Tc_m-93Vpbmoku53LPHUQ917Q_10_13"/>
      <w:bookmarkStart w:id="460" w:name="Tc_MxZW1ilxZk-POedwstYfcg_10_10"/>
      <w:bookmarkStart w:id="461" w:name="Tc_jMlYXed9KEid-JNDs-TVQA_10_7"/>
      <w:bookmarkStart w:id="462" w:name="Tc_fhavtq8a30SuZ8WUwLG-1Q_10_4"/>
      <w:bookmarkStart w:id="463" w:name="Tc_uDw4AENN7EiJ2L3u2vNgww_10_0"/>
      <w:bookmarkStart w:id="464" w:name="Tc_qXfwy6J5KEKrf1K23BE3ag_9_14"/>
      <w:bookmarkStart w:id="465" w:name="Tc_zlFLugVWqkyneVFjJUQwhA_9_11"/>
      <w:bookmarkStart w:id="466" w:name="Tc_ztaA1fwpykaP6E4OGBy-LA_9_5"/>
      <w:bookmarkStart w:id="467" w:name="Tc_YbJABhIggk-97mkCVeroUg_9_2"/>
      <w:bookmarkStart w:id="468" w:name="Tc_jyLyx4yMKkKSfaXYGursHA_9_0"/>
      <w:bookmarkStart w:id="469" w:name="Tc_eP1daoDLQkq7mqnmxvh2Rg_8_17"/>
      <w:bookmarkStart w:id="470" w:name="Tc_hNDxpggoXU-hcFocuuHsbw_8_14"/>
      <w:bookmarkStart w:id="471" w:name="Tc_sFqJUs1fdkiAJM_eXhmKgg_8_11"/>
      <w:bookmarkStart w:id="472" w:name="Tc_fARqUfYDvUaddHzAqJjx2g_8_8"/>
      <w:bookmarkStart w:id="473" w:name="Tc_K77jCoQ1XUGAjjjsgbpI-Q_8_5"/>
      <w:bookmarkStart w:id="474" w:name="Tc_a2_SbDXtl0e3fO21D0LZgg_8_0"/>
      <w:bookmarkStart w:id="475" w:name="Tc_TcUSlKz6fkuCmjD4OzxF-g_7_11"/>
      <w:bookmarkStart w:id="476" w:name="Tc_78sq2hdQS0--U4JxcFNw9Q_7_8"/>
      <w:bookmarkStart w:id="477" w:name="Tc_Z22yGIUWAUOW7N11GPKMRQ_7_5"/>
      <w:bookmarkStart w:id="478" w:name="Tc_6Cc8_3298Uuyuh2NP34bAw_7_2"/>
      <w:bookmarkStart w:id="479" w:name="Tc_jaGhj1hIT0-BUzQt1ABogg_7_0"/>
      <w:bookmarkStart w:id="480" w:name="Tc_NdOkm6tR10iN1ThzqTLzqg_6_14"/>
      <w:bookmarkStart w:id="481" w:name="Tc_-A0qzIrEHkC6w_y2yJEuGA_6_8"/>
      <w:bookmarkStart w:id="482" w:name="Tc_vX0qJgT1CUG1yws76fO-8Q_6_5"/>
      <w:bookmarkStart w:id="483" w:name="Tc_mG5huQXso0im4YBxMd8ICg_6_2"/>
      <w:bookmarkStart w:id="484" w:name="Tc_iW40oAE-5EWz-fkKyizERg_6_0"/>
      <w:bookmarkStart w:id="485" w:name="Tc_EPdyDRHiT0qRBYFtYufgmw_5_16"/>
      <w:bookmarkStart w:id="486" w:name="Tc_uQnrKJleqU-SK4Fv-stPHw_5_13"/>
      <w:bookmarkStart w:id="487" w:name="Tc_Vy1EpR48qECoTXfcZevh7w_5_10"/>
      <w:bookmarkStart w:id="488" w:name="Tc_IHDu0ieFR0aQz3bG_35YCg_5_7"/>
      <w:bookmarkStart w:id="489" w:name="Tc_buzATYQUe0W_O3l-LkeqIw_5_4"/>
      <w:bookmarkStart w:id="490" w:name="Tc_3AXZzO-5_EOdIUX-skAoGA_5_0"/>
      <w:bookmarkStart w:id="491" w:name="Tc_FZkw7JGNekqA6aFtLeu_cg_4_16"/>
      <w:bookmarkStart w:id="492" w:name="Tc_E9t6-wmkU0iiddqNIkm_hQ_4_13"/>
      <w:bookmarkStart w:id="493" w:name="Tc_uZMvcLyhDEWfPTRJafDuEQ_4_10"/>
      <w:bookmarkStart w:id="494" w:name="Tc_Z-Iw-QrhREShf5f8nxy1Kg_4_7"/>
      <w:bookmarkStart w:id="495" w:name="Tc_LgPyf24P7UG1K1mzbGA7YQ_4_4"/>
      <w:bookmarkStart w:id="496" w:name="Tc_rpT1Va7M7E6gRTcvvly5fg_4_2"/>
      <w:bookmarkStart w:id="497" w:name="Tc_CSqWj4dZ2UygR7cpnHpNSg_3_16"/>
      <w:bookmarkStart w:id="498" w:name="Tc_oS_Ubsz5D0G50NFjBhYetw_3_13"/>
      <w:bookmarkStart w:id="499" w:name="Tc_yJBJ9UwnVkWUrY9nrBBMqw_3_10"/>
      <w:bookmarkStart w:id="500" w:name="Tc_-rNESGVStE-XFBdt_WHK8A_3_7"/>
      <w:bookmarkStart w:id="501" w:name="Tc_yi1WbI-wQkmUk_J6kdhAFg_2_16"/>
      <w:bookmarkStart w:id="502" w:name="Tc_1oWY9Aa9nEywCwPlMOGR8Q_2_13"/>
      <w:bookmarkStart w:id="503" w:name="Tc_kQzUijcYfEuG3i8T8aI4lQ_2_7"/>
      <w:bookmarkStart w:id="504" w:name="Tc_vNWM3-BCckGbddVG0PySfg_1_13"/>
      <w:bookmarkStart w:id="505" w:name="_690a4902_aa90_47d6_a1a3_607c22610712"/>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tbl>
      <w:tblPr>
        <w:tblW w:w="10205" w:type="dxa"/>
        <w:jc w:val="left"/>
        <w:tblInd w:w="0" w:type="dxa"/>
        <w:tblCellMar>
          <w:top w:w="0" w:type="dxa"/>
          <w:left w:w="0" w:type="dxa"/>
          <w:bottom w:w="0" w:type="dxa"/>
          <w:right w:w="0" w:type="dxa"/>
        </w:tblCellMar>
      </w:tblPr>
      <w:tblGrid>
        <w:gridCol w:w="1890"/>
        <w:gridCol w:w="326"/>
        <w:gridCol w:w="1141"/>
        <w:gridCol w:w="326"/>
        <w:gridCol w:w="261"/>
        <w:gridCol w:w="430"/>
        <w:gridCol w:w="326"/>
        <w:gridCol w:w="211"/>
        <w:gridCol w:w="781"/>
        <w:gridCol w:w="326"/>
        <w:gridCol w:w="247"/>
        <w:gridCol w:w="864"/>
        <w:gridCol w:w="326"/>
        <w:gridCol w:w="319"/>
        <w:gridCol w:w="957"/>
        <w:gridCol w:w="326"/>
        <w:gridCol w:w="233"/>
        <w:gridCol w:w="915"/>
      </w:tblGrid>
      <w:tr>
        <w:trPr/>
        <w:tc>
          <w:tcPr>
            <w:tcW w:w="1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00150" cy="175260"/>
                      <wp:effectExtent l="0" t="0" r="0" b="0"/>
                      <wp:wrapNone/>
                      <wp:docPr id="48" name="Frame48"/>
                      <a:graphic xmlns:a="http://schemas.openxmlformats.org/drawingml/2006/main">
                        <a:graphicData uri="http://schemas.microsoft.com/office/word/2010/wordprocessingShape">
                          <wps:wsp>
                            <wps:cNvSpPr txBox="1"/>
                            <wps:spPr>
                              <a:xfrm>
                                <a:off x="0" y="0"/>
                                <a:ext cx="1200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4535" cy="175260"/>
                      <wp:effectExtent l="0" t="0" r="0" b="0"/>
                      <wp:wrapNone/>
                      <wp:docPr id="50" name="Frame5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5735" cy="175260"/>
                      <wp:effectExtent l="0" t="0" r="0" b="0"/>
                      <wp:wrapNone/>
                      <wp:docPr id="52" name="Frame52"/>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73050" cy="175260"/>
                      <wp:effectExtent l="0" t="0" r="0" b="0"/>
                      <wp:wrapNone/>
                      <wp:docPr id="53" name="Frame53"/>
                      <a:graphic xmlns:a="http://schemas.openxmlformats.org/drawingml/2006/main">
                        <a:graphicData uri="http://schemas.microsoft.com/office/word/2010/wordprocessingShape">
                          <wps:wsp>
                            <wps:cNvSpPr txBox="1"/>
                            <wps:spPr>
                              <a:xfrm>
                                <a:off x="0" y="0"/>
                                <a:ext cx="273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5935" cy="175260"/>
                      <wp:effectExtent l="0" t="0" r="0" b="0"/>
                      <wp:wrapNone/>
                      <wp:docPr id="56" name="Frame5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6845" cy="175260"/>
                      <wp:effectExtent l="0" t="0" r="0" b="0"/>
                      <wp:wrapNone/>
                      <wp:docPr id="58" name="Frame58"/>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48640" cy="175260"/>
                      <wp:effectExtent l="0" t="0" r="0" b="0"/>
                      <wp:wrapNone/>
                      <wp:docPr id="59" name="Frame59"/>
                      <a:graphic xmlns:a="http://schemas.openxmlformats.org/drawingml/2006/main">
                        <a:graphicData uri="http://schemas.microsoft.com/office/word/2010/wordprocessingShape">
                          <wps:wsp>
                            <wps:cNvSpPr txBox="1"/>
                            <wps:spPr>
                              <a:xfrm>
                                <a:off x="0" y="0"/>
                                <a:ext cx="548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2565" cy="175260"/>
                      <wp:effectExtent l="0" t="0" r="0" b="0"/>
                      <wp:wrapNone/>
                      <wp:docPr id="61" name="Frame61"/>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07695" cy="175260"/>
                      <wp:effectExtent l="0" t="0" r="0" b="0"/>
                      <wp:wrapNone/>
                      <wp:docPr id="62" name="Frame62"/>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7955" cy="175260"/>
                      <wp:effectExtent l="0" t="0" r="0" b="0"/>
                      <wp:wrapNone/>
                      <wp:docPr id="64" name="Frame64"/>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81025" cy="175260"/>
                      <wp:effectExtent l="0" t="0" r="0" b="0"/>
                      <wp:wrapNone/>
                      <wp:docPr id="65" name="Frame65"/>
                      <a:graphic xmlns:a="http://schemas.openxmlformats.org/drawingml/2006/main">
                        <a:graphicData uri="http://schemas.microsoft.com/office/word/2010/wordprocessingShape">
                          <wps:wsp>
                            <wps:cNvSpPr txBox="1"/>
                            <wps:spPr>
                              <a:xfrm>
                                <a:off x="0" y="0"/>
                                <a:ext cx="581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0"/>
              <w:ind w:left="0" w:right="0" w:hanging="0"/>
              <w:rPr/>
            </w:pPr>
            <w:r>
              <w:rPr/>
              <w:t>    </w:t>
            </w:r>
          </w:p>
        </w:tc>
        <w:tc>
          <w:tcPr>
            <w:tcW w:w="233" w:type="dxa"/>
            <w:tcBorders/>
            <w:shd w:fill="auto" w:val="clear"/>
            <w:vAlign w:val="center"/>
          </w:tcPr>
          <w:p>
            <w:pPr>
              <w:pStyle w:val="TableContents"/>
              <w:spacing w:before="0" w:after="0"/>
              <w:ind w:left="0" w:right="0" w:hanging="0"/>
              <w:rPr/>
            </w:pPr>
            <w:r>
              <w:rPr/>
              <w:t>​</w:t>
            </w:r>
          </w:p>
        </w:tc>
        <w:tc>
          <w:tcPr>
            <w:tcW w:w="915" w:type="dxa"/>
            <w:tcBorders/>
            <w:shd w:fill="auto" w:val="clear"/>
            <w:vAlign w:val="center"/>
          </w:tcPr>
          <w:p>
            <w:pPr>
              <w:pStyle w:val="TableContents"/>
              <w:spacing w:before="0" w:after="0"/>
              <w:ind w:left="0" w:right="0" w:hanging="0"/>
              <w:jc w:val="center"/>
              <w:rPr/>
            </w:pPr>
            <w:r>
              <w:rPr/>
              <w:t>​</w:t>
            </w:r>
          </w:p>
        </w:tc>
      </w:tr>
      <w:tr>
        <w:trPr/>
        <w:tc>
          <w:tcPr>
            <w:tcW w:w="18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111"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Paid-in </w:t>
            </w:r>
          </w:p>
        </w:tc>
        <w:tc>
          <w:tcPr>
            <w:tcW w:w="326" w:type="dxa"/>
            <w:tcBorders/>
            <w:shd w:fill="auto" w:val="clear"/>
            <w:vAlign w:val="center"/>
          </w:tcPr>
          <w:p>
            <w:pPr>
              <w:pStyle w:val="TableContents"/>
              <w:spacing w:before="0" w:after="0"/>
              <w:ind w:left="0" w:right="0" w:hanging="0"/>
              <w:rPr/>
            </w:pPr>
            <w:r>
              <w:rPr/>
              <w:t>​</w:t>
            </w:r>
          </w:p>
        </w:tc>
        <w:tc>
          <w:tcPr>
            <w:tcW w:w="1111"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6"/>
              </w:rPr>
              <w:t>Stockholders'</w:t>
            </w:r>
          </w:p>
        </w:tc>
      </w:tr>
      <w:tr>
        <w:trPr/>
        <w:tc>
          <w:tcPr>
            <w:tcW w:w="189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w:t>
            </w:r>
          </w:p>
        </w:tc>
        <w:tc>
          <w:tcPr>
            <w:tcW w:w="11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rPr/>
            </w:pPr>
            <w:r>
              <w:rPr/>
              <w:t>​</w:t>
            </w:r>
          </w:p>
        </w:tc>
        <w:tc>
          <w:tcPr>
            <w:tcW w:w="127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auto" w:val="clear"/>
            <w:vAlign w:val="center"/>
          </w:tcPr>
          <w:p>
            <w:pPr>
              <w:pStyle w:val="TableContents"/>
              <w:spacing w:before="0" w:after="0"/>
              <w:ind w:left="0" w:right="0" w:hanging="0"/>
              <w:rPr/>
            </w:pPr>
            <w:r>
              <w:rPr/>
              <w:t>​</w:t>
            </w:r>
          </w:p>
        </w:tc>
        <w:tc>
          <w:tcPr>
            <w:tcW w:w="11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Equity</w:t>
            </w:r>
          </w:p>
        </w:tc>
      </w:tr>
      <w:tr>
        <w:trPr/>
        <w:tc>
          <w:tcPr>
            <w:tcW w:w="189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Balances at December 31, 2022</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114,667,975</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440,880</w:t>
            </w:r>
          </w:p>
        </w:tc>
        <w:tc>
          <w:tcPr>
            <w:tcW w:w="32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(54,568)</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382,790</w:t>
            </w:r>
          </w:p>
        </w:tc>
      </w:tr>
      <w:tr>
        <w:trPr/>
        <w:tc>
          <w:tcPr>
            <w:tcW w:w="189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pPr>
            <w:r>
              <w:rPr/>
              <w:t> </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 </w:t>
            </w:r>
          </w:p>
        </w:tc>
        <w:tc>
          <w:tcPr>
            <w:tcW w:w="95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91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r>
      <w:tr>
        <w:trPr/>
        <w:tc>
          <w:tcPr>
            <w:tcW w:w="1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 </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pPr>
            <w:r>
              <w:rPr/>
              <w:t> </w:t>
            </w:r>
          </w:p>
        </w:tc>
        <w:tc>
          <w:tcPr>
            <w:tcW w:w="86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 </w:t>
            </w:r>
          </w:p>
        </w:tc>
        <w:tc>
          <w:tcPr>
            <w:tcW w:w="9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189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22,078</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43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pPr>
            <w:r>
              <w:rPr/>
              <w:t>​</w:t>
            </w:r>
          </w:p>
        </w:tc>
        <w:tc>
          <w:tcPr>
            <w:tcW w:w="86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95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15" w:type="dxa"/>
            <w:tcBorders/>
            <w:shd w:fill="auto" w:val="clear"/>
            <w:vAlign w:val="center"/>
          </w:tcPr>
          <w:p>
            <w:pPr>
              <w:pStyle w:val="TableContents"/>
              <w:spacing w:before="0" w:after="0"/>
              <w:ind w:left="0" w:right="0" w:hanging="0"/>
              <w:jc w:val="right"/>
              <w:rPr/>
            </w:pPr>
            <w:r>
              <w:rPr/>
              <w:t>—</w:t>
            </w:r>
          </w:p>
        </w:tc>
      </w:tr>
      <w:tr>
        <w:trPr/>
        <w:tc>
          <w:tcPr>
            <w:tcW w:w="189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3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6,769</w:t>
            </w:r>
          </w:p>
        </w:tc>
        <w:tc>
          <w:tcPr>
            <w:tcW w:w="326" w:type="dxa"/>
            <w:tcBorders/>
            <w:shd w:fill="CCEEFF" w:val="clear"/>
            <w:vAlign w:val="center"/>
          </w:tcPr>
          <w:p>
            <w:pPr>
              <w:pStyle w:val="TableContents"/>
              <w:spacing w:before="0" w:after="0"/>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6,769</w:t>
            </w:r>
          </w:p>
        </w:tc>
      </w:tr>
      <w:tr>
        <w:trPr/>
        <w:tc>
          <w:tcPr>
            <w:tcW w:w="1890"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Balances at April 1, 2023</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114,690,053</w:t>
            </w:r>
          </w:p>
        </w:tc>
        <w:tc>
          <w:tcPr>
            <w:tcW w:w="326"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447,649</w:t>
            </w:r>
          </w:p>
        </w:tc>
        <w:tc>
          <w:tcPr>
            <w:tcW w:w="32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(68,936)</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1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375,047</w:t>
            </w:r>
          </w:p>
        </w:tc>
      </w:tr>
      <w:tr>
        <w:trPr/>
        <w:tc>
          <w:tcPr>
            <w:tcW w:w="1890"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43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pPr>
            <w:r>
              <w:rPr/>
              <w:t>​</w:t>
            </w:r>
          </w:p>
        </w:tc>
        <w:tc>
          <w:tcPr>
            <w:tcW w:w="86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15"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06" w:name="_c00fc737_b7c9_42f5_b505_0df57e293b4d"/>
      <w:bookmarkEnd w:id="506"/>
      <w:r>
        <w:rPr>
          <w:rFonts w:ascii="Times New Roman;Times;serif" w:hAnsi="Times New Roman;Times;serif"/>
          <w:b/>
          <w:sz w:val="20"/>
        </w:rPr>
        <w:t>Latham Group, Inc.</w:t>
      </w:r>
    </w:p>
    <w:p>
      <w:pPr>
        <w:pStyle w:val="TextBody"/>
        <w:spacing w:before="0" w:after="0"/>
        <w:ind w:left="0" w:right="0" w:hanging="0"/>
        <w:jc w:val="center"/>
        <w:rPr>
          <w:rFonts w:ascii="Times New Roman;Times;serif" w:hAnsi="Times New Roman;Times;serif"/>
          <w:b/>
          <w:sz w:val="20"/>
        </w:rPr>
      </w:pPr>
      <w:bookmarkStart w:id="507" w:name="CondensedConsolidatedStatementsofCashFlo"/>
      <w:bookmarkEnd w:id="507"/>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508" w:name="Tc_q57nAoF0EUCCGO38Bzr6Qg_49_0"/>
      <w:bookmarkStart w:id="509" w:name="Tc_4Ox_5KJb7kSRGWXjkO_ffA_48_0"/>
      <w:bookmarkStart w:id="510" w:name="Tc_1esrHNzYu0yitAF7SGCZAw_47_5"/>
      <w:bookmarkStart w:id="511" w:name="Tc_DM5Y1LFuyU2XgEbjKGHNdQ_47_2"/>
      <w:bookmarkStart w:id="512" w:name="Tc_wSNt3uSNLUKp1OYRNtmasA_47_0"/>
      <w:bookmarkStart w:id="513" w:name="Tc_GHzGLLYRDketD96fwP-VLQ_46_0"/>
      <w:bookmarkStart w:id="514" w:name="Tc_XjrtHP97xUKSsvg0XgivGg_45_0"/>
      <w:bookmarkStart w:id="515" w:name="Tc_grbWtK_RpU-8K8XeQNQDPg_44_5"/>
      <w:bookmarkStart w:id="516" w:name="Tc_NFjspEUXwUGQzG3kLYal0A_44_2"/>
      <w:bookmarkStart w:id="517" w:name="Tc_2sfppCKOd0yAAP-NKXMpIg_44_0"/>
      <w:bookmarkStart w:id="518" w:name="Tc_NipHQYKLXk2kMOi6lmz86Q_43_0"/>
      <w:bookmarkStart w:id="519" w:name="Tc_s_SXLUCUYkqhqyqKX3Gc1Q_42_5"/>
      <w:bookmarkStart w:id="520" w:name="Tc_0qle0MDiP0iD4m-TSdV-2A_42_2"/>
      <w:bookmarkStart w:id="521" w:name="Tc_J-kagSOmIku7g1pFW46j2A_42_0"/>
      <w:bookmarkStart w:id="522" w:name="Tc_tdzXlVBnwEO_jGd0Cm8AHQ_41_0"/>
      <w:bookmarkStart w:id="523" w:name="Tc_RP-TCYKLo06xPGlkWF6Ohg_40_0"/>
      <w:bookmarkStart w:id="524" w:name="Tc_T1XioJ5o1kSqAl0rpGh93A_39_0"/>
      <w:bookmarkStart w:id="525" w:name="Tc_qL8BZYG-dUeL4BnmgrwRYg_38_0"/>
      <w:bookmarkStart w:id="526" w:name="Tc_uilz3ZrvlEOiPqnVGzCNyQ_37_3"/>
      <w:bookmarkStart w:id="527" w:name="Tc_liXZ-I8vwECc7mAfWPyoaQ_37_0"/>
      <w:bookmarkStart w:id="528" w:name="Tc_y0gi-N7MFkmQcM77g-yywQ_36_6"/>
      <w:bookmarkStart w:id="529" w:name="Tc_T_pl6AifC0mZtgFXb9pWTA_36_0"/>
      <w:bookmarkStart w:id="530" w:name="Tc_6p2_QrKWVk-rdN9lROexuQ_35_3"/>
      <w:bookmarkStart w:id="531" w:name="Tc_vhaE1ilcD0K7IBd-Mgg1Pg_35_0"/>
      <w:bookmarkStart w:id="532" w:name="Tc_uJHCI1_yIEGzV5ZmCiA51A_34_3"/>
      <w:bookmarkStart w:id="533" w:name="Tc_S0m-4XYc-UKhj-ush1kLUw_34_0"/>
      <w:bookmarkStart w:id="534" w:name="Tc_QfNVy3FqF0i71LFZWA6L3Q_33_3"/>
      <w:bookmarkStart w:id="535" w:name="Tc_HRYbDIFMSkayfqdaOH_zFQ_33_0"/>
      <w:bookmarkStart w:id="536" w:name="Tc_3yyKNfsZZUSvfSoUlYn7Sg_32_0"/>
      <w:bookmarkStart w:id="537" w:name="Tc_LPR_UF6yZUSJs7LxlxZAig_31_0"/>
      <w:bookmarkStart w:id="538" w:name="Tc_P6ibkioWAEaoaZKCoGnRQQ_30_3"/>
      <w:bookmarkStart w:id="539" w:name="Tc_fEvFkEsms0estuFGOCpgKQ_30_0"/>
      <w:bookmarkStart w:id="540" w:name="Tc_mWhYI_gfiESWa5y_b2_bnA_29_0"/>
      <w:bookmarkStart w:id="541" w:name="Tc_t9IuiBbaYkWwr4Xsuo0G2A_28_0"/>
      <w:bookmarkStart w:id="542" w:name="Tc_cNtRff8EOkmtbHiWCGqpEA_27_0"/>
      <w:bookmarkStart w:id="543" w:name="Tc_C3VEePfpoE2Eyz5USntvXg_26_0"/>
      <w:bookmarkStart w:id="544" w:name="Tc_fVuDF0iQt0ygrQdEG1HJ4A_25_0"/>
      <w:bookmarkStart w:id="545" w:name="Tc_76ORd5_gtEu7SlaWGT5j4w_24_0"/>
      <w:bookmarkStart w:id="546" w:name="Tc_lEcFUHt1C0ug2zQoyCk5xQ_23_0"/>
      <w:bookmarkStart w:id="547" w:name="Tc_IV-HTg0mvEWYnvF2HepB_A_22_0"/>
      <w:bookmarkStart w:id="548" w:name="Tc_MSvY878KI0elFudvBpSWOQ_21_0"/>
      <w:bookmarkStart w:id="549" w:name="Tc_UEcGci9HC0mPjKLux30XlQ_20_0"/>
      <w:bookmarkStart w:id="550" w:name="Tc_-cRPWJoaCEyp9X0tCXOwpA_19_0"/>
      <w:bookmarkStart w:id="551" w:name="Tc_OV1YjapoiE-w4sX4hR2_qw_18_0"/>
      <w:bookmarkStart w:id="552" w:name="Tc__jMsZcgYGkGcAcdmTQrsIw_17_0"/>
      <w:bookmarkStart w:id="553" w:name="Tc_1rDZW863jUCEkS-bEZ_hMQ_16_0"/>
      <w:bookmarkStart w:id="554" w:name="Tc_uw3rdHwR-UCE8c2ba1Y90Q_15_0"/>
      <w:bookmarkStart w:id="555" w:name="Tc_g_T7IKx-dE26gyU1w_99hA_14_0"/>
      <w:bookmarkStart w:id="556" w:name="Tc_j_XDmDXfcUuQZ99LPzLpSw_13_3"/>
      <w:bookmarkStart w:id="557" w:name="Tc_u4x-l43R0EeEuruZPiS3ZQ_13_0"/>
      <w:bookmarkStart w:id="558" w:name="Tc_3fAn7j9MRkuNLt0GjLobBQ_12_3"/>
      <w:bookmarkStart w:id="559" w:name="Tc_T87HdaS7PEGGIGxAW8smaA_12_0"/>
      <w:bookmarkStart w:id="560" w:name="Tc_TaPEKmvCq0my5H0aiIGYqg_11_0"/>
      <w:bookmarkStart w:id="561" w:name="Tc_vT0DYUROukGLWgRuqhC6Kw_10_0"/>
      <w:bookmarkStart w:id="562" w:name="Tc_jOnmo_8ewUyxpJZ2u5pAKw_9_0"/>
      <w:bookmarkStart w:id="563" w:name="Tc__IWw4WrArUO0SCyeQbHISQ_8_0"/>
      <w:bookmarkStart w:id="564" w:name="Tc_k_iQ1g8GQkCxq7S9Ogu8ow_7_0"/>
      <w:bookmarkStart w:id="565" w:name="Tc_0vRHlVPiCkee7wJZTFfi0g_6_0"/>
      <w:bookmarkStart w:id="566" w:name="Tc_s4FTG6in6kKM_DZkvmPpLQ_5_5"/>
      <w:bookmarkStart w:id="567" w:name="Tc_Fe26kw6ap0S1bqXcFbDhQA_5_2"/>
      <w:bookmarkStart w:id="568" w:name="Tc_j0i45XPYNUWpagPUb4ztXw_5_0"/>
      <w:bookmarkStart w:id="569" w:name="Tc_dxHiP94UakeFIrbRbalb3Q_4_0"/>
      <w:bookmarkStart w:id="570" w:name="Tc_9SUB8xg9uk220tBU3vgnlg_3_5"/>
      <w:bookmarkStart w:id="571" w:name="Tc_jQdZX7Lvpki2fA2AxLJ8RA_3_2"/>
      <w:bookmarkStart w:id="572" w:name="Tc_0FBBTlFkSUS3gg5tzDDPFg_2_5"/>
      <w:bookmarkStart w:id="573" w:name="Tc_nHmhn_uoKESJy_75vxQnfA_2_2"/>
      <w:bookmarkStart w:id="574" w:name="Tc_Hhbnkjcn9k6Sdt0R1jVGSw_1_2"/>
      <w:bookmarkStart w:id="575" w:name="_bf78064e_a2f5_487b_969f_4aebe318963f"/>
      <w:bookmarkStart w:id="576" w:name="Tc_q57nAoF0EUCCGO38Bzr6Qg_49_0"/>
      <w:bookmarkStart w:id="577" w:name="Tc_4Ox_5KJb7kSRGWXjkO_ffA_48_0"/>
      <w:bookmarkStart w:id="578" w:name="Tc_1esrHNzYu0yitAF7SGCZAw_47_5"/>
      <w:bookmarkStart w:id="579" w:name="Tc_DM5Y1LFuyU2XgEbjKGHNdQ_47_2"/>
      <w:bookmarkStart w:id="580" w:name="Tc_wSNt3uSNLUKp1OYRNtmasA_47_0"/>
      <w:bookmarkStart w:id="581" w:name="Tc_GHzGLLYRDketD96fwP-VLQ_46_0"/>
      <w:bookmarkStart w:id="582" w:name="Tc_XjrtHP97xUKSsvg0XgivGg_45_0"/>
      <w:bookmarkStart w:id="583" w:name="Tc_grbWtK_RpU-8K8XeQNQDPg_44_5"/>
      <w:bookmarkStart w:id="584" w:name="Tc_NFjspEUXwUGQzG3kLYal0A_44_2"/>
      <w:bookmarkStart w:id="585" w:name="Tc_2sfppCKOd0yAAP-NKXMpIg_44_0"/>
      <w:bookmarkStart w:id="586" w:name="Tc_NipHQYKLXk2kMOi6lmz86Q_43_0"/>
      <w:bookmarkStart w:id="587" w:name="Tc_s_SXLUCUYkqhqyqKX3Gc1Q_42_5"/>
      <w:bookmarkStart w:id="588" w:name="Tc_0qle0MDiP0iD4m-TSdV-2A_42_2"/>
      <w:bookmarkStart w:id="589" w:name="Tc_J-kagSOmIku7g1pFW46j2A_42_0"/>
      <w:bookmarkStart w:id="590" w:name="Tc_tdzXlVBnwEO_jGd0Cm8AHQ_41_0"/>
      <w:bookmarkStart w:id="591" w:name="Tc_RP-TCYKLo06xPGlkWF6Ohg_40_0"/>
      <w:bookmarkStart w:id="592" w:name="Tc_T1XioJ5o1kSqAl0rpGh93A_39_0"/>
      <w:bookmarkStart w:id="593" w:name="Tc_qL8BZYG-dUeL4BnmgrwRYg_38_0"/>
      <w:bookmarkStart w:id="594" w:name="Tc_uilz3ZrvlEOiPqnVGzCNyQ_37_3"/>
      <w:bookmarkStart w:id="595" w:name="Tc_liXZ-I8vwECc7mAfWPyoaQ_37_0"/>
      <w:bookmarkStart w:id="596" w:name="Tc_y0gi-N7MFkmQcM77g-yywQ_36_6"/>
      <w:bookmarkStart w:id="597" w:name="Tc_T_pl6AifC0mZtgFXb9pWTA_36_0"/>
      <w:bookmarkStart w:id="598" w:name="Tc_6p2_QrKWVk-rdN9lROexuQ_35_3"/>
      <w:bookmarkStart w:id="599" w:name="Tc_vhaE1ilcD0K7IBd-Mgg1Pg_35_0"/>
      <w:bookmarkStart w:id="600" w:name="Tc_uJHCI1_yIEGzV5ZmCiA51A_34_3"/>
      <w:bookmarkStart w:id="601" w:name="Tc_S0m-4XYc-UKhj-ush1kLUw_34_0"/>
      <w:bookmarkStart w:id="602" w:name="Tc_QfNVy3FqF0i71LFZWA6L3Q_33_3"/>
      <w:bookmarkStart w:id="603" w:name="Tc_HRYbDIFMSkayfqdaOH_zFQ_33_0"/>
      <w:bookmarkStart w:id="604" w:name="Tc_3yyKNfsZZUSvfSoUlYn7Sg_32_0"/>
      <w:bookmarkStart w:id="605" w:name="Tc_LPR_UF6yZUSJs7LxlxZAig_31_0"/>
      <w:bookmarkStart w:id="606" w:name="Tc_P6ibkioWAEaoaZKCoGnRQQ_30_3"/>
      <w:bookmarkStart w:id="607" w:name="Tc_fEvFkEsms0estuFGOCpgKQ_30_0"/>
      <w:bookmarkStart w:id="608" w:name="Tc_mWhYI_gfiESWa5y_b2_bnA_29_0"/>
      <w:bookmarkStart w:id="609" w:name="Tc_t9IuiBbaYkWwr4Xsuo0G2A_28_0"/>
      <w:bookmarkStart w:id="610" w:name="Tc_cNtRff8EOkmtbHiWCGqpEA_27_0"/>
      <w:bookmarkStart w:id="611" w:name="Tc_C3VEePfpoE2Eyz5USntvXg_26_0"/>
      <w:bookmarkStart w:id="612" w:name="Tc_fVuDF0iQt0ygrQdEG1HJ4A_25_0"/>
      <w:bookmarkStart w:id="613" w:name="Tc_76ORd5_gtEu7SlaWGT5j4w_24_0"/>
      <w:bookmarkStart w:id="614" w:name="Tc_lEcFUHt1C0ug2zQoyCk5xQ_23_0"/>
      <w:bookmarkStart w:id="615" w:name="Tc_IV-HTg0mvEWYnvF2HepB_A_22_0"/>
      <w:bookmarkStart w:id="616" w:name="Tc_MSvY878KI0elFudvBpSWOQ_21_0"/>
      <w:bookmarkStart w:id="617" w:name="Tc_UEcGci9HC0mPjKLux30XlQ_20_0"/>
      <w:bookmarkStart w:id="618" w:name="Tc_-cRPWJoaCEyp9X0tCXOwpA_19_0"/>
      <w:bookmarkStart w:id="619" w:name="Tc_OV1YjapoiE-w4sX4hR2_qw_18_0"/>
      <w:bookmarkStart w:id="620" w:name="Tc__jMsZcgYGkGcAcdmTQrsIw_17_0"/>
      <w:bookmarkStart w:id="621" w:name="Tc_1rDZW863jUCEkS-bEZ_hMQ_16_0"/>
      <w:bookmarkStart w:id="622" w:name="Tc_uw3rdHwR-UCE8c2ba1Y90Q_15_0"/>
      <w:bookmarkStart w:id="623" w:name="Tc_g_T7IKx-dE26gyU1w_99hA_14_0"/>
      <w:bookmarkStart w:id="624" w:name="Tc_j_XDmDXfcUuQZ99LPzLpSw_13_3"/>
      <w:bookmarkStart w:id="625" w:name="Tc_u4x-l43R0EeEuruZPiS3ZQ_13_0"/>
      <w:bookmarkStart w:id="626" w:name="Tc_3fAn7j9MRkuNLt0GjLobBQ_12_3"/>
      <w:bookmarkStart w:id="627" w:name="Tc_T87HdaS7PEGGIGxAW8smaA_12_0"/>
      <w:bookmarkStart w:id="628" w:name="Tc_TaPEKmvCq0my5H0aiIGYqg_11_0"/>
      <w:bookmarkStart w:id="629" w:name="Tc_vT0DYUROukGLWgRuqhC6Kw_10_0"/>
      <w:bookmarkStart w:id="630" w:name="Tc_jOnmo_8ewUyxpJZ2u5pAKw_9_0"/>
      <w:bookmarkStart w:id="631" w:name="Tc__IWw4WrArUO0SCyeQbHISQ_8_0"/>
      <w:bookmarkStart w:id="632" w:name="Tc_k_iQ1g8GQkCxq7S9Ogu8ow_7_0"/>
      <w:bookmarkStart w:id="633" w:name="Tc_0vRHlVPiCkee7wJZTFfi0g_6_0"/>
      <w:bookmarkStart w:id="634" w:name="Tc_s4FTG6in6kKM_DZkvmPpLQ_5_5"/>
      <w:bookmarkStart w:id="635" w:name="Tc_Fe26kw6ap0S1bqXcFbDhQA_5_2"/>
      <w:bookmarkStart w:id="636" w:name="Tc_j0i45XPYNUWpagPUb4ztXw_5_0"/>
      <w:bookmarkStart w:id="637" w:name="Tc_dxHiP94UakeFIrbRbalb3Q_4_0"/>
      <w:bookmarkStart w:id="638" w:name="Tc_9SUB8xg9uk220tBU3vgnlg_3_5"/>
      <w:bookmarkStart w:id="639" w:name="Tc_jQdZX7Lvpki2fA2AxLJ8RA_3_2"/>
      <w:bookmarkStart w:id="640" w:name="Tc_0FBBTlFkSUS3gg5tzDDPFg_2_5"/>
      <w:bookmarkStart w:id="641" w:name="Tc_nHmhn_uoKESJy_75vxQnfA_2_2"/>
      <w:bookmarkStart w:id="642" w:name="Tc_Hhbnkjcn9k6Sdt0R1jVGSw_1_2"/>
      <w:bookmarkStart w:id="643" w:name="_bf78064e_a2f5_487b_969f_4aebe318963f"/>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tbl>
      <w:tblPr>
        <w:tblW w:w="7966" w:type="dxa"/>
        <w:jc w:val="left"/>
        <w:tblInd w:w="0" w:type="dxa"/>
        <w:tblCellMar>
          <w:top w:w="0" w:type="dxa"/>
          <w:left w:w="0" w:type="dxa"/>
          <w:bottom w:w="0" w:type="dxa"/>
          <w:right w:w="0" w:type="dxa"/>
        </w:tblCellMar>
      </w:tblPr>
      <w:tblGrid>
        <w:gridCol w:w="5416"/>
        <w:gridCol w:w="146"/>
        <w:gridCol w:w="196"/>
        <w:gridCol w:w="721"/>
        <w:gridCol w:w="326"/>
        <w:gridCol w:w="196"/>
        <w:gridCol w:w="811"/>
        <w:gridCol w:w="154"/>
      </w:tblGrid>
      <w:tr>
        <w:trPr/>
        <w:tc>
          <w:tcPr>
            <w:tcW w:w="5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439160" cy="175260"/>
                      <wp:effectExtent l="0" t="0" r="0" b="0"/>
                      <wp:wrapNone/>
                      <wp:docPr id="66" name="Frame66"/>
                      <a:graphic xmlns:a="http://schemas.openxmlformats.org/drawingml/2006/main">
                        <a:graphicData uri="http://schemas.microsoft.com/office/word/2010/wordprocessingShape">
                          <wps:wsp>
                            <wps:cNvSpPr txBox="1"/>
                            <wps:spPr>
                              <a:xfrm>
                                <a:off x="0" y="0"/>
                                <a:ext cx="3439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2710" cy="175260"/>
                      <wp:effectExtent l="0" t="0" r="0" b="0"/>
                      <wp:wrapNone/>
                      <wp:docPr id="67" name="Frame6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835" cy="175260"/>
                      <wp:effectExtent l="0" t="0" r="0" b="0"/>
                      <wp:wrapNone/>
                      <wp:docPr id="69" name="Frame69"/>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4985" cy="175260"/>
                      <wp:effectExtent l="0" t="0" r="0" b="0"/>
                      <wp:wrapNone/>
                      <wp:docPr id="72" name="Frame72"/>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7790" cy="175260"/>
                      <wp:effectExtent l="0" t="0" r="0" b="0"/>
                      <wp:wrapNone/>
                      <wp:docPr id="73" name="Frame7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41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225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jc w:val="center"/>
              <w:rPr/>
            </w:pPr>
            <w:r>
              <w:rPr/>
              <w:t>​</w:t>
            </w:r>
          </w:p>
        </w:tc>
      </w:tr>
      <w:tr>
        <w:trPr/>
        <w:tc>
          <w:tcPr>
            <w:tcW w:w="541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91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w:t>
            </w:r>
          </w:p>
        </w:tc>
        <w:tc>
          <w:tcPr>
            <w:tcW w:w="326" w:type="dxa"/>
            <w:tcBorders/>
            <w:shd w:fill="auto" w:val="clear"/>
            <w:vAlign w:val="center"/>
          </w:tcPr>
          <w:p>
            <w:pPr>
              <w:pStyle w:val="TableContents"/>
              <w:spacing w:before="0" w:after="1"/>
              <w:ind w:left="0" w:right="0" w:hanging="0"/>
              <w:jc w:val="center"/>
              <w:rPr/>
            </w:pPr>
            <w:r>
              <w:rPr/>
              <w:t>​</w:t>
            </w:r>
          </w:p>
        </w:tc>
        <w:tc>
          <w:tcPr>
            <w:tcW w:w="100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shd w:fill="auto" w:val="clear"/>
            <w:vAlign w:val="center"/>
          </w:tcPr>
          <w:p>
            <w:pPr>
              <w:pStyle w:val="TableContents"/>
              <w:spacing w:before="0" w:after="1"/>
              <w:ind w:left="0" w:right="0" w:hanging="0"/>
              <w:jc w:val="center"/>
              <w:rPr/>
            </w:pPr>
            <w:r>
              <w:rPr/>
              <w:t>​</w:t>
            </w:r>
          </w:p>
        </w:tc>
      </w:tr>
      <w:tr>
        <w:trPr/>
        <w:tc>
          <w:tcPr>
            <w:tcW w:w="541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9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1"/>
              <w:ind w:left="0" w:right="0" w:hanging="0"/>
              <w:jc w:val="center"/>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b/>
                <w:sz w:val="15"/>
              </w:rPr>
            </w:pPr>
            <w:r>
              <w:rPr>
                <w:rFonts w:ascii="Times New Roman;Times;serif" w:hAnsi="Times New Roman;Times;serif"/>
                <w:b/>
                <w:sz w:val="15"/>
              </w:rPr>
              <w:t>Cash flows from operating activities: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loss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(14,368)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(2,840)</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Depreciation and amortization</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9,258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9,494</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Amortization of deferred financing costs and debt discount</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Non-cash lease expense</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1,877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1,780</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Change in fair value of interest rate swaps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4,866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(2,781)</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Stock-based compensation expense</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6,769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16,925</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Underwriting fees related to offering of common stock</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11,437</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Loss on extinguishment of debt</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3,465</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Other non-cash, net</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1,374</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Earnings from equity method investment</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(542)</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Changes in operating assets and liabilities: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Trade receivables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(55,286)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(78,947)</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Inventories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15,615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(30,490)</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Prepaid expenses and other current assets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(790)</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Income tax receivable</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Other assets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(328)</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Accounts payable</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20,947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17,494</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Accrued expenses and other current liabilities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(3,190)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(3,234)</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Other long-term liabilities</w:t>
            </w:r>
          </w:p>
        </w:tc>
        <w:tc>
          <w:tcPr>
            <w:tcW w:w="14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used in operating activities</w:t>
            </w:r>
          </w:p>
        </w:tc>
        <w:tc>
          <w:tcPr>
            <w:tcW w:w="14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(14,476)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(57,468)</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b/>
                <w:sz w:val="15"/>
              </w:rPr>
              <w:t>Cash flows from investing activities</w:t>
            </w:r>
            <w:r>
              <w:rPr>
                <w:rFonts w:ascii="Times New Roman;Times;serif" w:hAnsi="Times New Roman;Times;serif"/>
                <w:sz w:val="15"/>
              </w:rPr>
              <w:t>:</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Purchases of property and equipment</w:t>
            </w:r>
          </w:p>
        </w:tc>
        <w:tc>
          <w:tcPr>
            <w:tcW w:w="14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(9,942)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(6,666)</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used in investing activities</w:t>
            </w:r>
          </w:p>
        </w:tc>
        <w:tc>
          <w:tcPr>
            <w:tcW w:w="14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(9,942)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(6,666)</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b/>
                <w:sz w:val="15"/>
              </w:rPr>
              <w:t>Cash flows from financing activities</w:t>
            </w:r>
            <w:r>
              <w:rPr>
                <w:rFonts w:ascii="Times New Roman;Times;serif" w:hAnsi="Times New Roman;Times;serif"/>
                <w:sz w:val="15"/>
              </w:rPr>
              <w:t>:</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Proceeds from long-term debt borrowings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320,125</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Payments on long-term debt borrowings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(284,009)</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Proceeds from borrowings on revolving credit facilities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48,000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Payments on revolving credit facility</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Deferred financing fees paid</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(6,865)</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Proceeds from the issuance of common stock</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257,663</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Repayments of finance lease obligations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Repurchases and retirements of common stock</w:t>
            </w:r>
          </w:p>
        </w:tc>
        <w:tc>
          <w:tcPr>
            <w:tcW w:w="14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(257,663)</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provided by financing activities</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47,086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39,251</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Effect of exchange rate changes on cash</w:t>
            </w:r>
          </w:p>
        </w:tc>
        <w:tc>
          <w:tcPr>
            <w:tcW w:w="14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(278)</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(411)</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b/>
                <w:sz w:val="15"/>
              </w:rPr>
            </w:pPr>
            <w:r>
              <w:rPr>
                <w:rFonts w:ascii="Times New Roman;Times;serif" w:hAnsi="Times New Roman;Times;serif"/>
                <w:b/>
                <w:sz w:val="15"/>
              </w:rPr>
              <w:t>Net increase (decrease) in cash</w:t>
            </w:r>
          </w:p>
        </w:tc>
        <w:tc>
          <w:tcPr>
            <w:tcW w:w="14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22,390</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(25,294)</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at beginning of period</w:t>
            </w:r>
          </w:p>
        </w:tc>
        <w:tc>
          <w:tcPr>
            <w:tcW w:w="14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32,626</w:t>
            </w:r>
          </w:p>
        </w:tc>
        <w:tc>
          <w:tcPr>
            <w:tcW w:w="326" w:type="dxa"/>
            <w:tcBorders/>
            <w:shd w:fill="auto" w:val="clear"/>
            <w:vAlign w:val="center"/>
          </w:tcPr>
          <w:p>
            <w:pPr>
              <w:pStyle w:val="TableContents"/>
              <w:spacing w:before="0" w:after="1"/>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43,952</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at end of period</w:t>
            </w:r>
          </w:p>
        </w:tc>
        <w:tc>
          <w:tcPr>
            <w:tcW w:w="14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55,016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18,658</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b/>
                <w:sz w:val="15"/>
              </w:rPr>
              <w:t>Supplemental cash flow information</w:t>
            </w:r>
            <w:r>
              <w:rPr>
                <w:rFonts w:ascii="Times New Roman;Times;serif" w:hAnsi="Times New Roman;Times;serif"/>
                <w:sz w:val="15"/>
              </w:rPr>
              <w:t>:</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2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paid for interest</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5,123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1,628</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Income taxes paid, net</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578</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b/>
                <w:sz w:val="15"/>
              </w:rPr>
              <w:t>Supplemental disclosure of non-cash investing and financing activities</w:t>
            </w:r>
            <w:r>
              <w:rPr>
                <w:rFonts w:ascii="Times New Roman;Times;serif" w:hAnsi="Times New Roman;Times;serif"/>
                <w:sz w:val="15"/>
              </w:rPr>
              <w:t>:</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Purchases of property and equipment included in accounts payable and accrued expenses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5,849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154" w:type="dxa"/>
            <w:tcBorders/>
            <w:shd w:fill="auto" w:val="clear"/>
            <w:vAlign w:val="center"/>
          </w:tcPr>
          <w:p>
            <w:pPr>
              <w:pStyle w:val="TableContents"/>
              <w:spacing w:before="0" w:after="1"/>
              <w:ind w:left="0" w:right="0" w:hanging="0"/>
              <w:jc w:val="right"/>
              <w:rPr/>
            </w:pPr>
            <w:r>
              <w:rPr/>
              <w:t>​</w:t>
            </w:r>
          </w:p>
        </w:tc>
      </w:tr>
      <w:tr>
        <w:trPr/>
        <w:tc>
          <w:tcPr>
            <w:tcW w:w="5416"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Capitalized internal-use software included in accounts payable – related party</w:t>
            </w:r>
          </w:p>
        </w:tc>
        <w:tc>
          <w:tcPr>
            <w:tcW w:w="14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154" w:type="dxa"/>
            <w:tcBorders/>
            <w:shd w:fill="CCEEFF" w:val="clear"/>
            <w:vAlign w:val="center"/>
          </w:tcPr>
          <w:p>
            <w:pPr>
              <w:pStyle w:val="TableContents"/>
              <w:spacing w:before="0" w:after="1"/>
              <w:ind w:left="0" w:right="0" w:hanging="0"/>
              <w:jc w:val="right"/>
              <w:rPr/>
            </w:pPr>
            <w:r>
              <w:rPr/>
              <w:t>​</w:t>
            </w:r>
          </w:p>
        </w:tc>
      </w:tr>
      <w:tr>
        <w:trPr/>
        <w:tc>
          <w:tcPr>
            <w:tcW w:w="5416"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Right-of-use operating and finance lease assets obtained in exchange for lease liabilities</w:t>
            </w:r>
          </w:p>
        </w:tc>
        <w:tc>
          <w:tcPr>
            <w:tcW w:w="14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33,839</w:t>
            </w:r>
          </w:p>
        </w:tc>
        <w:tc>
          <w:tcPr>
            <w:tcW w:w="154" w:type="dxa"/>
            <w:tcBorders/>
            <w:shd w:fill="auto" w:val="clear"/>
            <w:vAlign w:val="center"/>
          </w:tcPr>
          <w:p>
            <w:pPr>
              <w:pStyle w:val="TableContents"/>
              <w:spacing w:before="0" w:after="1"/>
              <w:ind w:left="0" w:right="0" w:hanging="0"/>
              <w:jc w:val="right"/>
              <w:rPr/>
            </w:pPr>
            <w:r>
              <w:rPr/>
              <w:t>​</w:t>
            </w:r>
          </w:p>
        </w:tc>
      </w:tr>
    </w:tbl>
    <w:p>
      <w:pPr>
        <w:pStyle w:val="TextBody"/>
        <w:spacing w:before="0" w:after="240"/>
        <w:ind w:left="0" w:right="0" w:hanging="0"/>
        <w:jc w:val="center"/>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spacing w:before="0" w:after="240"/>
        <w:ind w:left="0" w:right="0" w:hanging="0"/>
        <w:jc w:val="center"/>
        <w:rPr/>
      </w:pPr>
      <w:bookmarkStart w:id="644" w:name="_1b01d941_f7e4_4287_827b_2fbdd985d439"/>
      <w:bookmarkEnd w:id="644"/>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645" w:name="NotestoCondensedConsolidatedFinancialSta"/>
      <w:bookmarkEnd w:id="645"/>
      <w:r>
        <w:rPr>
          <w:rFonts w:ascii="Times New Roman;Times;serif" w:hAnsi="Times New Roman;Times;serif"/>
          <w:b/>
          <w:sz w:val="20"/>
        </w:rPr>
        <w:t>Notes to Condensed Consolidated Financial Statements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NATURE OF THE BUSINESS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Latham Group, Inc. (the “Company”) wholly owns Latham Pool Products, Inc. (“Latham Pool Products”) (together, “Latham”), a designer, manufacturer, and marketer of in-ground residential swimming pools in North America, Australia, and New Zealand. Latham offers a portfolio of pools and related products, including in-ground swimming pools, pool liners, and pool covers.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unaudited condensed consolidated balance sheet at December 31, 2022 was derived from audited financial statements but does not include all disclosures required by GAAP. The accompanying unaudited condensed consolidated financial statements as of April 1, 2023 and for the fiscal quarters ended April 1, 2023 and April 2, 2022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2022 included in the Company’s 2022 Annual Report on Form 10-K, filed with the SEC on March 7, 2023 (the “Annual Report”). In the opinion of management, all adjustments, consisting only of normal recurring adjustments necessary for a fair statement of these condensed consolidated financial statements, have been included. The Company’s results of operations for the fiscal quarter ended April 1, 2023 are not necessarily indicative of the results of operations that may be expected for the fiscal year ending December 31, 2023.</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Reclassifications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Certain prior period balances have been reclassified to conform to the current period presentation in the condensed consolidated financial statements and the accompanying notes.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Seasonality</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Although the Company generally has demand for its products throughout the fiscal year, its business is seasonal and weather is one of the principal external factors affecting the business. Historically, net sales and net income are highest during the second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third fiscal quarters, representing the peak months of swimming pool use, pool installation, and remodeling and repair activities. Severe weather may also affect net sales in all periods.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Significant Accounting Policies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Refer to the Annual Report for a discussion of the Company’s significant accounting policies, as updated below.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 (Topic 326): Measurement of Credit Losses on Financial Instruments</w:t>
      </w:r>
      <w:r>
        <w:rPr>
          <w:rFonts w:ascii="Times New Roman;Times;serif" w:hAnsi="Times New Roman;Times;serif"/>
          <w:sz w:val="20"/>
        </w:rPr>
        <w:t xml:space="preserve">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Times New Roman;Times;serif" w:hAnsi="Times New Roman;Times;serif"/>
          <w:i/>
          <w:sz w:val="20"/>
        </w:rPr>
        <w:t>Codification Improvements to Topic 326, Financial Instruments — Credit Losses</w:t>
      </w:r>
      <w:r>
        <w:rPr>
          <w:rFonts w:ascii="Times New Roman;Times;serif" w:hAnsi="Times New Roman;Times;serif"/>
          <w:sz w:val="20"/>
        </w:rPr>
        <w:t xml:space="preserve">, which narrowed the scope and changed the effective date for nonpublic entities for ASU 2016-13. The FASB subsequently issued supplemental guidance within ASU 2019-05, </w:t>
      </w:r>
      <w:r>
        <w:rPr>
          <w:rFonts w:ascii="Times New Roman;Times;serif" w:hAnsi="Times New Roman;Times;serif"/>
          <w:i/>
          <w:sz w:val="20"/>
        </w:rPr>
        <w:t>Financial Instruments — Credit Losses (Topic 326): Targeted Transition Relief</w:t>
      </w:r>
      <w:r>
        <w:rPr>
          <w:rFonts w:ascii="Times New Roman;Times;serif" w:hAnsi="Times New Roman;Times;serif"/>
          <w:sz w:val="20"/>
        </w:rPr>
        <w:t xml:space="preserve"> (“ASU 2019-05”). ASU 2019-05 provides an option to irrevocably elect the fair value option for certain 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The adoption of this standard on January 1, 2023 did not have a material impact on the Company’s condensed consolidated financial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xml:space="preserve"> (“ASU 2021-08”), which amends ASC 805 by requiring acquiring entities to apply ASC 606 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adoption of this standard on January 1, 2023 did not have a material impact on the Company’s condensed consolidated financial statements.</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FAIR VALUE MEASUREMENTS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Level 3 — Unobservable inputs that reflect the Company’s own assumptions incorporated into valuation techniques. These valuations require significant judgment.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646" w:name="Tc_BrNHl6Rc3Eab6fQUxsrqBQ_5_11"/>
      <w:bookmarkStart w:id="647" w:name="Tc_cNZKpT96uEGQKge4wpjJfQ_5_8"/>
      <w:bookmarkStart w:id="648" w:name="Tc_ul0HfNaNt0GaU2ByeLqKYA_5_5"/>
      <w:bookmarkStart w:id="649" w:name="Tc_5bmwcOX3jUCYyZEGltvWqQ_5_2"/>
      <w:bookmarkStart w:id="650" w:name="Tc_jI2rgxTJ9EWeZm5GY2nBKQ_5_0"/>
      <w:bookmarkStart w:id="651" w:name="Tc_8ePoyzVtGkuq3Gn8BBVCFQ_4_11"/>
      <w:bookmarkStart w:id="652" w:name="Tc_F7CT-yFXqUWK5zfVuMcBmA_4_8"/>
      <w:bookmarkStart w:id="653" w:name="Tc_oSGKlrHfMEu6geGoBXilDQ_4_5"/>
      <w:bookmarkStart w:id="654" w:name="Tc_LIqDkYSrJEm30P6Knhnm6g_4_2"/>
      <w:bookmarkStart w:id="655" w:name="Tc_Jg3nehtBIkKo31nbZ4CVhg_3_11"/>
      <w:bookmarkStart w:id="656" w:name="Tc_zMTjZHWC2EOc8AgnZyBzeQ_3_8"/>
      <w:bookmarkStart w:id="657" w:name="Tc_E6xp0beMc0ywBUgaED7hRA_3_5"/>
      <w:bookmarkStart w:id="658" w:name="Tc_8F-Iul1ATEm4PVjoY0i3Zg_3_2"/>
      <w:bookmarkStart w:id="659" w:name="Tc_DExIgLYIVEeKbhl9JEJGNw_2_8"/>
      <w:bookmarkStart w:id="660" w:name="Tc_8MqUhjzxc0-tYAD1IpC4DA_2_2"/>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Fonts w:ascii="Times New Roman;Times;serif" w:hAnsi="Times New Roman;Times;serif"/>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 ended April 1, 2023 or April 2,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Assets and liabilities measured at fair value on a nonrecurring basis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 loan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Company’s term loan (see Note 6)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br/>
        <w:t>​</w:t>
      </w:r>
    </w:p>
    <w:p>
      <w:pPr>
        <w:pStyle w:val="TextBody"/>
        <w:spacing w:before="0" w:after="240"/>
        <w:ind w:left="0" w:right="0" w:firstLine="360"/>
        <w:rPr/>
      </w:pPr>
      <w:r>
        <w:rPr/>
        <w:t>​</w:t>
      </w:r>
    </w:p>
    <w:tbl>
      <w:tblPr>
        <w:tblW w:w="6432" w:type="dxa"/>
        <w:jc w:val="left"/>
        <w:tblInd w:w="0" w:type="dxa"/>
        <w:tblCellMar>
          <w:top w:w="0" w:type="dxa"/>
          <w:left w:w="0" w:type="dxa"/>
          <w:bottom w:w="0" w:type="dxa"/>
          <w:right w:w="0" w:type="dxa"/>
        </w:tblCellMar>
      </w:tblPr>
      <w:tblGrid>
        <w:gridCol w:w="1006"/>
        <w:gridCol w:w="326"/>
        <w:gridCol w:w="211"/>
        <w:gridCol w:w="781"/>
        <w:gridCol w:w="326"/>
        <w:gridCol w:w="211"/>
        <w:gridCol w:w="781"/>
        <w:gridCol w:w="326"/>
        <w:gridCol w:w="211"/>
        <w:gridCol w:w="781"/>
        <w:gridCol w:w="326"/>
        <w:gridCol w:w="211"/>
        <w:gridCol w:w="781"/>
        <w:gridCol w:w="154"/>
      </w:tblGrid>
      <w:tr>
        <w:trPr/>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38810" cy="175260"/>
                      <wp:effectExtent l="0" t="0" r="0" b="0"/>
                      <wp:wrapNone/>
                      <wp:docPr id="74" name="Frame74"/>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77" name="Frame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5935" cy="175260"/>
                      <wp:effectExtent l="0" t="0" r="0" b="0"/>
                      <wp:wrapNone/>
                      <wp:docPr id="83" name="Frame8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97790" cy="175260"/>
                      <wp:effectExtent l="0" t="0" r="0" b="0"/>
                      <wp:wrapNone/>
                      <wp:docPr id="87" name="Frame8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shd w:fill="auto" w:val="clear"/>
            <w:vAlign w:val="center"/>
          </w:tcPr>
          <w:p>
            <w:pPr>
              <w:pStyle w:val="TableContents"/>
              <w:spacing w:before="0" w:after="0"/>
              <w:ind w:left="0" w:right="0" w:hanging="0"/>
              <w:jc w:val="center"/>
              <w:rPr/>
            </w:pPr>
            <w:r>
              <w:rPr/>
              <w:t>​</w:t>
            </w:r>
          </w:p>
        </w:tc>
      </w:tr>
      <w:tr>
        <w:trPr/>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54" w:type="dxa"/>
            <w:tcBorders/>
            <w:shd w:fill="auto" w:val="clear"/>
            <w:vAlign w:val="center"/>
          </w:tcPr>
          <w:p>
            <w:pPr>
              <w:pStyle w:val="TableContents"/>
              <w:spacing w:before="0" w:after="0"/>
              <w:ind w:left="0" w:right="0" w:hanging="0"/>
              <w:jc w:val="center"/>
              <w:rPr/>
            </w:pPr>
            <w:r>
              <w:rPr/>
              <w:t>​</w:t>
            </w:r>
          </w:p>
        </w:tc>
      </w:tr>
      <w:tr>
        <w:trPr/>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shd w:fill="auto" w:val="clear"/>
            <w:vAlign w:val="center"/>
          </w:tcPr>
          <w:p>
            <w:pPr>
              <w:pStyle w:val="TableContents"/>
              <w:spacing w:before="0" w:after="0"/>
              <w:ind w:left="0" w:right="0" w:hanging="0"/>
              <w:jc w:val="center"/>
              <w:rPr/>
            </w:pPr>
            <w:r>
              <w:rPr/>
              <w:t>​</w:t>
            </w:r>
          </w:p>
        </w:tc>
      </w:tr>
      <w:tr>
        <w:trPr/>
        <w:tc>
          <w:tcPr>
            <w:tcW w:w="1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312,461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287,464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312,881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290,979</w:t>
            </w:r>
          </w:p>
        </w:tc>
        <w:tc>
          <w:tcPr>
            <w:tcW w:w="154"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rate swaps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estimates the fair value of interest rate swaps (see Note 6) on a fiscal quarterly basis using Level 2 inputs, including the forward SOFR curve. The fair value is estimated by comparing (i) the present value of all future monthly fixed rate payments versus (ii) the variable payments based on the forward SOFR curve. As of April 1, 2023 and December 31, 2022, the net fair value of the Company’s interest rate swaps was a $1.4 million liability and a $3.5 million asset, respectively, which were recorded within other long-term liabilities and other assets on the condensed consolidated balance sheets,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4. GOODWILL AND INTANGIBLE ASSETS, NET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Goodwill</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carrying amount of goodwill as of April 1, 2023 and as of December 31, 2022 was $131.2 million and $131.4 million, respectively. The change in the carrying value during the fiscal quarter ended April 1, 2023 was solely because of fluctuations in foreign currency exchange rates.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661" w:name="Tc_LHl1Wl0vHUyhxMNpsQLkuw_10_2"/>
      <w:bookmarkStart w:id="662" w:name="Tc_C2SjnE_1j0WB1VJji2wDHg_9_0"/>
      <w:bookmarkStart w:id="663" w:name="Tc_gsH5O5gnxki6bI1yDNiDIg_8_0"/>
      <w:bookmarkStart w:id="664" w:name="Tc_ZPwcP07Q-062sa876rFzyQ_7_0"/>
      <w:bookmarkStart w:id="665" w:name="Tc_6GD01cYRTEexJoga6AIMZg_6_0"/>
      <w:bookmarkStart w:id="666" w:name="Tc_am6H_kFCsU63h6i2WNOV7g_5_0"/>
      <w:bookmarkStart w:id="667" w:name="Tc_B4KGJXPazkuKy08HiN6-uQ_4_2"/>
      <w:bookmarkStart w:id="668" w:name="Tc_9P1-2oVZaUeBFJE2yuEG2Q_4_0"/>
      <w:bookmarkStart w:id="669" w:name="Tc_Y53mkU4jGE2B8pHXOzYvaw_3_2"/>
      <w:bookmarkStart w:id="670" w:name="Tc_wytRHb01pUmRkH-9Rzmjnw_3_0"/>
      <w:bookmarkStart w:id="671" w:name="Tc_ZAxSyH3WRUy-1SVkznzDaQ_2_2"/>
      <w:bookmarkStart w:id="672" w:name="Tc_XOhrv7Jl006-hhoMnOjAZQ_1_2"/>
      <w:bookmarkStart w:id="673" w:name="_2807f0f8_609e_4fc4_acbd_9bb59bf3d865"/>
      <w:bookmarkStart w:id="674" w:name="Tc_g5HAwSp8-EWq4xCtvTKzWQ_13_11"/>
      <w:bookmarkStart w:id="675" w:name="Tc_-nGpj5hEo0qo5qRWAR5Hgw_13_8"/>
      <w:bookmarkStart w:id="676" w:name="Tc_Z0JCIJEdcE-COvrHFlnSpQ_13_5"/>
      <w:bookmarkStart w:id="677" w:name="Tc_cNRiFib-70-zCApD71fOMA_13_2"/>
      <w:bookmarkStart w:id="678" w:name="Tc_B3j-yy4s8kq4_JK7ezjDCw_12_6"/>
      <w:bookmarkStart w:id="679" w:name="Tc_KevsIQMp_kKsmbAn5XbTig_12_0"/>
      <w:bookmarkStart w:id="680" w:name="Tc_AjbMw6k0aU6P3tbo57b8rg_11_12"/>
      <w:bookmarkStart w:id="681" w:name="Tc_GoIUY2lMS06Av_I7PsK6Hw_11_6"/>
      <w:bookmarkStart w:id="682" w:name="Tc_3OuU-5b-BUanGNL7y3XDhA_11_0"/>
      <w:bookmarkStart w:id="683" w:name="Tc_URxuOAHNOkKAWJ3MBh0tkQ_10_0"/>
      <w:bookmarkStart w:id="684" w:name="Tc_biUiK51KsE6ssQV8gUabYw_9_0"/>
      <w:bookmarkStart w:id="685" w:name="Tc_03pAmnZKNUa3gk3oJFRWgQ_8_0"/>
      <w:bookmarkStart w:id="686" w:name="Tc_Ykt_rH9JRkyfZbclCrgq6A_7_6"/>
      <w:bookmarkStart w:id="687" w:name="Tc_agrROQxdg0eQw47frRV3QQ_7_0"/>
      <w:bookmarkStart w:id="688" w:name="Tc_4XE3XSvsoEmCmwKUG7mM8w_6_0"/>
      <w:bookmarkStart w:id="689" w:name="Tc_IUIaQNkhU0eb7w9ZRcazcg_5_11"/>
      <w:bookmarkStart w:id="690" w:name="Tc_G3qyOOmgpEKELMmq51B-hQ_5_8"/>
      <w:bookmarkStart w:id="691" w:name="Tc_52eGLy6Yi0Swav-_5zuV0w_5_5"/>
      <w:bookmarkStart w:id="692" w:name="Tc_JONNfCHBVEeSwLMZ-CnaYA_5_2"/>
      <w:bookmarkStart w:id="693" w:name="Tc_C0pIkKuyoUKgmiuDVDk5Wg_5_0"/>
      <w:bookmarkStart w:id="694" w:name="Tc_tQznjbjGoUWfHH8jSgveKQ_4_11"/>
      <w:bookmarkStart w:id="695" w:name="Tc_JnyZMDPvHE-opf0E1W7K-g_4_8"/>
      <w:bookmarkStart w:id="696" w:name="Tc_X_jQ4bbywU-pUjxQGpYGXA_4_5"/>
      <w:bookmarkStart w:id="697" w:name="Tc_NxOTH4HAsUWpOaVd1gpKpA_4_2"/>
      <w:bookmarkStart w:id="698" w:name="Tc_L5Vi0h8M-06LpHseyhNDQQ_3_11"/>
      <w:bookmarkStart w:id="699" w:name="Tc_TzOLNRUxtU-rn6QM2ozxaA_3_8"/>
      <w:bookmarkStart w:id="700" w:name="Tc_kJWtKL6PhkSUlXCNlv2vUw_3_5"/>
      <w:bookmarkStart w:id="701" w:name="Tc_-oNnmSm1GESStjmgDim-pw_3_2"/>
      <w:bookmarkStart w:id="702" w:name="Tc_BK246Ywxj0S62GJ2xQpFvA_2_5"/>
      <w:bookmarkStart w:id="703" w:name="Tc_xKmJrrhBxUmhCIj0PRoinQ_2_2"/>
      <w:bookmarkStart w:id="704" w:name="Tc_nqXyzD9Jqkigye8O9eToqQ_1_2"/>
      <w:bookmarkStart w:id="705" w:name="_08b7223a_9c56_4b24_b3fa_04a63da90f4b"/>
      <w:bookmarkStart w:id="706" w:name="Tc_Soz06_zt9kOJFgjo_3hGVg_13_11"/>
      <w:bookmarkStart w:id="707" w:name="Tc_Z2G2R4216UeRBrPh9VVfIA_13_8"/>
      <w:bookmarkStart w:id="708" w:name="Tc_wzcnfma8AEeNovOB4MGX5Q_13_5"/>
      <w:bookmarkStart w:id="709" w:name="Tc_JCTxt7OulEW6abp4Baj4HA_13_2"/>
      <w:bookmarkStart w:id="710" w:name="Tc_45gLf1PJ10WZ0xfPooSq5Q_12_6"/>
      <w:bookmarkStart w:id="711" w:name="Tc_sSGk5guG7U6pRANWGY21Bw_12_0"/>
      <w:bookmarkStart w:id="712" w:name="Tc_SUTN0eFuiUK_xaNqqkEhlA_11_12"/>
      <w:bookmarkStart w:id="713" w:name="Tc__iubguO1nkihktHO3o6LUA_11_6"/>
      <w:bookmarkStart w:id="714" w:name="Tc_6kg4tRChG0ifLnb9J9KcDg_11_0"/>
      <w:bookmarkStart w:id="715" w:name="Tc_5ugmxFUy6024x5mOCSHDSQ_10_0"/>
      <w:bookmarkStart w:id="716" w:name="Tc_I6y87IFBZUiI3_-k6qN2BQ_9_0"/>
      <w:bookmarkStart w:id="717" w:name="Tc_qsuEV2j9hkqROIXUVdlKww_8_0"/>
      <w:bookmarkStart w:id="718" w:name="Tc_AtQZhDPpBUOzcEMd3S5BYQ_7_6"/>
      <w:bookmarkStart w:id="719" w:name="Tc_-DehgaoX_0GMUmSZyIPQMA_7_0"/>
      <w:bookmarkStart w:id="720" w:name="Tc_bJtrvahXWka8nMGYz_Gg9g_6_0"/>
      <w:bookmarkStart w:id="721" w:name="Tc_4iIGvr4MjkS39zo0avG2gQ_5_11"/>
      <w:bookmarkStart w:id="722" w:name="Tc_FkfnPInHykqLCmX0UeCQSw_5_8"/>
      <w:bookmarkStart w:id="723" w:name="Tc_3jkn8vEGX0OmRIxnjtIG-g_5_5"/>
      <w:bookmarkStart w:id="724" w:name="Tc_9Zcp7ktJn0-klTGvkvWZig_5_2"/>
      <w:bookmarkStart w:id="725" w:name="Tc_7LlSlUmT_EKYt0fszQfOsA_5_0"/>
      <w:bookmarkStart w:id="726" w:name="Tc_55DCBJ2FNkGca3XNOlhziA_4_11"/>
      <w:bookmarkStart w:id="727" w:name="Tc_qLqoY8xeokq9on6DDF_VzA_4_8"/>
      <w:bookmarkStart w:id="728" w:name="Tc_fMj7ytI5r0iOI49CQtHBVg_4_5"/>
      <w:bookmarkStart w:id="729" w:name="Tc_AxK1mP0oIEyfQfB2BxYlsQ_4_2"/>
      <w:bookmarkStart w:id="730" w:name="Tc_ZoxbDq_UKkKPGIC-70iZSQ_3_11"/>
      <w:bookmarkStart w:id="731" w:name="Tc__VXoMgsobkOByGG82_qWUQ_3_8"/>
      <w:bookmarkStart w:id="732" w:name="Tc_5HmU83f6I0-eWXp4Ziu31g_3_5"/>
      <w:bookmarkStart w:id="733" w:name="Tc_0mLDRpfPekqnLbu1Dmu91A_3_2"/>
      <w:bookmarkStart w:id="734" w:name="Tc_DzMx-canzEeNssjJivtS2g_2_5"/>
      <w:bookmarkStart w:id="735" w:name="Tc_7JmiAwUWl0al4DlKslKd3A_2_2"/>
      <w:bookmarkStart w:id="736" w:name="Tc_GZ_1hJTRE0KRY2c-gZwxlg_1_2"/>
      <w:bookmarkStart w:id="737" w:name="_829329e0_738a_493e_a7d1_d35a3174599b"/>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Times New Roman;Times;serif" w:hAnsi="Times New Roman;Times;serif"/>
          <w:b/>
          <w:i/>
          <w:sz w:val="20"/>
        </w:rPr>
        <w:t>Intangible Assets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Intangible assets, net as of April 1, 2023 consisted of the following (in thousands):</w:t>
      </w:r>
    </w:p>
    <w:p>
      <w:pPr>
        <w:pStyle w:val="TextBody"/>
        <w:spacing w:before="0" w:after="240"/>
        <w:ind w:left="0" w:right="0" w:firstLine="360"/>
        <w:rPr/>
      </w:pPr>
      <w:r>
        <w:rPr/>
        <w:t>​</w:t>
      </w:r>
    </w:p>
    <w:tbl>
      <w:tblPr>
        <w:tblW w:w="7923" w:type="dxa"/>
        <w:jc w:val="left"/>
        <w:tblInd w:w="0" w:type="dxa"/>
        <w:tblCellMar>
          <w:top w:w="0" w:type="dxa"/>
          <w:left w:w="0" w:type="dxa"/>
          <w:bottom w:w="0" w:type="dxa"/>
          <w:right w:w="0" w:type="dxa"/>
        </w:tblCellMar>
      </w:tblPr>
      <w:tblGrid>
        <w:gridCol w:w="2476"/>
        <w:gridCol w:w="326"/>
        <w:gridCol w:w="211"/>
        <w:gridCol w:w="781"/>
        <w:gridCol w:w="326"/>
        <w:gridCol w:w="276"/>
        <w:gridCol w:w="670"/>
        <w:gridCol w:w="326"/>
        <w:gridCol w:w="260"/>
        <w:gridCol w:w="836"/>
        <w:gridCol w:w="326"/>
        <w:gridCol w:w="211"/>
        <w:gridCol w:w="898"/>
      </w:tblGrid>
      <w:tr>
        <w:trPr/>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72260" cy="175260"/>
                      <wp:effectExtent l="0" t="0" r="0" b="0"/>
                      <wp:wrapNone/>
                      <wp:docPr id="88" name="Frame88"/>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5260" cy="175260"/>
                      <wp:effectExtent l="0" t="0" r="0" b="0"/>
                      <wp:wrapNone/>
                      <wp:docPr id="93" name="Frame93"/>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5450" cy="175260"/>
                      <wp:effectExtent l="0" t="0" r="0" b="0"/>
                      <wp:wrapNone/>
                      <wp:docPr id="94" name="Frame94"/>
                      <a:graphic xmlns:a="http://schemas.openxmlformats.org/drawingml/2006/main">
                        <a:graphicData uri="http://schemas.microsoft.com/office/word/2010/wordprocessingShape">
                          <wps:wsp>
                            <wps:cNvSpPr txBox="1"/>
                            <wps:spPr>
                              <a:xfrm>
                                <a:off x="0" y="0"/>
                                <a:ext cx="425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5100" cy="175260"/>
                      <wp:effectExtent l="0" t="0" r="0" b="0"/>
                      <wp:wrapNone/>
                      <wp:docPr id="96" name="Frame96"/>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0860" cy="175260"/>
                      <wp:effectExtent l="0" t="0" r="0" b="0"/>
                      <wp:wrapNone/>
                      <wp:docPr id="97" name="Frame97"/>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0230" cy="175260"/>
                      <wp:effectExtent l="0" t="0" r="0" b="0"/>
                      <wp:wrapNone/>
                      <wp:docPr id="100" name="Frame100"/>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2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26"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jc w:val="center"/>
              <w:rPr/>
            </w:pPr>
            <w:r>
              <w:rPr/>
              <w:t>​</w:t>
            </w:r>
          </w:p>
        </w:tc>
        <w:tc>
          <w:tcPr>
            <w:tcW w:w="8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98" w:type="dxa"/>
            <w:tcBorders/>
            <w:shd w:fill="auto" w:val="clear"/>
            <w:vAlign w:val="center"/>
          </w:tcPr>
          <w:p>
            <w:pPr>
              <w:pStyle w:val="TableContents"/>
              <w:spacing w:before="0" w:after="1"/>
              <w:ind w:left="0" w:right="0" w:hanging="0"/>
              <w:jc w:val="center"/>
              <w:rPr/>
            </w:pPr>
            <w:r>
              <w:rPr/>
              <w:t>​</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 </w:t>
            </w:r>
          </w:p>
        </w:tc>
        <w:tc>
          <w:tcPr>
            <w:tcW w:w="326" w:type="dxa"/>
            <w:tcBorders/>
            <w:shd w:fill="auto" w:val="clear"/>
            <w:vAlign w:val="center"/>
          </w:tcPr>
          <w:p>
            <w:pPr>
              <w:pStyle w:val="TableContents"/>
              <w:spacing w:before="0" w:after="1"/>
              <w:ind w:left="0" w:right="0" w:hanging="0"/>
              <w:jc w:val="center"/>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1"/>
              <w:ind w:left="0" w:right="0" w:hanging="0"/>
              <w:jc w:val="center"/>
              <w:rPr/>
            </w:pPr>
            <w:r>
              <w:rPr/>
              <w:t>​</w:t>
            </w:r>
          </w:p>
        </w:tc>
        <w:tc>
          <w:tcPr>
            <w:tcW w:w="110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jc w:val="center"/>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123,231</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Patented technology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7,397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8,760</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67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11,844</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Pool designs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11,270</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 </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Dealer relationships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 </w:t>
            </w:r>
          </w:p>
        </w:tc>
        <w:tc>
          <w:tcPr>
            <w:tcW w:w="8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9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146,748</w:t>
            </w:r>
          </w:p>
        </w:tc>
      </w:tr>
      <w:tr>
        <w:trPr/>
        <w:tc>
          <w:tcPr>
            <w:tcW w:w="24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Order backlog</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67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pPr>
            <w:r>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98" w:type="dxa"/>
            <w:tcBorders/>
            <w:shd w:fill="CCEEFF" w:val="clear"/>
            <w:vAlign w:val="center"/>
          </w:tcPr>
          <w:p>
            <w:pPr>
              <w:pStyle w:val="TableContents"/>
              <w:spacing w:before="0" w:after="1"/>
              <w:ind w:left="0" w:right="0" w:hanging="0"/>
              <w:jc w:val="right"/>
              <w:rPr/>
            </w:pPr>
            <w:r>
              <w:rPr/>
              <w:t>—</w:t>
            </w:r>
          </w:p>
        </w:tc>
      </w:tr>
      <w:tr>
        <w:trPr/>
        <w:tc>
          <w:tcPr>
            <w:tcW w:w="24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Non-competition agreements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24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spacing w:before="0" w:after="1"/>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90,954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302,299</w:t>
            </w:r>
          </w:p>
        </w:tc>
      </w:tr>
    </w:tbl>
    <w:p>
      <w:pPr>
        <w:pStyle w:val="TextBody"/>
        <w:spacing w:before="0" w:after="24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recognized $6.6 million of amortization expense related to intangible assets during the fiscal quarter ended April 1, 2023. The Company recognized $7.2 million of amortization expense related to intangible assets during the fiscal quarter ended April 2, 2022.</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Intangible assets, net as of December 31, 2022 consisted of the following (in thousands):</w:t>
      </w:r>
    </w:p>
    <w:p>
      <w:pPr>
        <w:pStyle w:val="TextBody"/>
        <w:spacing w:before="0" w:after="240"/>
        <w:ind w:left="403" w:right="0" w:hanging="0"/>
        <w:rPr/>
      </w:pPr>
      <w:r>
        <w:rPr/>
        <w:t>​</w:t>
      </w:r>
    </w:p>
    <w:tbl>
      <w:tblPr>
        <w:tblW w:w="7923" w:type="dxa"/>
        <w:jc w:val="left"/>
        <w:tblInd w:w="0" w:type="dxa"/>
        <w:tblCellMar>
          <w:top w:w="0" w:type="dxa"/>
          <w:left w:w="0" w:type="dxa"/>
          <w:bottom w:w="0" w:type="dxa"/>
          <w:right w:w="0" w:type="dxa"/>
        </w:tblCellMar>
      </w:tblPr>
      <w:tblGrid>
        <w:gridCol w:w="2476"/>
        <w:gridCol w:w="326"/>
        <w:gridCol w:w="211"/>
        <w:gridCol w:w="781"/>
        <w:gridCol w:w="326"/>
        <w:gridCol w:w="339"/>
        <w:gridCol w:w="607"/>
        <w:gridCol w:w="326"/>
        <w:gridCol w:w="260"/>
        <w:gridCol w:w="836"/>
        <w:gridCol w:w="326"/>
        <w:gridCol w:w="211"/>
        <w:gridCol w:w="898"/>
      </w:tblGrid>
      <w:tr>
        <w:trPr/>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72260" cy="175260"/>
                      <wp:effectExtent l="0" t="0" r="0" b="0"/>
                      <wp:wrapNone/>
                      <wp:docPr id="101" name="Frame101"/>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4" name="Frame10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5265" cy="175260"/>
                      <wp:effectExtent l="0" t="0" r="0" b="0"/>
                      <wp:wrapNone/>
                      <wp:docPr id="106" name="Frame106"/>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5445" cy="175260"/>
                      <wp:effectExtent l="0" t="0" r="0" b="0"/>
                      <wp:wrapNone/>
                      <wp:docPr id="107" name="Frame107"/>
                      <a:graphic xmlns:a="http://schemas.openxmlformats.org/drawingml/2006/main">
                        <a:graphicData uri="http://schemas.microsoft.com/office/word/2010/wordprocessingShape">
                          <wps:wsp>
                            <wps:cNvSpPr txBox="1"/>
                            <wps:spPr>
                              <a:xfrm>
                                <a:off x="0" y="0"/>
                                <a:ext cx="385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5100" cy="175260"/>
                      <wp:effectExtent l="0" t="0" r="0" b="0"/>
                      <wp:wrapNone/>
                      <wp:docPr id="109" name="Frame109"/>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30860" cy="175260"/>
                      <wp:effectExtent l="0" t="0" r="0" b="0"/>
                      <wp:wrapNone/>
                      <wp:docPr id="110" name="Frame110"/>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0230" cy="175260"/>
                      <wp:effectExtent l="0" t="0" r="0" b="0"/>
                      <wp:wrapNone/>
                      <wp:docPr id="113" name="Frame113"/>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2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w:t>
            </w:r>
          </w:p>
        </w:tc>
        <w:tc>
          <w:tcPr>
            <w:tcW w:w="326" w:type="dxa"/>
            <w:tcBorders/>
            <w:shd w:fill="auto" w:val="clear"/>
            <w:vAlign w:val="center"/>
          </w:tcPr>
          <w:p>
            <w:pPr>
              <w:pStyle w:val="TableContents"/>
              <w:spacing w:before="0" w:after="0"/>
              <w:ind w:left="0" w:right="0" w:hanging="0"/>
              <w:jc w:val="center"/>
              <w:rPr/>
            </w:pPr>
            <w:r>
              <w:rPr/>
              <w:t>​</w:t>
            </w:r>
          </w:p>
        </w:tc>
        <w:tc>
          <w:tcPr>
            <w:tcW w:w="260" w:type="dxa"/>
            <w:tcBorders/>
            <w:shd w:fill="auto" w:val="clear"/>
            <w:vAlign w:val="center"/>
          </w:tcPr>
          <w:p>
            <w:pPr>
              <w:pStyle w:val="TableContents"/>
              <w:spacing w:before="0" w:after="0"/>
              <w:ind w:left="0" w:right="0" w:hanging="0"/>
              <w:jc w:val="center"/>
              <w:rPr/>
            </w:pPr>
            <w:r>
              <w:rPr/>
              <w:t>​</w:t>
            </w:r>
          </w:p>
        </w:tc>
        <w:tc>
          <w:tcPr>
            <w:tcW w:w="8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98" w:type="dxa"/>
            <w:tcBorders/>
            <w:shd w:fill="auto" w:val="clear"/>
            <w:vAlign w:val="center"/>
          </w:tcPr>
          <w:p>
            <w:pPr>
              <w:pStyle w:val="TableContents"/>
              <w:spacing w:before="0" w:after="0"/>
              <w:ind w:left="0" w:right="0" w:hanging="0"/>
              <w:jc w:val="center"/>
              <w:rPr/>
            </w:pPr>
            <w:r>
              <w:rPr/>
              <w:t>​</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2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w:t>
            </w:r>
          </w:p>
        </w:tc>
        <w:tc>
          <w:tcPr>
            <w:tcW w:w="326" w:type="dxa"/>
            <w:tcBorders/>
            <w:shd w:fill="auto" w:val="clear"/>
            <w:vAlign w:val="center"/>
          </w:tcPr>
          <w:p>
            <w:pPr>
              <w:pStyle w:val="TableContents"/>
              <w:spacing w:before="0" w:after="0"/>
              <w:ind w:left="0" w:right="0" w:hanging="0"/>
              <w:jc w:val="center"/>
              <w:rPr/>
            </w:pPr>
            <w:r>
              <w:rPr/>
              <w:t>​</w:t>
            </w:r>
          </w:p>
        </w:tc>
        <w:tc>
          <w:tcPr>
            <w:tcW w:w="10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shd w:fill="auto" w:val="clear"/>
            <w:vAlign w:val="center"/>
          </w:tcPr>
          <w:p>
            <w:pPr>
              <w:pStyle w:val="TableContents"/>
              <w:spacing w:before="0" w:after="0"/>
              <w:ind w:left="0" w:right="0" w:hanging="0"/>
              <w:jc w:val="center"/>
              <w:rPr/>
            </w:pPr>
            <w:r>
              <w:rPr/>
              <w:t>​</w:t>
            </w:r>
          </w:p>
        </w:tc>
        <w:tc>
          <w:tcPr>
            <w:tcW w:w="1109"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jc w:val="center"/>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125,034</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Patented technology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9,204</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w:t>
            </w:r>
          </w:p>
        </w:tc>
        <w:tc>
          <w:tcPr>
            <w:tcW w:w="6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12,061</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Pool designs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11,581</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 </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Dealer relationships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6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 </w:t>
            </w:r>
          </w:p>
        </w:tc>
        <w:tc>
          <w:tcPr>
            <w:tcW w:w="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46,699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150,690</w:t>
            </w:r>
          </w:p>
        </w:tc>
      </w:tr>
      <w:tr>
        <w:trPr/>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Order backlog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w:t>
            </w:r>
          </w:p>
        </w:tc>
        <w:tc>
          <w:tcPr>
            <w:tcW w:w="60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pPr>
            <w:r>
              <w:rPr/>
              <w:t>​</w:t>
            </w:r>
          </w:p>
        </w:tc>
        <w:tc>
          <w:tcPr>
            <w:tcW w:w="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pPr>
            <w:r>
              <w:rPr/>
              <w:t>—</w:t>
            </w:r>
          </w:p>
        </w:tc>
      </w:tr>
      <w:tr>
        <w:trPr/>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Non-competition agreements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shd w:fill="auto" w:val="clear"/>
            <w:vAlign w:val="center"/>
          </w:tcPr>
          <w:p>
            <w:pPr>
              <w:pStyle w:val="TableContents"/>
              <w:spacing w:before="0" w:after="0"/>
              <w:ind w:left="0" w:right="0" w:hanging="0"/>
              <w:rPr/>
            </w:pPr>
            <w:r>
              <w:rPr/>
              <w:t>​</w:t>
            </w:r>
          </w:p>
        </w:tc>
        <w:tc>
          <w:tcPr>
            <w:tcW w:w="33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24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spacing w:before="0" w:after="0"/>
              <w:ind w:left="0" w:right="0" w:hanging="0"/>
              <w:rPr/>
            </w:pPr>
            <w:r>
              <w:rPr/>
              <w:t>​</w:t>
            </w:r>
          </w:p>
        </w:tc>
        <w:tc>
          <w:tcPr>
            <w:tcW w:w="33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84,279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309,215</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estimates that amortization expense related to definite-lived intangible assets will be as follows in each of the next five years and thereafter (in thousands):</w:t>
      </w:r>
    </w:p>
    <w:p>
      <w:pPr>
        <w:pStyle w:val="TextBody"/>
        <w:spacing w:before="0" w:after="240"/>
        <w:ind w:left="0" w:right="0" w:firstLine="360"/>
        <w:rPr/>
      </w:pPr>
      <w:r>
        <w:rPr/>
        <w:t>​</w:t>
      </w:r>
    </w:p>
    <w:tbl>
      <w:tblPr>
        <w:tblW w:w="3943" w:type="dxa"/>
        <w:jc w:val="left"/>
        <w:tblInd w:w="0" w:type="dxa"/>
        <w:tblCellMar>
          <w:top w:w="0" w:type="dxa"/>
          <w:left w:w="0" w:type="dxa"/>
          <w:bottom w:w="0" w:type="dxa"/>
          <w:right w:w="0" w:type="dxa"/>
        </w:tblCellMar>
      </w:tblPr>
      <w:tblGrid>
        <w:gridCol w:w="2161"/>
        <w:gridCol w:w="326"/>
        <w:gridCol w:w="277"/>
        <w:gridCol w:w="1179"/>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72235" cy="175260"/>
                      <wp:effectExtent l="0" t="0" r="0" b="0"/>
                      <wp:wrapNone/>
                      <wp:docPr id="114" name="Frame114"/>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5895" cy="175260"/>
                      <wp:effectExtent l="0" t="0" r="0" b="0"/>
                      <wp:wrapNone/>
                      <wp:docPr id="116" name="Frame116"/>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48665" cy="175260"/>
                      <wp:effectExtent l="0" t="0" r="0" b="0"/>
                      <wp:wrapNone/>
                      <wp:docPr id="117" name="Frame117"/>
                      <a:graphic xmlns:a="http://schemas.openxmlformats.org/drawingml/2006/main">
                        <a:graphicData uri="http://schemas.microsoft.com/office/word/2010/wordprocessingShape">
                          <wps:wsp>
                            <wps:cNvSpPr txBox="1"/>
                            <wps:spPr>
                              <a:xfrm>
                                <a:off x="0" y="0"/>
                                <a:ext cx="748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Future </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5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    </w:t>
            </w:r>
          </w:p>
        </w:tc>
        <w:tc>
          <w:tcPr>
            <w:tcW w:w="14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25,708</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1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1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7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180,045</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302,299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38" w:name="Tc_WBQpu5b7HESqhdLNb4CB7g_5_5"/>
      <w:bookmarkStart w:id="739" w:name="Tc_rvgSii53tEWNxtxc64LZrg_5_2"/>
      <w:bookmarkStart w:id="740" w:name="Tc_LSTcriiByEuXIko41ZBVGQ_4_0"/>
      <w:bookmarkStart w:id="741" w:name="Tc_4T6WhFS9XkOMeqOitzJpcQ_3_5"/>
      <w:bookmarkStart w:id="742" w:name="Tc_bHakvIbbAkCgp9VjdqSGdA_3_2"/>
      <w:bookmarkStart w:id="743" w:name="Tc_xo6buu5cPky34B_S_5erzA_3_0"/>
      <w:bookmarkStart w:id="744" w:name="Tc_MjRfmBh46kOxe0vs_1GcVQ_2_5"/>
      <w:bookmarkStart w:id="745" w:name="Tc_M0VK-L58fk6EeGaSnZZSZg_2_2"/>
      <w:bookmarkStart w:id="746" w:name="_4825094f_36ec_4af9_a90d_760cc3b633e2"/>
      <w:bookmarkEnd w:id="738"/>
      <w:bookmarkEnd w:id="739"/>
      <w:bookmarkEnd w:id="740"/>
      <w:bookmarkEnd w:id="741"/>
      <w:bookmarkEnd w:id="742"/>
      <w:bookmarkEnd w:id="743"/>
      <w:bookmarkEnd w:id="744"/>
      <w:bookmarkEnd w:id="745"/>
      <w:bookmarkEnd w:id="746"/>
      <w:r>
        <w:rPr>
          <w:rFonts w:ascii="Times New Roman;Times;serif" w:hAnsi="Times New Roman;Times;serif"/>
          <w:b/>
          <w:sz w:val="20"/>
        </w:rPr>
        <w:t>5. INVENTORIES, NET</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Inventories, net consisted of the following (in thousands):</w:t>
      </w:r>
    </w:p>
    <w:p>
      <w:pPr>
        <w:pStyle w:val="TextBody"/>
        <w:spacing w:before="0" w:after="240"/>
        <w:ind w:left="403" w:right="0" w:hanging="0"/>
        <w:rPr/>
      </w:pPr>
      <w:r>
        <w:rPr/>
        <w:t>​</w:t>
      </w:r>
    </w:p>
    <w:tbl>
      <w:tblPr>
        <w:tblW w:w="4737" w:type="dxa"/>
        <w:jc w:val="left"/>
        <w:tblInd w:w="0" w:type="dxa"/>
        <w:tblCellMar>
          <w:top w:w="0" w:type="dxa"/>
          <w:left w:w="0" w:type="dxa"/>
          <w:bottom w:w="0" w:type="dxa"/>
          <w:right w:w="0" w:type="dxa"/>
        </w:tblCellMar>
      </w:tblPr>
      <w:tblGrid>
        <w:gridCol w:w="1366"/>
        <w:gridCol w:w="326"/>
        <w:gridCol w:w="226"/>
        <w:gridCol w:w="839"/>
        <w:gridCol w:w="326"/>
        <w:gridCol w:w="319"/>
        <w:gridCol w:w="1181"/>
        <w:gridCol w:w="154"/>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67410" cy="175260"/>
                      <wp:effectExtent l="0" t="0" r="0" b="0"/>
                      <wp:wrapNone/>
                      <wp:docPr id="118" name="Frame118"/>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20" name="Frame120"/>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32765" cy="175260"/>
                      <wp:effectExtent l="0" t="0" r="0" b="0"/>
                      <wp:wrapNone/>
                      <wp:docPr id="121" name="Frame121"/>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2565" cy="175260"/>
                      <wp:effectExtent l="0" t="0" r="0" b="0"/>
                      <wp:wrapNone/>
                      <wp:docPr id="123" name="Frame123"/>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49935" cy="175260"/>
                      <wp:effectExtent l="0" t="0" r="0" b="0"/>
                      <wp:wrapNone/>
                      <wp:docPr id="124" name="Frame124"/>
                      <a:graphic xmlns:a="http://schemas.openxmlformats.org/drawingml/2006/main">
                        <a:graphicData uri="http://schemas.microsoft.com/office/word/2010/wordprocessingShape">
                          <wps:wsp>
                            <wps:cNvSpPr txBox="1"/>
                            <wps:spPr>
                              <a:xfrm>
                                <a:off x="0" y="0"/>
                                <a:ext cx="74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7790" cy="175260"/>
                      <wp:effectExtent l="0" t="0" r="0" b="0"/>
                      <wp:wrapNone/>
                      <wp:docPr id="125" name="Frame12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11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shd w:fill="auto" w:val="clear"/>
            <w:vAlign w:val="center"/>
          </w:tcPr>
          <w:p>
            <w:pPr>
              <w:pStyle w:val="TableContents"/>
              <w:spacing w:before="0" w:after="0"/>
              <w:ind w:left="0" w:right="0" w:hanging="0"/>
              <w:jc w:val="center"/>
              <w:rPr/>
            </w:pPr>
            <w:r>
              <w:rPr/>
              <w:t>​</w:t>
            </w:r>
          </w:p>
        </w:tc>
      </w:tr>
      <w:tr>
        <w:trPr/>
        <w:tc>
          <w:tcPr>
            <w:tcW w:w="13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86,593</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95,388</w:t>
            </w:r>
          </w:p>
        </w:tc>
        <w:tc>
          <w:tcPr>
            <w:tcW w:w="154" w:type="dxa"/>
            <w:tcBorders/>
            <w:shd w:fill="CCEEFF" w:val="clear"/>
            <w:vAlign w:val="center"/>
          </w:tcPr>
          <w:p>
            <w:pPr>
              <w:pStyle w:val="TableContents"/>
              <w:spacing w:before="0" w:after="0"/>
              <w:ind w:left="0" w:right="0" w:hanging="0"/>
              <w:jc w:val="right"/>
              <w:rPr/>
            </w:pPr>
            <w:r>
              <w:rPr/>
              <w:t>​</w:t>
            </w:r>
          </w:p>
        </w:tc>
      </w:tr>
      <w:tr>
        <w:trPr/>
        <w:tc>
          <w:tcPr>
            <w:tcW w:w="13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62,962</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69,832</w:t>
            </w:r>
          </w:p>
        </w:tc>
        <w:tc>
          <w:tcPr>
            <w:tcW w:w="154" w:type="dxa"/>
            <w:tcBorders/>
            <w:shd w:fill="auto" w:val="clear"/>
            <w:vAlign w:val="center"/>
          </w:tcPr>
          <w:p>
            <w:pPr>
              <w:pStyle w:val="TableContents"/>
              <w:spacing w:before="0" w:after="0"/>
              <w:ind w:left="0" w:right="0" w:hanging="0"/>
              <w:jc w:val="right"/>
              <w:rPr/>
            </w:pPr>
            <w:r>
              <w:rPr/>
              <w:t>​</w:t>
            </w:r>
          </w:p>
        </w:tc>
      </w:tr>
      <w:tr>
        <w:trPr/>
        <w:tc>
          <w:tcPr>
            <w:tcW w:w="13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149,555</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165,220</w:t>
            </w:r>
          </w:p>
        </w:tc>
        <w:tc>
          <w:tcPr>
            <w:tcW w:w="154" w:type="dxa"/>
            <w:tcBorders/>
            <w:shd w:fill="CCEEFF"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47" w:name="_Hlk102745951"/>
      <w:bookmarkStart w:id="748" w:name="Tc_3Zgj0ZCJYUCGoY14EZtpVg_8_5"/>
      <w:bookmarkStart w:id="749" w:name="Tc_DELHpejzwkqwdFp56VRPkw_8_2"/>
      <w:bookmarkStart w:id="750" w:name="Tc_OW8wk5r3CEa8owtkCHkkYQ_8_0"/>
      <w:bookmarkStart w:id="751" w:name="Tc_gTW86d1rm0OkQmosQdYMaQ_7_0"/>
      <w:bookmarkStart w:id="752" w:name="Tc_M971kknwnUK7GEeF-CRFqQ_6_0"/>
      <w:bookmarkStart w:id="753" w:name="Tc_Gp0yQGDAv0Kh4eUT47Bz2A_5_0"/>
      <w:bookmarkStart w:id="754" w:name="Tc_Js_fLU6G60ydflJCNlkOew_4_6"/>
      <w:bookmarkStart w:id="755" w:name="Tc_UgnLefEu4Emf2406xXwAug_4_0"/>
      <w:bookmarkStart w:id="756" w:name="Tc_DQffwrXYw0iUeT7SrPvlQw_3_5"/>
      <w:bookmarkStart w:id="757" w:name="Tc_Bd93mtjThEeo_6TBJCbmPw_3_2"/>
      <w:bookmarkStart w:id="758" w:name="Tc_NZml1tVKq0-vr1UvVHlwlQ_3_0"/>
      <w:bookmarkStart w:id="759" w:name="Tc_O_IlTPb-Qk20REie_mtYTw_2_5"/>
      <w:bookmarkStart w:id="760" w:name="Tc_pYE2ONH-K02sU5yUUpAIPg_2_2"/>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Pr>
          <w:rFonts w:ascii="Times New Roman;Times;serif" w:hAnsi="Times New Roman;Times;serif"/>
          <w:b/>
          <w:sz w:val="20"/>
        </w:rPr>
        <w:t>6. LONG-TERM DEBT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components of the Company’s outstanding long-term debt obligations consisted of the following (in thousands):</w:t>
      </w:r>
    </w:p>
    <w:p>
      <w:pPr>
        <w:pStyle w:val="TextBody"/>
        <w:spacing w:before="0" w:after="240"/>
        <w:ind w:left="0" w:right="0" w:firstLine="360"/>
        <w:rPr/>
      </w:pPr>
      <w:r>
        <w:rPr/>
        <w:t>​</w:t>
      </w:r>
    </w:p>
    <w:tbl>
      <w:tblPr>
        <w:tblW w:w="7692" w:type="dxa"/>
        <w:jc w:val="left"/>
        <w:tblInd w:w="0" w:type="dxa"/>
        <w:tblCellMar>
          <w:top w:w="0" w:type="dxa"/>
          <w:left w:w="0" w:type="dxa"/>
          <w:bottom w:w="0" w:type="dxa"/>
          <w:right w:w="0" w:type="dxa"/>
        </w:tblCellMar>
      </w:tblPr>
      <w:tblGrid>
        <w:gridCol w:w="4321"/>
        <w:gridCol w:w="326"/>
        <w:gridCol w:w="226"/>
        <w:gridCol w:w="839"/>
        <w:gridCol w:w="326"/>
        <w:gridCol w:w="319"/>
        <w:gridCol w:w="1181"/>
        <w:gridCol w:w="154"/>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43835" cy="175260"/>
                      <wp:effectExtent l="0" t="0" r="0" b="0"/>
                      <wp:wrapNone/>
                      <wp:docPr id="126" name="Frame126"/>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3510" cy="175260"/>
                      <wp:effectExtent l="0" t="0" r="0" b="0"/>
                      <wp:wrapNone/>
                      <wp:docPr id="128" name="Frame12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2765" cy="175260"/>
                      <wp:effectExtent l="0" t="0" r="0" b="0"/>
                      <wp:wrapNone/>
                      <wp:docPr id="129" name="Frame129"/>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2565" cy="175260"/>
                      <wp:effectExtent l="0" t="0" r="0" b="0"/>
                      <wp:wrapNone/>
                      <wp:docPr id="131" name="Frame131"/>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49935" cy="175260"/>
                      <wp:effectExtent l="0" t="0" r="0" b="0"/>
                      <wp:wrapNone/>
                      <wp:docPr id="132" name="Frame132"/>
                      <a:graphic xmlns:a="http://schemas.openxmlformats.org/drawingml/2006/main">
                        <a:graphicData uri="http://schemas.microsoft.com/office/word/2010/wordprocessingShape">
                          <wps:wsp>
                            <wps:cNvSpPr txBox="1"/>
                            <wps:spPr>
                              <a:xfrm>
                                <a:off x="0" y="0"/>
                                <a:ext cx="74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7790" cy="175260"/>
                      <wp:effectExtent l="0" t="0" r="0" b="0"/>
                      <wp:wrapNone/>
                      <wp:docPr id="133" name="Frame13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11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shd w:fill="auto" w:val="clear"/>
            <w:vAlign w:val="center"/>
          </w:tcPr>
          <w:p>
            <w:pPr>
              <w:pStyle w:val="TableContents"/>
              <w:spacing w:before="0" w:after="0"/>
              <w:ind w:left="0" w:right="0" w:hanging="0"/>
              <w:jc w:val="center"/>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321,750</w:t>
            </w:r>
          </w:p>
        </w:tc>
        <w:tc>
          <w:tcPr>
            <w:tcW w:w="326" w:type="dxa"/>
            <w:tcBorders/>
            <w:shd w:fill="CCEEFF" w:val="clear"/>
            <w:vAlign w:val="center"/>
          </w:tcPr>
          <w:p>
            <w:pPr>
              <w:pStyle w:val="TableContents"/>
              <w:spacing w:before="0" w:after="0"/>
              <w:ind w:left="0" w:right="0" w:hanging="0"/>
              <w:rPr/>
            </w:pPr>
            <w:r>
              <w:rPr/>
              <w:t>​</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322,562</w:t>
            </w:r>
          </w:p>
        </w:tc>
        <w:tc>
          <w:tcPr>
            <w:tcW w:w="154" w:type="dxa"/>
            <w:tcBorders/>
            <w:shd w:fill="CCEEFF" w:val="clear"/>
            <w:vAlign w:val="center"/>
          </w:tcPr>
          <w:p>
            <w:pPr>
              <w:pStyle w:val="TableContents"/>
              <w:spacing w:before="0" w:after="0"/>
              <w:ind w:left="0" w:right="0" w:hanging="0"/>
              <w:jc w:val="right"/>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Revolving Credit Facility</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w:t>
            </w:r>
          </w:p>
        </w:tc>
        <w:tc>
          <w:tcPr>
            <w:tcW w:w="118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discount and debt issuance costs</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(9,289)</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(9,681)</w:t>
            </w:r>
          </w:p>
        </w:tc>
        <w:tc>
          <w:tcPr>
            <w:tcW w:w="154" w:type="dxa"/>
            <w:tcBorders/>
            <w:shd w:fill="CCEEFF" w:val="clear"/>
            <w:vAlign w:val="center"/>
          </w:tcPr>
          <w:p>
            <w:pPr>
              <w:pStyle w:val="TableContents"/>
              <w:spacing w:before="0" w:after="0"/>
              <w:ind w:left="0" w:right="0" w:hanging="0"/>
              <w:jc w:val="right"/>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debt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360,461</w:t>
            </w:r>
          </w:p>
        </w:tc>
        <w:tc>
          <w:tcPr>
            <w:tcW w:w="326" w:type="dxa"/>
            <w:tcBorders/>
            <w:shd w:fill="auto" w:val="clear"/>
            <w:vAlign w:val="center"/>
          </w:tcPr>
          <w:p>
            <w:pPr>
              <w:pStyle w:val="TableContents"/>
              <w:spacing w:before="0" w:after="0"/>
              <w:ind w:left="0" w:right="0" w:hanging="0"/>
              <w:rPr/>
            </w:pPr>
            <w:r>
              <w:rPr/>
              <w:t>​</w:t>
            </w:r>
          </w:p>
        </w:tc>
        <w:tc>
          <w:tcPr>
            <w:tcW w:w="319" w:type="dxa"/>
            <w:tcBorders/>
            <w:shd w:fill="auto" w:val="clear"/>
            <w:vAlign w:val="center"/>
          </w:tcPr>
          <w:p>
            <w:pPr>
              <w:pStyle w:val="TableContents"/>
              <w:spacing w:before="0" w:after="0"/>
              <w:ind w:left="0" w:right="0" w:hanging="0"/>
              <w:rPr/>
            </w:pPr>
            <w:r>
              <w:rPr/>
              <w:t> </w:t>
            </w:r>
          </w:p>
        </w:tc>
        <w:tc>
          <w:tcPr>
            <w:tcW w:w="11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312,881</w:t>
            </w:r>
          </w:p>
        </w:tc>
        <w:tc>
          <w:tcPr>
            <w:tcW w:w="154" w:type="dxa"/>
            <w:tcBorders/>
            <w:shd w:fill="auto" w:val="clear"/>
            <w:vAlign w:val="center"/>
          </w:tcPr>
          <w:p>
            <w:pPr>
              <w:pStyle w:val="TableContents"/>
              <w:spacing w:before="0" w:after="0"/>
              <w:ind w:left="0" w:right="0" w:hanging="0"/>
              <w:jc w:val="right"/>
              <w:rPr/>
            </w:pPr>
            <w:r>
              <w:rPr/>
              <w:t>​</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spacing w:before="0" w:after="0"/>
              <w:ind w:left="0" w:right="0" w:hanging="0"/>
              <w:rPr/>
            </w:pPr>
            <w:r>
              <w:rPr/>
              <w:t>​</w:t>
            </w:r>
          </w:p>
        </w:tc>
        <w:tc>
          <w:tcPr>
            <w:tcW w:w="3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154" w:type="dxa"/>
            <w:tcBorders/>
            <w:shd w:fill="CCEEFF" w:val="clear"/>
            <w:vAlign w:val="center"/>
          </w:tcPr>
          <w:p>
            <w:pPr>
              <w:pStyle w:val="TableContents"/>
              <w:spacing w:before="0" w:after="0"/>
              <w:ind w:left="0" w:right="0" w:hanging="0"/>
              <w:jc w:val="right"/>
              <w:rPr/>
            </w:pPr>
            <w:r>
              <w:rPr/>
              <w:t>​</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357,211</w:t>
            </w:r>
          </w:p>
        </w:tc>
        <w:tc>
          <w:tcPr>
            <w:tcW w:w="326" w:type="dxa"/>
            <w:tcBorders/>
            <w:shd w:fill="auto" w:val="clear"/>
            <w:vAlign w:val="center"/>
          </w:tcPr>
          <w:p>
            <w:pPr>
              <w:pStyle w:val="TableContents"/>
              <w:spacing w:before="0" w:after="0"/>
              <w:ind w:left="0" w:right="0" w:hanging="0"/>
              <w:rPr/>
            </w:pPr>
            <w:r>
              <w:rPr/>
              <w:t>​</w:t>
            </w:r>
          </w:p>
        </w:tc>
        <w:tc>
          <w:tcPr>
            <w:tcW w:w="31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309,631</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 On such date, proceeds under the Credit Agreement were used to terminate the previous credit agreement by repayment of $294.0 million of outstanding debt thereunder and for general corporate purposes.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Credit Agreement, the “First Lien Net Leverage Ratio”). Borrowings under the Revolving Credit Facility are due at maturity.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is required to meet certain financial covenants,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As of April 1, 2023, there was </w:t>
      </w:r>
      <w:r>
        <w:rPr>
          <w:rFonts w:ascii="Times New Roman;Times;serif" w:hAnsi="Times New Roman;Times;serif"/>
          <w:b w:val="false"/>
          <w:i w:val="false"/>
          <w:caps w:val="false"/>
          <w:smallCaps w:val="false"/>
          <w:sz w:val="20"/>
        </w:rPr>
        <w:t xml:space="preserve">$48.0 million </w:t>
      </w:r>
      <w:r>
        <w:rPr>
          <w:rFonts w:ascii="Times New Roman;Times;serif" w:hAnsi="Times New Roman;Times;serif"/>
          <w:sz w:val="20"/>
        </w:rPr>
        <w:t>outstanding on the Revolving Credit Facility.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761" w:name="Tc_-X-MUeJZg02GJxGUU8HizA_9_2"/>
      <w:bookmarkStart w:id="762" w:name="Tc_iq-FRyuo50KxMILdKIJXEg_8_0"/>
      <w:bookmarkStart w:id="763" w:name="Tc_rF4QsMZoLE-wH3j9Tkm78w_7_0"/>
      <w:bookmarkStart w:id="764" w:name="Tc_2UDJ54TkN0yjsZQPzLVQ_g_6_0"/>
      <w:bookmarkStart w:id="765" w:name="Tc_9D_SHVEI_0SLtTIjoXgn1A_5_0"/>
      <w:bookmarkStart w:id="766" w:name="Tc_6B88XaKFcU-IoBpQTVuYRg_4_0"/>
      <w:bookmarkStart w:id="767" w:name="Tc_hMNrRSyzn0qypS8_Zb5xnA_3_2"/>
      <w:bookmarkStart w:id="768" w:name="Tc_8IyaXdsKrUSbR_iWaLgbrA_3_0"/>
      <w:bookmarkStart w:id="769" w:name="Tc_gUohiGOSY0aag9ek_JGLyw_2_2"/>
      <w:bookmarkStart w:id="770" w:name="Tc_KETWiiDpXE2VbANpx2B0Gw_2_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b/>
          <w:i/>
          <w:sz w:val="20"/>
        </w:rPr>
        <w:t>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recorded $6.1 million of debt issuance costs and $4.9 million of debt discount related to the Term Loan as a direct reduction to the carrying amount of long-term debt on the condensed consolidated balance sheet as of the applicable period.</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Outstanding borrowings as of April 1, 2023 were $312.5 million, net of discount and debt issuance costs of $9.3 million. In connection with the Term Loan, the Company is subject to various negative, reporting, financial, and other covenants, including maintaining specific liquidity measurements.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the unamortized debt issuance costs and discount on the Term Loan were $5.2 million and $4.1 million, respectively. The effective interest rate was 9.96% at April 1, 2023, including the impact of the Company’s interest rate swaps.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the Company was in compliance with all financial covenants under the Credit Agreement.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Rate Risk</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Interest rate risk associated with the Credit Agreement is mitigated partially through interest rate swaps.</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 executed an interest rate swap on April 30, 2020. The swap has an effective date of May 18, 2020 and a termination date of May 18, 2023. In February of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is not designated as a hedging instrument for accounting purposes (see Note 3). </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3).</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Debt Maturities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Principal payments due on the outstanding debt, excluding the Revolving Credit Facility, in the next five fiscal years, excluding any potential payments based on excess cash flow levels, are as follows (in thousands):</w:t>
      </w:r>
    </w:p>
    <w:p>
      <w:pPr>
        <w:pStyle w:val="TextBody"/>
        <w:spacing w:before="0" w:after="240"/>
        <w:ind w:left="0" w:right="0" w:firstLine="360"/>
        <w:rPr/>
      </w:pPr>
      <w:r>
        <w:rPr/>
        <w:t>​</w:t>
      </w:r>
    </w:p>
    <w:tbl>
      <w:tblPr>
        <w:tblW w:w="3596" w:type="dxa"/>
        <w:jc w:val="left"/>
        <w:tblInd w:w="0" w:type="dxa"/>
        <w:tblCellMar>
          <w:top w:w="0" w:type="dxa"/>
          <w:left w:w="0" w:type="dxa"/>
          <w:bottom w:w="0" w:type="dxa"/>
          <w:right w:w="0" w:type="dxa"/>
        </w:tblCellMar>
      </w:tblPr>
      <w:tblGrid>
        <w:gridCol w:w="2161"/>
        <w:gridCol w:w="326"/>
        <w:gridCol w:w="211"/>
        <w:gridCol w:w="898"/>
      </w:tblGrid>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70230" cy="175260"/>
                      <wp:effectExtent l="0" t="0" r="0" b="0"/>
                      <wp:wrapNone/>
                      <wp:docPr id="136" name="Frame136"/>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09" w:type="dxa"/>
            <w:gridSpan w:val="2"/>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 Ended</w:t>
            </w:r>
          </w:p>
        </w:tc>
        <w:tc>
          <w:tcPr>
            <w:tcW w:w="326" w:type="dxa"/>
            <w:tcBorders/>
            <w:shd w:fill="auto" w:val="clear"/>
            <w:vAlign w:val="center"/>
          </w:tcPr>
          <w:p>
            <w:pPr>
              <w:pStyle w:val="TableContents"/>
              <w:spacing w:before="0" w:after="0"/>
              <w:ind w:left="0" w:right="0" w:hanging="0"/>
              <w:jc w:val="center"/>
              <w:rPr/>
            </w:pPr>
            <w:r>
              <w:rPr/>
              <w:t>​</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spacing w:before="0" w:after="0"/>
              <w:ind w:left="0" w:right="0" w:hanging="0"/>
              <w:jc w:val="center"/>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306,312</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321,750</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obligations under the Credit Agreement are guaranteed by certain wholly owned subsidiaries (the “Guarantors”) of the Company as defined in the security agreement. The obligations under the Credit Agreement are secured by substantially all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w:t>
      </w:r>
    </w:p>
    <w:p>
      <w:pPr>
        <w:pStyle w:val="TextBody"/>
        <w:spacing w:before="0" w:after="240"/>
        <w:ind w:left="0" w:right="0" w:hanging="0"/>
        <w:rPr>
          <w:rFonts w:ascii="Times New Roman;Times;serif" w:hAnsi="Times New Roman;Times;serif"/>
          <w:b/>
          <w:sz w:val="20"/>
        </w:rPr>
      </w:pPr>
      <w:bookmarkStart w:id="771" w:name="Tc_SAbrwehcl02N_8s_wcHDRA_7_5"/>
      <w:bookmarkStart w:id="772" w:name="Tc_uFhbMc90J0OK4dEOta9MCg_7_2"/>
      <w:bookmarkStart w:id="773" w:name="Tc_ZMxJ9q4l9E2Pk3FMpoaAUg_7_0"/>
      <w:bookmarkStart w:id="774" w:name="Tc_MuxgHFwHTUufLDswwKzErQ_6_0"/>
      <w:bookmarkStart w:id="775" w:name="Tc_RIkNajVsUEGa-sc-P1VNdQ_5_0"/>
      <w:bookmarkStart w:id="776" w:name="Tc_KMclntolFkmv9or7EYmBRw_4_5"/>
      <w:bookmarkStart w:id="777" w:name="Tc_Bs6r9gI5OEW9qYYDFvu4yw_4_2"/>
      <w:bookmarkStart w:id="778" w:name="Tc_DS5Lt8WDj0esmDnXnQQSDw_4_0"/>
      <w:bookmarkStart w:id="779" w:name="Tc_sJJz9tNcRky34QIPz-0K1Q_3_5"/>
      <w:bookmarkStart w:id="780" w:name="Tc_kHBNVsroQkeegl2mWS-eLw_3_2"/>
      <w:bookmarkStart w:id="781" w:name="Tc_iaHJUX7ljU-T1gc9vC6SNQ_2_2"/>
      <w:bookmarkStart w:id="782" w:name="_dfcf3c17_46d7_40f1_a5d8_df63e29ed093"/>
      <w:bookmarkEnd w:id="771"/>
      <w:bookmarkEnd w:id="772"/>
      <w:bookmarkEnd w:id="773"/>
      <w:bookmarkEnd w:id="774"/>
      <w:bookmarkEnd w:id="775"/>
      <w:bookmarkEnd w:id="776"/>
      <w:bookmarkEnd w:id="777"/>
      <w:bookmarkEnd w:id="778"/>
      <w:bookmarkEnd w:id="779"/>
      <w:bookmarkEnd w:id="780"/>
      <w:bookmarkEnd w:id="781"/>
      <w:bookmarkEnd w:id="782"/>
      <w:r>
        <w:rPr>
          <w:rFonts w:ascii="Times New Roman;Times;serif" w:hAnsi="Times New Roman;Times;serif"/>
          <w:b/>
          <w:sz w:val="20"/>
        </w:rPr>
        <w:t>7. PRODUCT WARRANTIES</w:t>
      </w:r>
    </w:p>
    <w:p>
      <w:pPr>
        <w:pStyle w:val="TextBody"/>
        <w:spacing w:before="0" w:after="0"/>
        <w:ind w:left="403" w:right="0" w:hanging="0"/>
        <w:rPr>
          <w:rFonts w:ascii="Times New Roman;Times;serif" w:hAnsi="Times New Roman;Times;serif"/>
          <w:sz w:val="20"/>
        </w:rPr>
      </w:pPr>
      <w:r>
        <w:rPr>
          <w:rFonts w:ascii="Times New Roman;Times;serif" w:hAnsi="Times New Roman;Times;serif"/>
          <w:sz w:val="20"/>
        </w:rPr>
        <w:t>The warranty reserve activity consisted of the following (in thousands):</w:t>
      </w:r>
    </w:p>
    <w:p>
      <w:pPr>
        <w:pStyle w:val="TextBody"/>
        <w:spacing w:before="0" w:after="240"/>
        <w:ind w:left="403" w:right="0" w:hanging="0"/>
        <w:rPr/>
      </w:pPr>
      <w:r>
        <w:rPr/>
        <w:t>​</w:t>
      </w:r>
    </w:p>
    <w:tbl>
      <w:tblPr>
        <w:tblW w:w="6522" w:type="dxa"/>
        <w:jc w:val="left"/>
        <w:tblInd w:w="0" w:type="dxa"/>
        <w:tblCellMar>
          <w:top w:w="0" w:type="dxa"/>
          <w:left w:w="0" w:type="dxa"/>
          <w:bottom w:w="0" w:type="dxa"/>
          <w:right w:w="0" w:type="dxa"/>
        </w:tblCellMar>
      </w:tblPr>
      <w:tblGrid>
        <w:gridCol w:w="3586"/>
        <w:gridCol w:w="326"/>
        <w:gridCol w:w="287"/>
        <w:gridCol w:w="778"/>
        <w:gridCol w:w="326"/>
        <w:gridCol w:w="249"/>
        <w:gridCol w:w="816"/>
        <w:gridCol w:w="154"/>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77110" cy="175260"/>
                      <wp:effectExtent l="0" t="0" r="0" b="0"/>
                      <wp:wrapNone/>
                      <wp:docPr id="137" name="Frame137"/>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2245" cy="175260"/>
                      <wp:effectExtent l="0" t="0" r="0" b="0"/>
                      <wp:wrapNone/>
                      <wp:docPr id="139" name="Frame139"/>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4030" cy="175260"/>
                      <wp:effectExtent l="0" t="0" r="0" b="0"/>
                      <wp:wrapNone/>
                      <wp:docPr id="140" name="Frame140"/>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58115" cy="175260"/>
                      <wp:effectExtent l="0" t="0" r="0" b="0"/>
                      <wp:wrapNone/>
                      <wp:docPr id="142" name="Frame142"/>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18160" cy="175260"/>
                      <wp:effectExtent l="0" t="0" r="0" b="0"/>
                      <wp:wrapNone/>
                      <wp:docPr id="143" name="Frame143"/>
                      <a:graphic xmlns:a="http://schemas.openxmlformats.org/drawingml/2006/main">
                        <a:graphicData uri="http://schemas.microsoft.com/office/word/2010/wordprocessingShape">
                          <wps:wsp>
                            <wps:cNvSpPr txBox="1"/>
                            <wps:spPr>
                              <a:xfrm>
                                <a:off x="0" y="0"/>
                                <a:ext cx="518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7790" cy="175260"/>
                      <wp:effectExtent l="0" t="0" r="0" b="0"/>
                      <wp:wrapNone/>
                      <wp:docPr id="144" name="Frame14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w:t>
            </w:r>
          </w:p>
        </w:tc>
        <w:tc>
          <w:tcPr>
            <w:tcW w:w="77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8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jc w:val="center"/>
              <w:rPr/>
            </w:pPr>
            <w:r>
              <w:rPr/>
              <w:t>​</w: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0"/>
              <w:ind w:left="0" w:right="0" w:hanging="0"/>
              <w:jc w:val="center"/>
              <w:rPr/>
            </w:pPr>
            <w:r>
              <w:rPr/>
              <w:t>​</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beginning of the fiscal year</w:t>
            </w:r>
          </w:p>
        </w:tc>
        <w:tc>
          <w:tcPr>
            <w:tcW w:w="326" w:type="dxa"/>
            <w:tcBorders/>
            <w:shd w:fill="CCEEFF" w:val="clear"/>
            <w:vAlign w:val="center"/>
          </w:tcPr>
          <w:p>
            <w:pPr>
              <w:pStyle w:val="TableContents"/>
              <w:spacing w:before="0" w:after="0"/>
              <w:ind w:left="0" w:right="0" w:hanging="0"/>
              <w:rPr/>
            </w:pPr>
            <w:r>
              <w:rPr/>
              <w:t>​</w:t>
            </w:r>
          </w:p>
        </w:tc>
        <w:tc>
          <w:tcPr>
            <w:tcW w:w="2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4,909</w:t>
            </w:r>
          </w:p>
        </w:tc>
        <w:tc>
          <w:tcPr>
            <w:tcW w:w="154" w:type="dxa"/>
            <w:tcBorders/>
            <w:shd w:fill="CCEEFF" w:val="clear"/>
            <w:vAlign w:val="center"/>
          </w:tcPr>
          <w:p>
            <w:pPr>
              <w:pStyle w:val="TableContents"/>
              <w:spacing w:before="0" w:after="0"/>
              <w:ind w:left="0" w:right="0" w:hanging="0"/>
              <w:jc w:val="right"/>
              <w:rPr/>
            </w:pPr>
            <w:r>
              <w:rPr/>
              <w:t>​</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reserve</w:t>
            </w:r>
          </w:p>
        </w:tc>
        <w:tc>
          <w:tcPr>
            <w:tcW w:w="326" w:type="dxa"/>
            <w:tcBorders/>
            <w:shd w:fill="auto" w:val="clear"/>
            <w:vAlign w:val="center"/>
          </w:tcPr>
          <w:p>
            <w:pPr>
              <w:pStyle w:val="TableContents"/>
              <w:spacing w:before="0" w:after="0"/>
              <w:ind w:left="0" w:right="0" w:hanging="0"/>
              <w:rPr/>
            </w:pPr>
            <w:r>
              <w:rPr/>
              <w:t>​</w:t>
            </w:r>
          </w:p>
        </w:tc>
        <w:tc>
          <w:tcPr>
            <w:tcW w:w="287" w:type="dxa"/>
            <w:tcBorders/>
            <w:shd w:fill="auto" w:val="clear"/>
            <w:vAlign w:val="center"/>
          </w:tcPr>
          <w:p>
            <w:pPr>
              <w:pStyle w:val="TableContents"/>
              <w:spacing w:before="0" w:after="0"/>
              <w:ind w:left="0" w:right="0" w:hanging="0"/>
              <w:rPr/>
            </w:pPr>
            <w:r>
              <w:rPr/>
              <w:t> </w:t>
            </w:r>
          </w:p>
        </w:tc>
        <w:tc>
          <w:tcPr>
            <w:tcW w:w="7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154" w:type="dxa"/>
            <w:tcBorders/>
            <w:shd w:fill="auto" w:val="clear"/>
            <w:vAlign w:val="center"/>
          </w:tcPr>
          <w:p>
            <w:pPr>
              <w:pStyle w:val="TableContents"/>
              <w:spacing w:before="0" w:after="0"/>
              <w:ind w:left="0" w:right="0" w:hanging="0"/>
              <w:jc w:val="right"/>
              <w:rPr/>
            </w:pPr>
            <w:r>
              <w:rPr/>
              <w:t>​</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Settlements made (in cash or in kind)</w:t>
            </w:r>
          </w:p>
        </w:tc>
        <w:tc>
          <w:tcPr>
            <w:tcW w:w="326" w:type="dxa"/>
            <w:tcBorders/>
            <w:shd w:fill="CCEEFF" w:val="clear"/>
            <w:vAlign w:val="center"/>
          </w:tcPr>
          <w:p>
            <w:pPr>
              <w:pStyle w:val="TableContents"/>
              <w:spacing w:before="0" w:after="0"/>
              <w:ind w:left="0" w:right="0" w:hanging="0"/>
              <w:rPr/>
            </w:pPr>
            <w:r>
              <w:rPr/>
              <w:t>​</w:t>
            </w:r>
          </w:p>
        </w:tc>
        <w:tc>
          <w:tcPr>
            <w:tcW w:w="28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154" w:type="dxa"/>
            <w:tcBorders/>
            <w:shd w:fill="CCEEFF" w:val="clear"/>
            <w:vAlign w:val="center"/>
          </w:tcPr>
          <w:p>
            <w:pPr>
              <w:pStyle w:val="TableContents"/>
              <w:spacing w:before="0" w:after="0"/>
              <w:ind w:left="0" w:right="0" w:hanging="0"/>
              <w:jc w:val="right"/>
              <w:rPr/>
            </w:pPr>
            <w:r>
              <w:rPr/>
              <w:t>​</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end of the fiscal quarter</w:t>
            </w:r>
          </w:p>
        </w:tc>
        <w:tc>
          <w:tcPr>
            <w:tcW w:w="326" w:type="dxa"/>
            <w:tcBorders/>
            <w:shd w:fill="auto" w:val="clear"/>
            <w:vAlign w:val="center"/>
          </w:tcPr>
          <w:p>
            <w:pPr>
              <w:pStyle w:val="TableContents"/>
              <w:spacing w:before="0" w:after="0"/>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3,583</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5,135</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83" w:name="Tc_YjswttL4HkqwdaK5BrQ-Cw_8_5"/>
      <w:bookmarkStart w:id="784" w:name="Tc_3rrTVQfRB0G5mJ0lRlkeeA_8_2"/>
      <w:bookmarkStart w:id="785" w:name="Tc_gWLzwkuaFk2GXu1heYBBhQ_8_0"/>
      <w:bookmarkStart w:id="786" w:name="Tc_Df8K5DtVp0Kiww_OvAdsHA_7_0"/>
      <w:bookmarkStart w:id="787" w:name="Tc_ccZL0esytEmRPwbvR9osXQ_6_0"/>
      <w:bookmarkStart w:id="788" w:name="Tc_dImQ3t4rtUOq2EFBXJUMvg_5_0"/>
      <w:bookmarkStart w:id="789" w:name="Tc_HZJ4lJCBEkWq_5u19TseJA_4_0"/>
      <w:bookmarkStart w:id="790" w:name="Tc_hnQOmokKHk6GuGG2YvzWtw_3_5"/>
      <w:bookmarkStart w:id="791" w:name="Tc_Z_JISm1Aq0mnqxbIJXF-kQ_3_2"/>
      <w:bookmarkStart w:id="792" w:name="Tc_QhHiCgwVzE6DafBH7J10JA_3_0"/>
      <w:bookmarkStart w:id="793" w:name="Tc_Fat1EmHhMEuZCcZFZcpi2g_2_5"/>
      <w:bookmarkStart w:id="794" w:name="Tc_ElCU7CPRCkeHwd6SpzsgMg_2_2"/>
      <w:bookmarkStart w:id="795" w:name="Tc_gSQ6DULFrk2dzic7buCFpA_1_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b/>
          <w:sz w:val="20"/>
        </w:rPr>
        <w:t>8. LEASES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January 1, 2022, the Company adopted ASU 2016-02, “Leases (Topic 842),” and the related amendments.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components of lease expense for the fiscal quarters ended April 1, 2023 and April 2, 2022 were as follows (in thousands):</w:t>
      </w:r>
    </w:p>
    <w:p>
      <w:pPr>
        <w:pStyle w:val="TextBody"/>
        <w:spacing w:before="0" w:after="240"/>
        <w:ind w:left="0" w:right="0" w:firstLine="360"/>
        <w:rPr/>
      </w:pPr>
      <w:r>
        <w:rPr/>
        <w:t>​</w:t>
      </w:r>
    </w:p>
    <w:tbl>
      <w:tblPr>
        <w:tblW w:w="6327" w:type="dxa"/>
        <w:jc w:val="left"/>
        <w:tblInd w:w="0" w:type="dxa"/>
        <w:tblCellMar>
          <w:top w:w="0" w:type="dxa"/>
          <w:left w:w="0" w:type="dxa"/>
          <w:bottom w:w="0" w:type="dxa"/>
          <w:right w:w="0" w:type="dxa"/>
        </w:tblCellMar>
      </w:tblPr>
      <w:tblGrid>
        <w:gridCol w:w="3391"/>
        <w:gridCol w:w="326"/>
        <w:gridCol w:w="287"/>
        <w:gridCol w:w="778"/>
        <w:gridCol w:w="326"/>
        <w:gridCol w:w="287"/>
        <w:gridCol w:w="778"/>
        <w:gridCol w:w="154"/>
      </w:tblGrid>
      <w:tr>
        <w:trPr/>
        <w:tc>
          <w:tcPr>
            <w:tcW w:w="33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2245" cy="175260"/>
                      <wp:effectExtent l="0" t="0" r="0" b="0"/>
                      <wp:wrapNone/>
                      <wp:docPr id="146" name="Frame146"/>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4030" cy="175260"/>
                      <wp:effectExtent l="0" t="0" r="0" b="0"/>
                      <wp:wrapNone/>
                      <wp:docPr id="147" name="Frame147"/>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2245" cy="175260"/>
                      <wp:effectExtent l="0" t="0" r="0" b="0"/>
                      <wp:wrapNone/>
                      <wp:docPr id="149" name="Frame149"/>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94030" cy="175260"/>
                      <wp:effectExtent l="0" t="0" r="0" b="0"/>
                      <wp:wrapNone/>
                      <wp:docPr id="150" name="Frame150"/>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7790" cy="175260"/>
                      <wp:effectExtent l="0" t="0" r="0" b="0"/>
                      <wp:wrapNone/>
                      <wp:docPr id="151" name="Frame15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rPr/>
            </w:pPr>
            <w:r>
              <w:rPr/>
              <w:t>​</w:t>
            </w:r>
          </w:p>
        </w:tc>
      </w:tr>
      <w:tr>
        <w:trPr/>
        <w:tc>
          <w:tcPr>
            <w:tcW w:w="33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1"/>
              <w:ind w:left="0" w:right="0" w:hanging="0"/>
              <w:rPr/>
            </w:pPr>
            <w:r>
              <w:rPr/>
              <w:t>​</w:t>
            </w:r>
          </w:p>
        </w:tc>
      </w:tr>
      <w:tr>
        <w:trPr/>
        <w:tc>
          <w:tcPr>
            <w:tcW w:w="3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expense</w:t>
            </w:r>
          </w:p>
        </w:tc>
        <w:tc>
          <w:tcPr>
            <w:tcW w:w="326"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26" w:type="dxa"/>
            <w:tcBorders/>
            <w:shd w:fill="CCEEFF" w:val="clear"/>
            <w:vAlign w:val="center"/>
          </w:tcPr>
          <w:p>
            <w:pPr>
              <w:pStyle w:val="TableContents"/>
              <w:spacing w:before="0" w:after="1"/>
              <w:ind w:left="0" w:right="0" w:hanging="0"/>
              <w:jc w:val="right"/>
              <w:rPr/>
            </w:pPr>
            <w:r>
              <w:rPr/>
              <w:t>​</w:t>
            </w:r>
          </w:p>
        </w:tc>
        <w:tc>
          <w:tcPr>
            <w:tcW w:w="28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2,138</w:t>
            </w:r>
          </w:p>
        </w:tc>
        <w:tc>
          <w:tcPr>
            <w:tcW w:w="154" w:type="dxa"/>
            <w:tcBorders/>
            <w:shd w:fill="CCEEFF" w:val="clear"/>
            <w:vAlign w:val="center"/>
          </w:tcPr>
          <w:p>
            <w:pPr>
              <w:pStyle w:val="TableContents"/>
              <w:spacing w:before="0" w:after="1"/>
              <w:ind w:left="0" w:right="0" w:hanging="0"/>
              <w:rPr/>
            </w:pPr>
            <w:r>
              <w:rPr/>
              <w:t>​</w:t>
            </w:r>
          </w:p>
        </w:tc>
      </w:tr>
      <w:tr>
        <w:trPr/>
        <w:tc>
          <w:tcPr>
            <w:tcW w:w="3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amortization of assets</w:t>
            </w:r>
          </w:p>
        </w:tc>
        <w:tc>
          <w:tcPr>
            <w:tcW w:w="326"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auto" w:val="clear"/>
            <w:vAlign w:val="center"/>
          </w:tcPr>
          <w:p>
            <w:pPr>
              <w:pStyle w:val="TableContents"/>
              <w:spacing w:before="0" w:after="1"/>
              <w:ind w:left="0" w:right="0" w:hanging="0"/>
              <w:jc w:val="right"/>
              <w:rPr/>
            </w:pPr>
            <w:r>
              <w:rPr/>
              <w:t>​</w:t>
            </w:r>
          </w:p>
        </w:tc>
        <w:tc>
          <w:tcPr>
            <w:tcW w:w="287"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54" w:type="dxa"/>
            <w:tcBorders/>
            <w:shd w:fill="auto" w:val="clear"/>
            <w:vAlign w:val="center"/>
          </w:tcPr>
          <w:p>
            <w:pPr>
              <w:pStyle w:val="TableContents"/>
              <w:spacing w:before="0" w:after="1"/>
              <w:ind w:left="0" w:right="0" w:hanging="0"/>
              <w:rPr/>
            </w:pPr>
            <w:r>
              <w:rPr/>
              <w:t>​</w:t>
            </w:r>
          </w:p>
        </w:tc>
      </w:tr>
      <w:tr>
        <w:trPr/>
        <w:tc>
          <w:tcPr>
            <w:tcW w:w="3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interest on lease liabilities</w:t>
            </w:r>
          </w:p>
        </w:tc>
        <w:tc>
          <w:tcPr>
            <w:tcW w:w="326"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1"/>
              <w:ind w:left="0" w:right="0" w:hanging="0"/>
              <w:jc w:val="right"/>
              <w:rPr/>
            </w:pPr>
            <w:r>
              <w:rPr/>
              <w:t>​</w:t>
            </w:r>
          </w:p>
        </w:tc>
        <w:tc>
          <w:tcPr>
            <w:tcW w:w="287"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spacing w:before="0" w:after="1"/>
              <w:ind w:left="0" w:right="0" w:hanging="0"/>
              <w:rPr/>
            </w:pPr>
            <w:r>
              <w:rPr/>
              <w:t>​</w:t>
            </w:r>
          </w:p>
        </w:tc>
      </w:tr>
      <w:tr>
        <w:trPr/>
        <w:tc>
          <w:tcPr>
            <w:tcW w:w="3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expense</w:t>
            </w:r>
          </w:p>
        </w:tc>
        <w:tc>
          <w:tcPr>
            <w:tcW w:w="326"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pPr>
            <w:r>
              <w:rPr/>
              <w:t> </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auto" w:val="clear"/>
            <w:vAlign w:val="center"/>
          </w:tcPr>
          <w:p>
            <w:pPr>
              <w:pStyle w:val="TableContents"/>
              <w:spacing w:before="0" w:after="1"/>
              <w:ind w:left="0" w:right="0" w:hanging="0"/>
              <w:jc w:val="right"/>
              <w:rPr/>
            </w:pPr>
            <w:r>
              <w:rPr/>
              <w:t>​</w:t>
            </w:r>
          </w:p>
        </w:tc>
        <w:tc>
          <w:tcPr>
            <w:tcW w:w="287" w:type="dxa"/>
            <w:tcBorders/>
            <w:shd w:fill="auto" w:val="clear"/>
            <w:vAlign w:val="center"/>
          </w:tcPr>
          <w:p>
            <w:pPr>
              <w:pStyle w:val="TableContents"/>
              <w:spacing w:before="0" w:after="1"/>
              <w:ind w:left="0" w:right="0" w:hanging="0"/>
              <w:rPr/>
            </w:pPr>
            <w:r>
              <w:rPr/>
              <w:t> </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54" w:type="dxa"/>
            <w:tcBorders/>
            <w:shd w:fill="auto" w:val="clear"/>
            <w:vAlign w:val="center"/>
          </w:tcPr>
          <w:p>
            <w:pPr>
              <w:pStyle w:val="TableContents"/>
              <w:spacing w:before="0" w:after="1"/>
              <w:ind w:left="0" w:right="0" w:hanging="0"/>
              <w:rPr/>
            </w:pPr>
            <w:r>
              <w:rPr/>
              <w:t>​</w:t>
            </w:r>
          </w:p>
        </w:tc>
      </w:tr>
      <w:tr>
        <w:trPr/>
        <w:tc>
          <w:tcPr>
            <w:tcW w:w="33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expense</w:t>
            </w:r>
          </w:p>
        </w:tc>
        <w:tc>
          <w:tcPr>
            <w:tcW w:w="326" w:type="dxa"/>
            <w:tcBorders/>
            <w:shd w:fill="CCEEFF" w:val="clear"/>
            <w:vAlign w:val="center"/>
          </w:tcPr>
          <w:p>
            <w:pPr>
              <w:pStyle w:val="TableContents"/>
              <w:spacing w:before="0" w:after="1"/>
              <w:ind w:left="0" w:right="0" w:hanging="0"/>
              <w:rPr/>
            </w:pPr>
            <w:r>
              <w:rPr/>
              <w:t>​</w:t>
            </w:r>
          </w:p>
        </w:tc>
        <w:tc>
          <w:tcPr>
            <w:tcW w:w="28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spacing w:before="0" w:after="1"/>
              <w:ind w:left="0" w:right="0" w:hanging="0"/>
              <w:jc w:val="right"/>
              <w:rPr/>
            </w:pPr>
            <w:r>
              <w:rPr/>
              <w:t>​</w:t>
            </w:r>
          </w:p>
        </w:tc>
        <w:tc>
          <w:tcPr>
            <w:tcW w:w="28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54" w:type="dxa"/>
            <w:tcBorders/>
            <w:shd w:fill="CCEEFF" w:val="clear"/>
            <w:vAlign w:val="center"/>
          </w:tcPr>
          <w:p>
            <w:pPr>
              <w:pStyle w:val="TableContents"/>
              <w:spacing w:before="0" w:after="1"/>
              <w:ind w:left="0" w:right="0" w:hanging="0"/>
              <w:rPr/>
            </w:pPr>
            <w:r>
              <w:rPr/>
              <w:t>​</w:t>
            </w:r>
          </w:p>
        </w:tc>
      </w:tr>
      <w:tr>
        <w:trPr/>
        <w:tc>
          <w:tcPr>
            <w:tcW w:w="33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expense</w:t>
            </w:r>
          </w:p>
        </w:tc>
        <w:tc>
          <w:tcPr>
            <w:tcW w:w="326" w:type="dxa"/>
            <w:tcBorders/>
            <w:shd w:fill="auto" w:val="clear"/>
            <w:vAlign w:val="center"/>
          </w:tcPr>
          <w:p>
            <w:pPr>
              <w:pStyle w:val="TableContents"/>
              <w:spacing w:before="0" w:after="1"/>
              <w:ind w:left="0" w:right="0" w:hanging="0"/>
              <w:rPr/>
            </w:pPr>
            <w:r>
              <w:rPr/>
              <w:t>​</w:t>
            </w:r>
          </w:p>
        </w:tc>
        <w:tc>
          <w:tcPr>
            <w:tcW w:w="28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2,893</w:t>
            </w:r>
          </w:p>
        </w:tc>
        <w:tc>
          <w:tcPr>
            <w:tcW w:w="326" w:type="dxa"/>
            <w:tcBorders/>
            <w:shd w:fill="auto" w:val="clear"/>
            <w:vAlign w:val="center"/>
          </w:tcPr>
          <w:p>
            <w:pPr>
              <w:pStyle w:val="TableContents"/>
              <w:spacing w:before="0" w:after="1"/>
              <w:ind w:left="0" w:right="0" w:hanging="0"/>
              <w:jc w:val="right"/>
              <w:rPr/>
            </w:pPr>
            <w:r>
              <w:rPr/>
              <w:t>​</w:t>
            </w:r>
          </w:p>
        </w:tc>
        <w:tc>
          <w:tcPr>
            <w:tcW w:w="28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2,338</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bookmarkStart w:id="796" w:name="Tc_qRSJWHbzNU-fVrYrqF9dMA_10_8"/>
      <w:bookmarkStart w:id="797" w:name="Tc_S6GdPxT3hUyF6LaPLHId9Q_10_5"/>
      <w:bookmarkStart w:id="798" w:name="Tc_Sb4YKzdqhk-Mw71lHsim2Q_10_2"/>
      <w:bookmarkStart w:id="799" w:name="Tc_N5M8uvBZzEeg3hadwFw11w_10_0"/>
      <w:bookmarkStart w:id="800" w:name="Tc_lgeXq14mRUirljUvnli5Zg_9_0"/>
      <w:bookmarkStart w:id="801" w:name="Tc_nWpLF9nTH0-77Tzvhb7yqQ_8_0"/>
      <w:bookmarkStart w:id="802" w:name="Tc_hsDPmVcj5EKzjj7U3qYJ8w_7_0"/>
      <w:bookmarkStart w:id="803" w:name="Tc_FMpijShtd020XbwenWY5ww_6_0"/>
      <w:bookmarkStart w:id="804" w:name="Tc_-Hudt22WtUCqQsnUbiVwTA_5_0"/>
      <w:bookmarkStart w:id="805" w:name="Tc_P0zY2ZvnQUeeSlf_UIMPLQ_4_0"/>
      <w:bookmarkStart w:id="806" w:name="Tc_iYemf6_7xEKR9p3pk8vn9g_3_0"/>
      <w:bookmarkStart w:id="807" w:name="Tc_OAcbo2pc3E2dqytwhE1MZg_2_8"/>
      <w:bookmarkStart w:id="808" w:name="Tc_mAPv-Hysik2gUaRtbmKDeA_2_5"/>
      <w:bookmarkStart w:id="809" w:name="Tc_xW4udl4fvkG4udTV7RRAhA_2_2"/>
      <w:bookmarkStart w:id="810" w:name="Tc_JbYXGHGvaUi5OGHP5pP98Q_2_0"/>
      <w:bookmarkStart w:id="811" w:name="Tc_9RnuIQJCLUKOSGT_D89AYg_1_8"/>
      <w:bookmarkStart w:id="812" w:name="Tc_m2_i6G-0RUOgrW8bHmG_Lg_1_5"/>
      <w:bookmarkStart w:id="813" w:name="Tc_aMe0HYFBZ0exgLPulvhpxg_1_2"/>
      <w:bookmarkStart w:id="814" w:name="Tc_xoj500IecEG4t9OyJljk3Q_4_5"/>
      <w:bookmarkStart w:id="815" w:name="Tc_PXsLnrgLUkq8lmTIy0Ti6A_4_2"/>
      <w:bookmarkStart w:id="816" w:name="Tc_qSiOCe3LPUiZH7U3r3ySgA_4_0"/>
      <w:bookmarkStart w:id="817" w:name="Tc_nLxNlOlCnECSzDwM9yYJlA_3_0"/>
      <w:bookmarkStart w:id="818" w:name="Tc_5LD0fsRn_kiDrZESGW-4wg_2_5"/>
      <w:bookmarkStart w:id="819" w:name="Tc_wLqcp-BQPUqkO62uJM6GSA_2_2"/>
      <w:bookmarkStart w:id="820" w:name="Tc_fsxsSSwEgEGJMLzziJwzuQ_1_2"/>
      <w:bookmarkStart w:id="821" w:name="_9b3dacf1_da90_4578_824c_27a041c4d2a9"/>
      <w:bookmarkStart w:id="822" w:name="Tc_Fbv3RtQwBECVnPxcF6SoNQ_7_8"/>
      <w:bookmarkStart w:id="823" w:name="Tc_kJ-zAUylt0-_-oeuYA97Wg_7_4"/>
      <w:bookmarkStart w:id="824" w:name="Tc_frxNT6lvkUKBfRRcqRxEcg_7_0"/>
      <w:bookmarkStart w:id="825" w:name="Tc_AWK_i0vkzEOnYk4MbmV7JA_6_8"/>
      <w:bookmarkStart w:id="826" w:name="Tc_bke9XUHN00yI5Cgdmp7tYQ_6_4"/>
      <w:bookmarkStart w:id="827" w:name="Tc_rQXsg7uAIUi-K7eBH8KCWw_6_0"/>
      <w:bookmarkStart w:id="828" w:name="Tc_c2xmXxzSnUOVJvDs_UQDbg_5_0"/>
      <w:bookmarkStart w:id="829" w:name="Tc_mCkKUa0vokqak2LW4JwCjw_4_0"/>
      <w:bookmarkStart w:id="830" w:name="Tc_3BVxRc6YKEOhnWQ3BqRppQ_3_0"/>
      <w:bookmarkStart w:id="831" w:name="Tc_t_0rJufRCEan-23O4jt_6g_2_0"/>
      <w:bookmarkStart w:id="832" w:name="Tc_DuPZfkj6v0qz9DB00RmI4g_1_6"/>
      <w:bookmarkStart w:id="833" w:name="Tc_-X2CDGPnakSZGo9BXxTgdQ_1_2"/>
      <w:bookmarkStart w:id="834" w:name="_287c2824_3a29_4d4e_a373_2bed7ddeb363"/>
      <w:bookmarkStart w:id="835" w:name="Tc_i6NAMx_m0UiJpc2LbNIbyg_15_5"/>
      <w:bookmarkStart w:id="836" w:name="Tc_0lOe7tx23EaQ32NHzDnxQg_15_2"/>
      <w:bookmarkStart w:id="837" w:name="Tc_NwDPe49UeES6h6Rw09Wk2A_15_0"/>
      <w:bookmarkStart w:id="838" w:name="Tc_6NBy_XWOgkKf60f89EOiIw_14_0"/>
      <w:bookmarkStart w:id="839" w:name="Tc_XctJGKHiFEqSvmw6c-3M4Q_13_8"/>
      <w:bookmarkStart w:id="840" w:name="Tc_Wl66FT9O1kK-JYT0Q8-a6g_13_0"/>
      <w:bookmarkStart w:id="841" w:name="Tc_0tWxY0EJ9UiWzESuBwW5zg_12_0"/>
      <w:bookmarkStart w:id="842" w:name="Tc_HFwuvOwZN0qEv6AZycKxfw_11_0"/>
      <w:bookmarkStart w:id="843" w:name="Tc_m6iHTf0V40aiJT7WA9GeoA_10_8"/>
      <w:bookmarkStart w:id="844" w:name="Tc_nGgod6HGEEqJi6q_95qhEA_10_5"/>
      <w:bookmarkStart w:id="845" w:name="Tc_je6OtLxUJU2SALGuKRJIFg_10_2"/>
      <w:bookmarkStart w:id="846" w:name="Tc_U6rdSbu2gEiPNbVZfBbBPA_10_0"/>
      <w:bookmarkStart w:id="847" w:name="Tc_ZdTd8wuT9EKKtThPPPsgOQ_9_0"/>
      <w:bookmarkStart w:id="848" w:name="Tc_yUFVOjsOSUGif9keWixopg_8_0"/>
      <w:bookmarkStart w:id="849" w:name="Tc_1UzoBctRtkKLtnwwzZF-4g_6_5"/>
      <w:bookmarkStart w:id="850" w:name="Tc_GzmgCfptEU6FdexFxJgUYA_6_2"/>
      <w:bookmarkStart w:id="851" w:name="Tc_jv_TR0w8c0yOkYTfG_hl3g_6_0"/>
      <w:bookmarkStart w:id="852" w:name="Tc_iWkGzBGNgE-7azx3mD7iLg_5_0"/>
      <w:bookmarkStart w:id="853" w:name="Tc_BuhYbHuCNE-sHvARh2kFyA_4_8"/>
      <w:bookmarkStart w:id="854" w:name="Tc_AqQKRD8-Q02WFYLmlq5oRA_4_5"/>
      <w:bookmarkStart w:id="855" w:name="Tc_JgwMimdsr0OMJKK90qdOaQ_4_2"/>
      <w:bookmarkStart w:id="856" w:name="Tc_1FbFNTCmek2JCOGaWvbZ4A_4_0"/>
      <w:bookmarkStart w:id="857" w:name="Tc_ALa0w_VcRU-6OvbrPrCT1Q_3_0"/>
      <w:bookmarkStart w:id="858" w:name="Tc_5aJppshG60OLH8MjBfJJHQ_1_8"/>
      <w:bookmarkStart w:id="859" w:name="Tc_M8KgQw_5sEyOirbWvZzrzQ_1_5"/>
      <w:bookmarkStart w:id="860" w:name="Tc_tHnGSuCoXU659nAuTh3o9w_1_2"/>
      <w:bookmarkStart w:id="861" w:name="_eb06d3c8_f19c_4aba_ac96_dccf925cda9c"/>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Times New Roman;Times;serif" w:hAnsi="Times New Roman;Times;serif"/>
          <w:sz w:val="20"/>
        </w:rPr>
        <w:t>Operating and finance lease right-of-use assets and lease-related liabilities as of April 1, 2023 and December 31, 2022 were as follows (in thousands):</w:t>
      </w:r>
    </w:p>
    <w:tbl>
      <w:tblPr>
        <w:tblW w:w="9254" w:type="dxa"/>
        <w:jc w:val="left"/>
        <w:tblInd w:w="0" w:type="dxa"/>
        <w:tblCellMar>
          <w:top w:w="0" w:type="dxa"/>
          <w:left w:w="0" w:type="dxa"/>
          <w:bottom w:w="0" w:type="dxa"/>
          <w:right w:w="0" w:type="dxa"/>
        </w:tblCellMar>
      </w:tblPr>
      <w:tblGrid>
        <w:gridCol w:w="2506"/>
        <w:gridCol w:w="109"/>
        <w:gridCol w:w="253"/>
        <w:gridCol w:w="812"/>
        <w:gridCol w:w="109"/>
        <w:gridCol w:w="357"/>
        <w:gridCol w:w="1143"/>
        <w:gridCol w:w="109"/>
        <w:gridCol w:w="3856"/>
      </w:tblGrid>
      <w:tr>
        <w:trPr/>
        <w:tc>
          <w:tcPr>
            <w:tcW w:w="25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0655" cy="175260"/>
                      <wp:effectExtent l="0" t="0" r="0" b="0"/>
                      <wp:wrapNone/>
                      <wp:docPr id="152" name="Frame152"/>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15620" cy="175260"/>
                      <wp:effectExtent l="0" t="0" r="0" b="0"/>
                      <wp:wrapNone/>
                      <wp:docPr id="153" name="Frame153"/>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6695" cy="175260"/>
                      <wp:effectExtent l="0" t="0" r="0" b="0"/>
                      <wp:wrapNone/>
                      <wp:docPr id="155" name="Frame155"/>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25805" cy="175260"/>
                      <wp:effectExtent l="0" t="0" r="0" b="0"/>
                      <wp:wrapNone/>
                      <wp:docPr id="156" name="Frame156"/>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448560" cy="175260"/>
                      <wp:effectExtent l="0" t="0" r="0" b="0"/>
                      <wp:wrapNone/>
                      <wp:docPr id="157" name="Frame157"/>
                      <a:graphic xmlns:a="http://schemas.openxmlformats.org/drawingml/2006/main">
                        <a:graphicData uri="http://schemas.microsoft.com/office/word/2010/wordprocessingShape">
                          <wps:wsp>
                            <wps:cNvSpPr txBox="1"/>
                            <wps:spPr>
                              <a:xfrm>
                                <a:off x="0" y="0"/>
                                <a:ext cx="2448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0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109" w:type="dxa"/>
            <w:tcBorders/>
            <w:shd w:fill="auto" w:val="clear"/>
            <w:vAlign w:val="center"/>
          </w:tcPr>
          <w:p>
            <w:pPr>
              <w:pStyle w:val="TableContents"/>
              <w:spacing w:before="0" w:after="1"/>
              <w:ind w:left="0" w:right="0" w:hanging="0"/>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85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Classification</w:t>
            </w:r>
          </w:p>
        </w:tc>
      </w:tr>
      <w:tr>
        <w:trPr/>
        <w:tc>
          <w:tcPr>
            <w:tcW w:w="250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pPr>
            <w:r>
              <w:rPr/>
              <w:t>​</w:t>
            </w:r>
          </w:p>
        </w:tc>
        <w:tc>
          <w:tcPr>
            <w:tcW w:w="81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pPr>
            <w:r>
              <w:rPr/>
              <w:t>​</w:t>
            </w:r>
          </w:p>
        </w:tc>
        <w:tc>
          <w:tcPr>
            <w:tcW w:w="1143"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pPr>
            <w:r>
              <w:rPr/>
              <w:t>​</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right-of-use assets:</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pPr>
            <w:r>
              <w:rPr/>
              <w:t>​</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36,927</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38,308</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109" w:type="dxa"/>
            <w:tcBorders/>
            <w:shd w:fill="auto" w:val="clear"/>
            <w:vAlign w:val="center"/>
          </w:tcPr>
          <w:p>
            <w:pPr>
              <w:pStyle w:val="TableContents"/>
              <w:spacing w:before="0" w:after="1"/>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109" w:type="dxa"/>
            <w:tcBorders/>
            <w:shd w:fill="auto" w:val="clear"/>
            <w:vAlign w:val="center"/>
          </w:tcPr>
          <w:p>
            <w:pPr>
              <w:pStyle w:val="TableContents"/>
              <w:spacing w:before="0" w:after="1"/>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right-of-use assets</w:t>
            </w:r>
          </w:p>
        </w:tc>
        <w:tc>
          <w:tcPr>
            <w:tcW w:w="109" w:type="dxa"/>
            <w:tcBorders/>
            <w:shd w:fill="CCEEFF" w:val="clear"/>
            <w:vAlign w:val="center"/>
          </w:tcPr>
          <w:p>
            <w:pPr>
              <w:pStyle w:val="TableContents"/>
              <w:spacing w:before="0" w:after="1"/>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38,152</w:t>
            </w:r>
          </w:p>
        </w:tc>
        <w:tc>
          <w:tcPr>
            <w:tcW w:w="109" w:type="dxa"/>
            <w:tcBorders/>
            <w:shd w:fill="CCEEFF" w:val="clear"/>
            <w:vAlign w:val="center"/>
          </w:tcPr>
          <w:p>
            <w:pPr>
              <w:pStyle w:val="TableContents"/>
              <w:spacing w:before="0" w:after="1"/>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38,624</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pPr>
            <w:r>
              <w:rPr/>
              <w:t>​</w:t>
            </w:r>
          </w:p>
        </w:tc>
      </w:tr>
      <w:tr>
        <w:trPr/>
        <w:tc>
          <w:tcPr>
            <w:tcW w:w="25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pPr>
            <w:r>
              <w:rPr/>
              <w:t>​</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Lease-related liabilities</w:t>
            </w:r>
          </w:p>
        </w:tc>
        <w:tc>
          <w:tcPr>
            <w:tcW w:w="109"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pPr>
            <w:r>
              <w:rPr/>
              <w:t>​</w:t>
            </w:r>
          </w:p>
        </w:tc>
        <w:tc>
          <w:tcPr>
            <w:tcW w:w="81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pPr>
            <w:r>
              <w:rPr/>
              <w:t>​</w:t>
            </w:r>
          </w:p>
        </w:tc>
        <w:tc>
          <w:tcPr>
            <w:tcW w:w="11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pPr>
            <w:r>
              <w:rPr/>
              <w:t>​</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pPr>
            <w:r>
              <w:rPr/>
              <w:t>​</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7,084</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6,923</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operating lease liabilities</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w:t>
            </w:r>
          </w:p>
        </w:tc>
        <w:tc>
          <w:tcPr>
            <w:tcW w:w="109"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pPr>
            <w:r>
              <w:rPr/>
              <w:t>​</w:t>
            </w:r>
          </w:p>
        </w:tc>
        <w:tc>
          <w:tcPr>
            <w:tcW w:w="81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pPr>
            <w:r>
              <w:rPr/>
              <w:t>​</w:t>
            </w:r>
          </w:p>
        </w:tc>
        <w:tc>
          <w:tcPr>
            <w:tcW w:w="1143"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pPr>
            <w:r>
              <w:rPr/>
              <w:t>​</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109"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30,905</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32,391</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operating lease liabilities</w:t>
            </w:r>
          </w:p>
        </w:tc>
      </w:tr>
      <w:tr>
        <w:trPr/>
        <w:tc>
          <w:tcPr>
            <w:tcW w:w="25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spacing w:before="0" w:after="1"/>
              <w:ind w:left="0" w:right="0" w:hanging="0"/>
              <w:rPr/>
            </w:pPr>
            <w:r>
              <w:rPr/>
              <w:t>​</w:t>
            </w:r>
          </w:p>
        </w:tc>
        <w:tc>
          <w:tcPr>
            <w:tcW w:w="25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1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109" w:type="dxa"/>
            <w:tcBorders/>
            <w:shd w:fill="CCEEFF" w:val="clear"/>
            <w:vAlign w:val="center"/>
          </w:tcPr>
          <w:p>
            <w:pPr>
              <w:pStyle w:val="TableContents"/>
              <w:spacing w:before="0" w:after="1"/>
              <w:ind w:left="0" w:right="0" w:hanging="0"/>
              <w:rPr/>
            </w:pPr>
            <w:r>
              <w:rPr/>
              <w:t>​</w:t>
            </w:r>
          </w:p>
        </w:tc>
        <w:tc>
          <w:tcPr>
            <w:tcW w:w="35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4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shd w:fill="CCEEFF" w:val="clear"/>
            <w:vAlign w:val="center"/>
          </w:tcPr>
          <w:p>
            <w:pPr>
              <w:pStyle w:val="TableContents"/>
              <w:spacing w:before="0" w:after="1"/>
              <w:ind w:left="0" w:right="0" w:hanging="0"/>
              <w:rPr/>
            </w:pPr>
            <w:r>
              <w:rPr/>
              <w:t>​</w:t>
            </w:r>
          </w:p>
        </w:tc>
        <w:tc>
          <w:tcPr>
            <w:tcW w:w="3856"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r>
      <w:tr>
        <w:trPr/>
        <w:tc>
          <w:tcPr>
            <w:tcW w:w="25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finance lease liabilities</w:t>
            </w:r>
          </w:p>
        </w:tc>
        <w:tc>
          <w:tcPr>
            <w:tcW w:w="109" w:type="dxa"/>
            <w:tcBorders/>
            <w:shd w:fill="auto" w:val="clear"/>
            <w:vAlign w:val="center"/>
          </w:tcPr>
          <w:p>
            <w:pPr>
              <w:pStyle w:val="TableContents"/>
              <w:spacing w:before="0" w:after="1"/>
              <w:ind w:left="0" w:right="0" w:hanging="0"/>
              <w:rPr/>
            </w:pPr>
            <w:r>
              <w:rPr/>
              <w:t>​</w:t>
            </w:r>
          </w:p>
        </w:tc>
        <w:tc>
          <w:tcPr>
            <w:tcW w:w="25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39,206</w:t>
            </w:r>
          </w:p>
        </w:tc>
        <w:tc>
          <w:tcPr>
            <w:tcW w:w="109" w:type="dxa"/>
            <w:tcBorders/>
            <w:shd w:fill="auto" w:val="clear"/>
            <w:vAlign w:val="center"/>
          </w:tcPr>
          <w:p>
            <w:pPr>
              <w:pStyle w:val="TableContents"/>
              <w:spacing w:before="0" w:after="1"/>
              <w:ind w:left="0" w:right="0" w:hanging="0"/>
              <w:rPr/>
            </w:pPr>
            <w:r>
              <w:rPr/>
              <w:t>​</w:t>
            </w:r>
          </w:p>
        </w:tc>
        <w:tc>
          <w:tcPr>
            <w:tcW w:w="35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39,612</w:t>
            </w:r>
          </w:p>
        </w:tc>
        <w:tc>
          <w:tcPr>
            <w:tcW w:w="109" w:type="dxa"/>
            <w:tcBorders/>
            <w:shd w:fill="auto" w:val="clear"/>
            <w:vAlign w:val="center"/>
          </w:tcPr>
          <w:p>
            <w:pPr>
              <w:pStyle w:val="TableContents"/>
              <w:spacing w:before="0" w:after="1"/>
              <w:ind w:left="0" w:right="0" w:hanging="0"/>
              <w:rPr/>
            </w:pPr>
            <w:r>
              <w:rPr/>
              <w:t>​</w:t>
            </w:r>
          </w:p>
        </w:tc>
        <w:tc>
          <w:tcPr>
            <w:tcW w:w="385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table below presents supplemental information related to leases as of April 1, 2023 and December 31, 2022:</w:t>
      </w:r>
    </w:p>
    <w:p>
      <w:pPr>
        <w:pStyle w:val="TextBody"/>
        <w:spacing w:before="0" w:after="240"/>
        <w:ind w:left="0" w:right="0" w:firstLine="360"/>
        <w:rPr>
          <w:highlight w:val="yellow"/>
        </w:rPr>
      </w:pPr>
      <w:r>
        <w:rPr>
          <w:highlight w:val="yellow"/>
        </w:rPr>
        <w:t>​</w:t>
      </w:r>
    </w:p>
    <w:tbl>
      <w:tblPr>
        <w:tblW w:w="6959" w:type="dxa"/>
        <w:jc w:val="left"/>
        <w:tblInd w:w="0" w:type="dxa"/>
        <w:tblCellMar>
          <w:top w:w="0" w:type="dxa"/>
          <w:left w:w="0" w:type="dxa"/>
          <w:bottom w:w="0" w:type="dxa"/>
          <w:right w:w="0" w:type="dxa"/>
        </w:tblCellMar>
      </w:tblPr>
      <w:tblGrid>
        <w:gridCol w:w="3916"/>
        <w:gridCol w:w="326"/>
        <w:gridCol w:w="156"/>
        <w:gridCol w:w="519"/>
        <w:gridCol w:w="389"/>
        <w:gridCol w:w="109"/>
        <w:gridCol w:w="212"/>
        <w:gridCol w:w="709"/>
        <w:gridCol w:w="623"/>
      </w:tblGrid>
      <w:tr>
        <w:trPr/>
        <w:tc>
          <w:tcPr>
            <w:tcW w:w="3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9060" cy="175260"/>
                      <wp:effectExtent l="0" t="0" r="0" b="0"/>
                      <wp:wrapNone/>
                      <wp:docPr id="159" name="Frame159"/>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29565" cy="175260"/>
                      <wp:effectExtent l="0" t="0" r="0" b="0"/>
                      <wp:wrapNone/>
                      <wp:docPr id="160" name="Frame160"/>
                      <a:graphic xmlns:a="http://schemas.openxmlformats.org/drawingml/2006/main">
                        <a:graphicData uri="http://schemas.microsoft.com/office/word/2010/wordprocessingShape">
                          <wps:wsp>
                            <wps:cNvSpPr txBox="1"/>
                            <wps:spPr>
                              <a:xfrm>
                                <a:off x="0" y="0"/>
                                <a:ext cx="329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7015" cy="175260"/>
                      <wp:effectExtent l="0" t="0" r="0" b="0"/>
                      <wp:wrapNone/>
                      <wp:docPr id="161" name="Frame161"/>
                      <a:graphic xmlns:a="http://schemas.openxmlformats.org/drawingml/2006/main">
                        <a:graphicData uri="http://schemas.microsoft.com/office/word/2010/wordprocessingShape">
                          <wps:wsp>
                            <wps:cNvSpPr txBox="1"/>
                            <wps:spPr>
                              <a:xfrm>
                                <a:off x="0" y="0"/>
                                <a:ext cx="247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4620" cy="175260"/>
                      <wp:effectExtent l="0" t="0" r="0" b="0"/>
                      <wp:wrapNone/>
                      <wp:docPr id="163" name="Frame163"/>
                      <a:graphic xmlns:a="http://schemas.openxmlformats.org/drawingml/2006/main">
                        <a:graphicData uri="http://schemas.microsoft.com/office/word/2010/wordprocessingShape">
                          <wps:wsp>
                            <wps:cNvSpPr txBox="1"/>
                            <wps:spPr>
                              <a:xfrm>
                                <a:off x="0" y="0"/>
                                <a:ext cx="134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50215" cy="175260"/>
                      <wp:effectExtent l="0" t="0" r="0" b="0"/>
                      <wp:wrapNone/>
                      <wp:docPr id="164" name="Frame164"/>
                      <a:graphic xmlns:a="http://schemas.openxmlformats.org/drawingml/2006/main">
                        <a:graphicData uri="http://schemas.microsoft.com/office/word/2010/wordprocessingShape">
                          <wps:wsp>
                            <wps:cNvSpPr txBox="1"/>
                            <wps:spPr>
                              <a:xfrm>
                                <a:off x="0" y="0"/>
                                <a:ext cx="450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95605" cy="175260"/>
                      <wp:effectExtent l="0" t="0" r="0" b="0"/>
                      <wp:wrapNone/>
                      <wp:docPr id="165" name="Frame165"/>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109" w:type="dxa"/>
            <w:tcBorders/>
            <w:shd w:fill="auto" w:val="clear"/>
            <w:vAlign w:val="center"/>
          </w:tcPr>
          <w:p>
            <w:pPr>
              <w:pStyle w:val="TableContents"/>
              <w:spacing w:before="0" w:after="1"/>
              <w:ind w:left="0" w:right="0" w:hanging="0"/>
              <w:rPr/>
            </w:pPr>
            <w:r>
              <w:rPr/>
              <w:t>​</w:t>
            </w:r>
          </w:p>
        </w:tc>
        <w:tc>
          <w:tcPr>
            <w:tcW w:w="154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c>
          <w:tcPr>
            <w:tcW w:w="519" w:type="dxa"/>
            <w:tcBorders/>
            <w:shd w:fill="CCEEFF" w:val="clear"/>
            <w:vAlign w:val="center"/>
          </w:tcPr>
          <w:p>
            <w:pPr>
              <w:pStyle w:val="TableContents"/>
              <w:spacing w:before="0" w:after="1"/>
              <w:ind w:left="0" w:right="0" w:hanging="0"/>
              <w:jc w:val="right"/>
              <w:rPr/>
            </w:pPr>
            <w:r>
              <w:rPr/>
              <w:t>​</w:t>
            </w:r>
          </w:p>
        </w:tc>
        <w:tc>
          <w:tcPr>
            <w:tcW w:w="38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709" w:type="dxa"/>
            <w:tcBorders/>
            <w:shd w:fill="CCEEFF" w:val="clear"/>
            <w:vAlign w:val="center"/>
          </w:tcPr>
          <w:p>
            <w:pPr>
              <w:pStyle w:val="TableContents"/>
              <w:spacing w:before="0" w:after="1"/>
              <w:ind w:left="0" w:right="0" w:hanging="0"/>
              <w:rPr/>
            </w:pPr>
            <w:r>
              <w:rPr/>
              <w:t>​</w:t>
            </w:r>
          </w:p>
        </w:tc>
        <w:tc>
          <w:tcPr>
            <w:tcW w:w="623" w:type="dxa"/>
            <w:tcBorders/>
            <w:shd w:fill="CCEEFF" w:val="clear"/>
            <w:vAlign w:val="center"/>
          </w:tcPr>
          <w:p>
            <w:pPr>
              <w:pStyle w:val="TableContents"/>
              <w:spacing w:before="0" w:after="1"/>
              <w:ind w:left="0" w:right="0" w:hanging="0"/>
              <w:rPr/>
            </w:pPr>
            <w:r>
              <w:rPr/>
              <w:t>​</w:t>
            </w:r>
          </w:p>
        </w:tc>
      </w:tr>
      <w:tr>
        <w:trPr/>
        <w:tc>
          <w:tcPr>
            <w:tcW w:w="3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c>
          <w:tcPr>
            <w:tcW w:w="5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7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623" w:type="dxa"/>
            <w:tcBorders/>
            <w:shd w:fill="auto" w:val="clear"/>
            <w:vAlign w:val="center"/>
          </w:tcPr>
          <w:p>
            <w:pPr>
              <w:pStyle w:val="TableContents"/>
              <w:spacing w:before="0" w:after="1"/>
              <w:ind w:left="0" w:right="0" w:hanging="0"/>
              <w:rPr/>
            </w:pPr>
            <w:r>
              <w:rPr/>
              <w:t>​</w:t>
            </w:r>
          </w:p>
        </w:tc>
      </w:tr>
      <w:tr>
        <w:trPr/>
        <w:tc>
          <w:tcPr>
            <w:tcW w:w="3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c>
          <w:tcPr>
            <w:tcW w:w="5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8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7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623" w:type="dxa"/>
            <w:tcBorders/>
            <w:shd w:fill="CCEEFF" w:val="clear"/>
            <w:vAlign w:val="center"/>
          </w:tcPr>
          <w:p>
            <w:pPr>
              <w:pStyle w:val="TableContents"/>
              <w:spacing w:before="0" w:after="1"/>
              <w:ind w:left="0" w:right="0" w:hanging="0"/>
              <w:rPr/>
            </w:pPr>
            <w:r>
              <w:rPr/>
              <w:t>​</w:t>
            </w:r>
          </w:p>
        </w:tc>
      </w:tr>
      <w:tr>
        <w:trPr/>
        <w:tc>
          <w:tcPr>
            <w:tcW w:w="3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c>
          <w:tcPr>
            <w:tcW w:w="519" w:type="dxa"/>
            <w:tcBorders/>
            <w:shd w:fill="auto" w:val="clear"/>
            <w:vAlign w:val="center"/>
          </w:tcPr>
          <w:p>
            <w:pPr>
              <w:pStyle w:val="TableContents"/>
              <w:spacing w:before="0" w:after="1"/>
              <w:ind w:left="0" w:right="0" w:hanging="0"/>
              <w:jc w:val="right"/>
              <w:rPr/>
            </w:pPr>
            <w:r>
              <w:rPr/>
              <w:t>​</w:t>
            </w:r>
          </w:p>
        </w:tc>
        <w:tc>
          <w:tcPr>
            <w:tcW w:w="3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709" w:type="dxa"/>
            <w:tcBorders/>
            <w:shd w:fill="auto" w:val="clear"/>
            <w:vAlign w:val="center"/>
          </w:tcPr>
          <w:p>
            <w:pPr>
              <w:pStyle w:val="TableContents"/>
              <w:spacing w:before="0" w:after="1"/>
              <w:ind w:left="0" w:right="0" w:hanging="0"/>
              <w:jc w:val="right"/>
              <w:rPr/>
            </w:pPr>
            <w:r>
              <w:rPr/>
              <w:t>​</w:t>
            </w:r>
          </w:p>
        </w:tc>
        <w:tc>
          <w:tcPr>
            <w:tcW w:w="623" w:type="dxa"/>
            <w:tcBorders/>
            <w:shd w:fill="auto" w:val="clear"/>
            <w:vAlign w:val="center"/>
          </w:tcPr>
          <w:p>
            <w:pPr>
              <w:pStyle w:val="TableContents"/>
              <w:spacing w:before="0" w:after="1"/>
              <w:ind w:left="0" w:right="0" w:hanging="0"/>
              <w:rPr/>
            </w:pPr>
            <w:r>
              <w:rPr/>
              <w:t>​</w:t>
            </w:r>
          </w:p>
        </w:tc>
      </w:tr>
      <w:tr>
        <w:trPr/>
        <w:tc>
          <w:tcPr>
            <w:tcW w:w="39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1"/>
              <w:ind w:left="0" w:right="0" w:hanging="0"/>
              <w:rPr/>
            </w:pPr>
            <w:r>
              <w:rPr/>
              <w:t>​</w:t>
            </w:r>
          </w:p>
        </w:tc>
        <w:tc>
          <w:tcPr>
            <w:tcW w:w="156" w:type="dxa"/>
            <w:tcBorders/>
            <w:shd w:fill="CCEEFF" w:val="clear"/>
            <w:vAlign w:val="center"/>
          </w:tcPr>
          <w:p>
            <w:pPr>
              <w:pStyle w:val="TableContents"/>
              <w:spacing w:before="0" w:after="1"/>
              <w:ind w:left="0" w:right="0" w:hanging="0"/>
              <w:rPr/>
            </w:pPr>
            <w:r>
              <w:rPr/>
              <w:t>​</w:t>
            </w:r>
          </w:p>
        </w:tc>
        <w:tc>
          <w:tcPr>
            <w:tcW w:w="5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8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212" w:type="dxa"/>
            <w:tcBorders/>
            <w:shd w:fill="CCEEFF" w:val="clear"/>
            <w:vAlign w:val="center"/>
          </w:tcPr>
          <w:p>
            <w:pPr>
              <w:pStyle w:val="TableContents"/>
              <w:spacing w:before="0" w:after="1"/>
              <w:ind w:left="0" w:right="0" w:hanging="0"/>
              <w:rPr/>
            </w:pPr>
            <w:r>
              <w:rPr/>
              <w:t>​</w:t>
            </w:r>
          </w:p>
        </w:tc>
        <w:tc>
          <w:tcPr>
            <w:tcW w:w="7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62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9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1"/>
              <w:ind w:left="0" w:right="0" w:hanging="0"/>
              <w:rPr/>
            </w:pPr>
            <w:r>
              <w:rPr/>
              <w:t>​</w:t>
            </w:r>
          </w:p>
        </w:tc>
        <w:tc>
          <w:tcPr>
            <w:tcW w:w="156" w:type="dxa"/>
            <w:tcBorders/>
            <w:shd w:fill="auto" w:val="clear"/>
            <w:vAlign w:val="center"/>
          </w:tcPr>
          <w:p>
            <w:pPr>
              <w:pStyle w:val="TableContents"/>
              <w:spacing w:before="0" w:after="1"/>
              <w:ind w:left="0" w:right="0" w:hanging="0"/>
              <w:rPr/>
            </w:pPr>
            <w:r>
              <w:rPr/>
              <w:t>​</w:t>
            </w:r>
          </w:p>
        </w:tc>
        <w:tc>
          <w:tcPr>
            <w:tcW w:w="5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8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212" w:type="dxa"/>
            <w:tcBorders/>
            <w:shd w:fill="auto" w:val="clear"/>
            <w:vAlign w:val="center"/>
          </w:tcPr>
          <w:p>
            <w:pPr>
              <w:pStyle w:val="TableContents"/>
              <w:spacing w:before="0" w:after="1"/>
              <w:ind w:left="0" w:right="0" w:hanging="0"/>
              <w:rPr/>
            </w:pPr>
            <w:r>
              <w:rPr/>
              <w:t>​</w:t>
            </w:r>
          </w:p>
        </w:tc>
        <w:tc>
          <w:tcPr>
            <w:tcW w:w="7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62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360"/>
        <w:rPr>
          <w:highlight w:val="yellow"/>
        </w:rPr>
      </w:pPr>
      <w:r>
        <w:rPr>
          <w:highlight w:val="yellow"/>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table below presents supplemental information related to the cash flows for operating leases recorded on the condensed consolidated statements of cash flows (in thousands):</w:t>
      </w:r>
    </w:p>
    <w:p>
      <w:pPr>
        <w:pStyle w:val="TextBody"/>
        <w:spacing w:before="0" w:after="240"/>
        <w:ind w:left="0" w:right="0" w:firstLine="360"/>
        <w:rPr/>
      </w:pPr>
      <w:r>
        <w:rPr/>
        <w:t>​</w:t>
      </w:r>
    </w:p>
    <w:tbl>
      <w:tblPr>
        <w:tblW w:w="8802" w:type="dxa"/>
        <w:jc w:val="left"/>
        <w:tblInd w:w="0" w:type="dxa"/>
        <w:tblCellMar>
          <w:top w:w="0" w:type="dxa"/>
          <w:left w:w="0" w:type="dxa"/>
          <w:bottom w:w="0" w:type="dxa"/>
          <w:right w:w="0" w:type="dxa"/>
        </w:tblCellMar>
      </w:tblPr>
      <w:tblGrid>
        <w:gridCol w:w="5866"/>
        <w:gridCol w:w="326"/>
        <w:gridCol w:w="287"/>
        <w:gridCol w:w="778"/>
        <w:gridCol w:w="326"/>
        <w:gridCol w:w="287"/>
        <w:gridCol w:w="778"/>
        <w:gridCol w:w="154"/>
      </w:tblGrid>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2245" cy="175260"/>
                      <wp:effectExtent l="0" t="0" r="0" b="0"/>
                      <wp:wrapNone/>
                      <wp:docPr id="167" name="Frame167"/>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4030" cy="175260"/>
                      <wp:effectExtent l="0" t="0" r="0" b="0"/>
                      <wp:wrapNone/>
                      <wp:docPr id="168" name="Frame168"/>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2245" cy="175260"/>
                      <wp:effectExtent l="0" t="0" r="0" b="0"/>
                      <wp:wrapNone/>
                      <wp:docPr id="170" name="Frame170"/>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4030" cy="175260"/>
                      <wp:effectExtent l="0" t="0" r="0" b="0"/>
                      <wp:wrapNone/>
                      <wp:docPr id="171" name="Frame171"/>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7790" cy="175260"/>
                      <wp:effectExtent l="0" t="0" r="0" b="0"/>
                      <wp:wrapNone/>
                      <wp:docPr id="172" name="Frame17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56"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rPr/>
            </w:pPr>
            <w:r>
              <w:rPr/>
              <w:t>​</w:t>
            </w:r>
          </w:p>
        </w:tc>
      </w:tr>
      <w:tr>
        <w:trPr/>
        <w:tc>
          <w:tcPr>
            <w:tcW w:w="58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1"/>
              <w:ind w:left="0" w:right="0" w:hanging="0"/>
              <w:rPr/>
            </w:pPr>
            <w:r>
              <w:rPr/>
              <w:t>​</w:t>
            </w:r>
          </w:p>
        </w:tc>
      </w:tr>
      <w:tr>
        <w:trPr/>
        <w:tc>
          <w:tcPr>
            <w:tcW w:w="58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58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flows for operating leases</w:t>
            </w:r>
          </w:p>
        </w:tc>
        <w:tc>
          <w:tcPr>
            <w:tcW w:w="326"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1,817</w:t>
            </w:r>
          </w:p>
        </w:tc>
        <w:tc>
          <w:tcPr>
            <w:tcW w:w="326"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1,785</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maturities of operating lease liabilities as of April 1, 2023 (in thousands):</w:t>
      </w:r>
    </w:p>
    <w:p>
      <w:pPr>
        <w:pStyle w:val="TextBody"/>
        <w:spacing w:before="0" w:after="240"/>
        <w:ind w:left="0" w:right="0" w:firstLine="360"/>
        <w:rPr>
          <w:highlight w:val="yellow"/>
        </w:rPr>
      </w:pPr>
      <w:r>
        <w:rPr>
          <w:highlight w:val="yellow"/>
        </w:rPr>
        <w:t>​</w:t>
      </w:r>
    </w:p>
    <w:tbl>
      <w:tblPr>
        <w:tblW w:w="6664" w:type="dxa"/>
        <w:jc w:val="left"/>
        <w:tblInd w:w="0" w:type="dxa"/>
        <w:tblCellMar>
          <w:top w:w="0" w:type="dxa"/>
          <w:left w:w="0" w:type="dxa"/>
          <w:bottom w:w="0" w:type="dxa"/>
          <w:right w:w="0" w:type="dxa"/>
        </w:tblCellMar>
      </w:tblPr>
      <w:tblGrid>
        <w:gridCol w:w="2566"/>
        <w:gridCol w:w="326"/>
        <w:gridCol w:w="319"/>
        <w:gridCol w:w="1046"/>
        <w:gridCol w:w="109"/>
        <w:gridCol w:w="320"/>
        <w:gridCol w:w="865"/>
        <w:gridCol w:w="109"/>
        <w:gridCol w:w="211"/>
        <w:gridCol w:w="793"/>
      </w:tblGrid>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2565" cy="175260"/>
                      <wp:effectExtent l="0" t="0" r="0" b="0"/>
                      <wp:wrapNone/>
                      <wp:docPr id="174" name="Frame174"/>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64210" cy="175260"/>
                      <wp:effectExtent l="0" t="0" r="0" b="0"/>
                      <wp:wrapNone/>
                      <wp:docPr id="175" name="Frame175"/>
                      <a:graphic xmlns:a="http://schemas.openxmlformats.org/drawingml/2006/main">
                        <a:graphicData uri="http://schemas.microsoft.com/office/word/2010/wordprocessingShape">
                          <wps:wsp>
                            <wps:cNvSpPr txBox="1"/>
                            <wps:spPr>
                              <a:xfrm>
                                <a:off x="0" y="0"/>
                                <a:ext cx="664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3200" cy="175260"/>
                      <wp:effectExtent l="0" t="0" r="0" b="0"/>
                      <wp:wrapNone/>
                      <wp:docPr id="177" name="Frame177"/>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49275" cy="175260"/>
                      <wp:effectExtent l="0" t="0" r="0" b="0"/>
                      <wp:wrapNone/>
                      <wp:docPr id="178" name="Frame178"/>
                      <a:graphic xmlns:a="http://schemas.openxmlformats.org/drawingml/2006/main">
                        <a:graphicData uri="http://schemas.microsoft.com/office/word/2010/wordprocessingShape">
                          <wps:wsp>
                            <wps:cNvSpPr txBox="1"/>
                            <wps:spPr>
                              <a:xfrm>
                                <a:off x="0" y="0"/>
                                <a:ext cx="5492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3555" cy="175260"/>
                      <wp:effectExtent l="0" t="0" r="0" b="0"/>
                      <wp:wrapNone/>
                      <wp:docPr id="181" name="Frame181"/>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shd w:fill="auto" w:val="clear"/>
            <w:vAlign w:val="center"/>
          </w:tcPr>
          <w:p>
            <w:pPr>
              <w:pStyle w:val="TableContents"/>
              <w:spacing w:before="0" w:after="1"/>
              <w:ind w:left="0" w:right="0" w:hanging="0"/>
              <w:rPr/>
            </w:pPr>
            <w:r>
              <w:rPr/>
              <w:t>​</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6,671</w:t>
            </w:r>
          </w:p>
        </w:tc>
        <w:tc>
          <w:tcPr>
            <w:tcW w:w="109"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6,909</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8,198</w:t>
            </w:r>
          </w:p>
        </w:tc>
        <w:tc>
          <w:tcPr>
            <w:tcW w:w="109" w:type="dxa"/>
            <w:tcBorders/>
            <w:shd w:fill="auto" w:val="clear"/>
            <w:vAlign w:val="center"/>
          </w:tcPr>
          <w:p>
            <w:pPr>
              <w:pStyle w:val="TableContents"/>
              <w:spacing w:before="0" w:after="1"/>
              <w:ind w:left="0" w:right="0" w:hanging="0"/>
              <w:rPr/>
            </w:pPr>
            <w:r>
              <w:rPr/>
              <w:t>​</w:t>
            </w:r>
          </w:p>
        </w:tc>
        <w:tc>
          <w:tcPr>
            <w:tcW w:w="320" w:type="dxa"/>
            <w:tcBorders/>
            <w:shd w:fill="auto" w:val="clear"/>
            <w:vAlign w:val="center"/>
          </w:tcPr>
          <w:p>
            <w:pPr>
              <w:pStyle w:val="TableContents"/>
              <w:spacing w:before="0" w:after="1"/>
              <w:ind w:left="0" w:right="0" w:hanging="0"/>
              <w:rPr/>
            </w:pPr>
            <w:r>
              <w:rPr/>
              <w:t>​</w:t>
            </w:r>
          </w:p>
        </w:tc>
        <w:tc>
          <w:tcPr>
            <w:tcW w:w="86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8,515</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7,423</w:t>
            </w:r>
          </w:p>
        </w:tc>
        <w:tc>
          <w:tcPr>
            <w:tcW w:w="109"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pPr>
            <w:r>
              <w:rPr/>
              <w:t>​</w:t>
            </w:r>
          </w:p>
        </w:tc>
        <w:tc>
          <w:tcPr>
            <w:tcW w:w="8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7,691</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5,929</w:t>
            </w:r>
          </w:p>
        </w:tc>
        <w:tc>
          <w:tcPr>
            <w:tcW w:w="109" w:type="dxa"/>
            <w:tcBorders/>
            <w:shd w:fill="auto" w:val="clear"/>
            <w:vAlign w:val="center"/>
          </w:tcPr>
          <w:p>
            <w:pPr>
              <w:pStyle w:val="TableContents"/>
              <w:spacing w:before="0" w:after="1"/>
              <w:ind w:left="0" w:right="0" w:hanging="0"/>
              <w:rPr/>
            </w:pPr>
            <w:r>
              <w:rPr/>
              <w:t>​</w:t>
            </w:r>
          </w:p>
        </w:tc>
        <w:tc>
          <w:tcPr>
            <w:tcW w:w="320" w:type="dxa"/>
            <w:tcBorders/>
            <w:shd w:fill="auto" w:val="clear"/>
            <w:vAlign w:val="center"/>
          </w:tcPr>
          <w:p>
            <w:pPr>
              <w:pStyle w:val="TableContents"/>
              <w:spacing w:before="0" w:after="1"/>
              <w:ind w:left="0" w:right="0" w:hanging="0"/>
              <w:rPr/>
            </w:pPr>
            <w:r>
              <w:rPr/>
              <w:t>​</w:t>
            </w:r>
          </w:p>
        </w:tc>
        <w:tc>
          <w:tcPr>
            <w:tcW w:w="86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6,137</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4,281</w:t>
            </w:r>
          </w:p>
        </w:tc>
        <w:tc>
          <w:tcPr>
            <w:tcW w:w="109"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pPr>
            <w:r>
              <w:rPr/>
              <w:t>​</w:t>
            </w:r>
          </w:p>
        </w:tc>
        <w:tc>
          <w:tcPr>
            <w:tcW w:w="8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4,473</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12,044</w:t>
            </w:r>
          </w:p>
        </w:tc>
        <w:tc>
          <w:tcPr>
            <w:tcW w:w="109" w:type="dxa"/>
            <w:tcBorders/>
            <w:shd w:fill="auto" w:val="clear"/>
            <w:vAlign w:val="center"/>
          </w:tcPr>
          <w:p>
            <w:pPr>
              <w:pStyle w:val="TableContents"/>
              <w:spacing w:before="0" w:after="1"/>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12,326</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44,546</w:t>
            </w:r>
          </w:p>
        </w:tc>
        <w:tc>
          <w:tcPr>
            <w:tcW w:w="109"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pPr>
            <w:r>
              <w:rPr/>
              <w:t>​</w:t>
            </w:r>
          </w:p>
        </w:tc>
        <w:tc>
          <w:tcPr>
            <w:tcW w:w="86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46,051</w:t>
            </w:r>
          </w:p>
        </w:tc>
      </w:tr>
      <w:tr>
        <w:trPr/>
        <w:tc>
          <w:tcPr>
            <w:tcW w:w="25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Interest</w:t>
            </w:r>
          </w:p>
        </w:tc>
        <w:tc>
          <w:tcPr>
            <w:tcW w:w="326"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(6,557)</w:t>
            </w:r>
          </w:p>
        </w:tc>
        <w:tc>
          <w:tcPr>
            <w:tcW w:w="109" w:type="dxa"/>
            <w:tcBorders/>
            <w:shd w:fill="auto" w:val="clear"/>
            <w:vAlign w:val="center"/>
          </w:tcPr>
          <w:p>
            <w:pPr>
              <w:pStyle w:val="TableContents"/>
              <w:spacing w:before="0" w:after="1"/>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(6,845)</w:t>
            </w:r>
          </w:p>
        </w:tc>
      </w:tr>
      <w:tr>
        <w:trPr/>
        <w:tc>
          <w:tcPr>
            <w:tcW w:w="25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liability</w:t>
            </w:r>
          </w:p>
        </w:tc>
        <w:tc>
          <w:tcPr>
            <w:tcW w:w="326" w:type="dxa"/>
            <w:tcBorders/>
            <w:shd w:fill="CCEEFF" w:val="clear"/>
            <w:vAlign w:val="center"/>
          </w:tcPr>
          <w:p>
            <w:pPr>
              <w:pStyle w:val="TableContents"/>
              <w:spacing w:before="0" w:after="1"/>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37,989</w:t>
            </w:r>
          </w:p>
        </w:tc>
        <w:tc>
          <w:tcPr>
            <w:tcW w:w="109" w:type="dxa"/>
            <w:tcBorders/>
            <w:shd w:fill="CCEEFF" w:val="clear"/>
            <w:vAlign w:val="center"/>
          </w:tcPr>
          <w:p>
            <w:pPr>
              <w:pStyle w:val="TableContents"/>
              <w:spacing w:before="0" w:after="1"/>
              <w:ind w:left="0" w:right="0" w:hanging="0"/>
              <w:rPr/>
            </w:pPr>
            <w:r>
              <w:rPr/>
              <w:t>​</w:t>
            </w:r>
          </w:p>
        </w:tc>
        <w:tc>
          <w:tcPr>
            <w:tcW w:w="3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39,206</w:t>
            </w:r>
          </w:p>
        </w:tc>
      </w:tr>
    </w:tbl>
    <w:p>
      <w:pPr>
        <w:pStyle w:val="TextBody"/>
        <w:spacing w:before="0" w:after="240"/>
        <w:ind w:left="0" w:right="0" w:hanging="0"/>
        <w:rPr>
          <w:highlight w:val="yellow"/>
        </w:rPr>
      </w:pPr>
      <w:r>
        <w:rPr>
          <w:highlight w:val="yellow"/>
        </w:rPr>
        <w:t>​</w:t>
      </w:r>
    </w:p>
    <w:p>
      <w:pPr>
        <w:pStyle w:val="TextBody"/>
        <w:spacing w:before="0" w:after="240"/>
        <w:ind w:left="0" w:right="0" w:firstLine="360"/>
        <w:rPr>
          <w:highlight w:val="yellow"/>
        </w:rPr>
      </w:pPr>
      <w:r>
        <w:rPr>
          <w:highlight w:val="yellow"/>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62" w:name="Tc_CdP6qm3ezUKhdiGP4XMn4A_7_6"/>
      <w:bookmarkStart w:id="863" w:name="Tc_BJdf94naX0eZ7UqMHzxNsw_7_3"/>
      <w:bookmarkStart w:id="864" w:name="Tc_0LUAQNUM-0alIpjZP_vviw_6_0"/>
      <w:bookmarkStart w:id="865" w:name="Tc_fcF7m5xOwEur35henjeWYg_5_0"/>
      <w:bookmarkStart w:id="866" w:name="Tc_lKKFAdpdg06NKbJfLCicww_4_6"/>
      <w:bookmarkStart w:id="867" w:name="Tc_lV40yUGYiUaep2D7Mp1QvQ_4_3"/>
      <w:bookmarkStart w:id="868" w:name="Tc_rTu8b31dokuUNf49DPt_yg_4_0"/>
      <w:bookmarkStart w:id="869" w:name="Tc_qMp_tX84vkWVM0qpwXTpHg_3_6"/>
      <w:bookmarkStart w:id="870" w:name="Tc_yKdBxQ-90UGuAGMpGUcSdw_3_3"/>
      <w:bookmarkStart w:id="871" w:name="Tc_XT47izEU4kC-C9h_IDVe0Q_2_3"/>
      <w:bookmarkStart w:id="872" w:name="_ade3beae_a49c_494f_96bb_7a99869258c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9. NET SALES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Company’s disaggregation of net sales by product line (in thousands):</w:t>
      </w:r>
    </w:p>
    <w:p>
      <w:pPr>
        <w:pStyle w:val="TextBody"/>
        <w:spacing w:before="0" w:after="240"/>
        <w:ind w:left="0" w:right="0" w:firstLine="360"/>
        <w:rPr/>
      </w:pPr>
      <w:r>
        <w:rPr/>
        <w:t>​</w:t>
      </w:r>
    </w:p>
    <w:tbl>
      <w:tblPr>
        <w:tblW w:w="5386" w:type="dxa"/>
        <w:jc w:val="left"/>
        <w:tblInd w:w="0" w:type="dxa"/>
        <w:tblCellMar>
          <w:top w:w="0" w:type="dxa"/>
          <w:left w:w="0" w:type="dxa"/>
          <w:bottom w:w="0" w:type="dxa"/>
          <w:right w:w="0" w:type="dxa"/>
        </w:tblCellMar>
      </w:tblPr>
      <w:tblGrid>
        <w:gridCol w:w="2341"/>
        <w:gridCol w:w="326"/>
        <w:gridCol w:w="109"/>
        <w:gridCol w:w="226"/>
        <w:gridCol w:w="839"/>
        <w:gridCol w:w="326"/>
        <w:gridCol w:w="226"/>
        <w:gridCol w:w="839"/>
        <w:gridCol w:w="154"/>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86535" cy="175260"/>
                      <wp:effectExtent l="0" t="0" r="0" b="0"/>
                      <wp:wrapNone/>
                      <wp:docPr id="182" name="Frame182"/>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43510" cy="175260"/>
                      <wp:effectExtent l="0" t="0" r="0" b="0"/>
                      <wp:wrapNone/>
                      <wp:docPr id="185" name="Frame185"/>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32765" cy="175260"/>
                      <wp:effectExtent l="0" t="0" r="0" b="0"/>
                      <wp:wrapNone/>
                      <wp:docPr id="186" name="Frame186"/>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3510" cy="175260"/>
                      <wp:effectExtent l="0" t="0" r="0" b="0"/>
                      <wp:wrapNone/>
                      <wp:docPr id="188" name="Frame18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32765" cy="175260"/>
                      <wp:effectExtent l="0" t="0" r="0" b="0"/>
                      <wp:wrapNone/>
                      <wp:docPr id="189" name="Frame189"/>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7790" cy="175260"/>
                      <wp:effectExtent l="0" t="0" r="0" b="0"/>
                      <wp:wrapNone/>
                      <wp:docPr id="190" name="Frame19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jc w:val="center"/>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0"/>
              <w:ind w:left="0" w:right="0" w:hanging="0"/>
              <w:jc w:val="center"/>
              <w:rPr/>
            </w:pPr>
            <w:r>
              <w:rPr/>
              <w:t>​</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In-ground Swimming Pools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78,612</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111,803</w:t>
            </w:r>
          </w:p>
        </w:tc>
        <w:tc>
          <w:tcPr>
            <w:tcW w:w="154"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Covers</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32,745</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154" w:type="dxa"/>
            <w:tcBorders/>
            <w:shd w:fill="auto" w:val="clear"/>
            <w:vAlign w:val="center"/>
          </w:tcPr>
          <w:p>
            <w:pPr>
              <w:pStyle w:val="TableContents"/>
              <w:spacing w:before="0" w:after="0"/>
              <w:ind w:left="0" w:right="0" w:hanging="0"/>
              <w:jc w:val="right"/>
              <w:rPr/>
            </w:pPr>
            <w:r>
              <w:rPr/>
              <w:t>​</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Liners</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26,362</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47,286</w:t>
            </w:r>
          </w:p>
        </w:tc>
        <w:tc>
          <w:tcPr>
            <w:tcW w:w="154" w:type="dxa"/>
            <w:tcBorders/>
            <w:shd w:fill="CCEEFF" w:val="clear"/>
            <w:vAlign w:val="center"/>
          </w:tcPr>
          <w:p>
            <w:pPr>
              <w:pStyle w:val="TableContents"/>
              <w:spacing w:before="0" w:after="0"/>
              <w:ind w:left="0" w:right="0" w:hanging="0"/>
              <w:jc w:val="right"/>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137,719</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191,614</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INCOME TAXES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effective income tax rate for the fiscal quarter ended April 1, 2023 was 16.9%, compared to 215.1% for the fiscal quarter ended April 2, 2022. The difference between the U.S. federal statutory income tax rate and the Company’s effective income tax rate for both the fiscal quarters ended April 1, 2023 and April 2, 2022 was primarily attributable to the discrete impact of stock-based compensation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Inflation Reduction Act ("IRA") was passed into law on August 16, 2022. Key provisions from the IRA include the implementation of a 15% corporate alternative minimum tax, an excise tax on stock buybacks, and significant tax incentives for energy and climate initiatives. Enactment of the IRA has not impacted the Company’s financial condition, results of operations, or cash flows for the period ended April 1, 2023 and the Company does not expect a material impact on its future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STOCKHOLDERS’ EQUITY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Offering of 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the Company’s directors and executive officers.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Repurchase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approximately $77.0 million remained available for share repurchases pursuant to the Repurchase Program. The Company did not repurchase any shares of its common stock during the fiscal quarter ended April 1, 2023. The Company accounts for the excess of the repurchase price over the par value of shares acquired as a reduction to additional paid-in capital.</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73" w:name="Tc_jGgXAF15SkSaBQU8P9r9cA_8_4"/>
      <w:bookmarkStart w:id="874" w:name="Tc_kiNs-LuzFkO8VoAdRm4EUQ_8_0"/>
      <w:bookmarkStart w:id="875" w:name="Tc_A48KKKXoOkCGg6vIcBadGg_7_5"/>
      <w:bookmarkStart w:id="876" w:name="Tc_EqbMJ_4nIEWWqD3sV7NNqA_7_2"/>
      <w:bookmarkStart w:id="877" w:name="Tc_gNjrSKTU60OZdfvlqrBk7A_7_0"/>
      <w:bookmarkStart w:id="878" w:name="Tc_UtcRv3EhyU666evXBYAzKQ_6_0"/>
      <w:bookmarkStart w:id="879" w:name="Tc_IEWdQSLC4UuRI0ck0myZCw_5_0"/>
      <w:bookmarkStart w:id="880" w:name="Tc_lJW8_IbqIUCEu9qjhUv7bQ_4_4"/>
      <w:bookmarkStart w:id="881" w:name="Tc_DFub_onHTkCIkeAt5fyejA_4_0"/>
      <w:bookmarkStart w:id="882" w:name="Tc_PPLRsphbwUOpN8g4Wgp3sA_3_4"/>
      <w:bookmarkStart w:id="883" w:name="Tc_GbzyT7ur2UCujcKj5C78aA_3_2"/>
      <w:bookmarkStart w:id="884" w:name="Tc_AtJSvJ_iOEeRRB6h-ysrqg_2_4"/>
      <w:bookmarkStart w:id="885" w:name="Tc_Pryer1bEaUudS16TmdXT5A_1_4"/>
      <w:bookmarkStart w:id="886" w:name="_99138d50_82ad_466a_b926_b1a238ff273a"/>
      <w:bookmarkStart w:id="887" w:name="Tc_r6gWFtt1-UK_ZFhAKnSa0w_6_3"/>
      <w:bookmarkStart w:id="888" w:name="Tc_2qEsIwosbE-4WCr1dqFU5Q_6_0"/>
      <w:bookmarkStart w:id="889" w:name="Tc_fJ25eX2qRkegsoWePX34WQ_5_0"/>
      <w:bookmarkStart w:id="890" w:name="Tc_0vQ40ihAqEmzlaP0FUUXhQ_4_3"/>
      <w:bookmarkStart w:id="891" w:name="Tc_kC4pP5ES9kCvQ6ddl5RMMg_4_0"/>
      <w:bookmarkStart w:id="892" w:name="Tc_iAtZXLlo20eW0sZfkwmTxQ_3_3"/>
      <w:bookmarkStart w:id="893" w:name="Tc_dwVHlrylMk6v6pIY75_Few_3_0"/>
      <w:bookmarkStart w:id="894" w:name="Tc_NksuKS-T9kmwP5KDhDegEw_2_2"/>
      <w:bookmarkStart w:id="895" w:name="_a0392439_e79c_48f4_b4c9_83e71f7a6e1e"/>
      <w:bookmarkStart w:id="896" w:name="Tc_Q66jABZaokiVmMDYS7FOug_6_5"/>
      <w:bookmarkStart w:id="897" w:name="Tc_8liP78IEsky42ssnWl8UCg_6_2"/>
      <w:bookmarkStart w:id="898" w:name="Tc_Qz5eE58mUEqNzuacrFJ88w_5_0"/>
      <w:bookmarkStart w:id="899" w:name="Tc_yGd4UW4hyEirfs7HX0TqQw_4_5"/>
      <w:bookmarkStart w:id="900" w:name="Tc_tdk8rUSerk-AYhy9OCQ2UQ_4_2"/>
      <w:bookmarkStart w:id="901" w:name="Tc_A6aqJCVQe0ac-yfyoL5jlw_4_0"/>
      <w:bookmarkStart w:id="902" w:name="Tc_Vfw5WmhNzUuCk_ky5nKLcg_3_5"/>
      <w:bookmarkStart w:id="903" w:name="Tc_sgqXSp3__kC1FMpQZN1u7g_3_2"/>
      <w:bookmarkStart w:id="904" w:name="Tc_3FH1-tJYc0CfTsc790-ovA_2_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b/>
          <w:sz w:val="20"/>
        </w:rPr>
        <w:t>12. STOCK-BASED COMPENSATION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April 12, 2021, the Company’s stockholders approved the 2021 Omnibus Incentive Plan (the “Omnibus Incentive Plan”), which became effective on April 22, 2021, upon pricing of its initial public offering.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is $750,000.</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summarizes the Company’s stock-based compensation expense:</w:t>
      </w:r>
    </w:p>
    <w:p>
      <w:pPr>
        <w:pStyle w:val="TextBody"/>
        <w:spacing w:before="0" w:after="0"/>
        <w:ind w:left="0" w:right="0" w:hanging="0"/>
        <w:rPr/>
      </w:pPr>
      <w:r>
        <w:rPr/>
        <w:t>​</w:t>
      </w:r>
    </w:p>
    <w:tbl>
      <w:tblPr>
        <w:tblW w:w="5829" w:type="dxa"/>
        <w:jc w:val="left"/>
        <w:tblInd w:w="0" w:type="dxa"/>
        <w:tblCellMar>
          <w:top w:w="0" w:type="dxa"/>
          <w:left w:w="0" w:type="dxa"/>
          <w:bottom w:w="0" w:type="dxa"/>
          <w:right w:w="0" w:type="dxa"/>
        </w:tblCellMar>
      </w:tblPr>
      <w:tblGrid>
        <w:gridCol w:w="3001"/>
        <w:gridCol w:w="109"/>
        <w:gridCol w:w="287"/>
        <w:gridCol w:w="778"/>
        <w:gridCol w:w="326"/>
        <w:gridCol w:w="253"/>
        <w:gridCol w:w="812"/>
        <w:gridCol w:w="109"/>
        <w:gridCol w:w="154"/>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05635" cy="175260"/>
                      <wp:effectExtent l="0" t="0" r="0" b="0"/>
                      <wp:wrapNone/>
                      <wp:docPr id="191" name="Frame191"/>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2245" cy="175260"/>
                      <wp:effectExtent l="0" t="0" r="0" b="0"/>
                      <wp:wrapNone/>
                      <wp:docPr id="193" name="Frame193"/>
                      <a:graphic xmlns:a="http://schemas.openxmlformats.org/drawingml/2006/main">
                        <a:graphicData uri="http://schemas.microsoft.com/office/word/2010/wordprocessingShape">
                          <wps:wsp>
                            <wps:cNvSpPr txBox="1"/>
                            <wps:spPr>
                              <a:xfrm>
                                <a:off x="0" y="0"/>
                                <a:ext cx="182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4030" cy="175260"/>
                      <wp:effectExtent l="0" t="0" r="0" b="0"/>
                      <wp:wrapNone/>
                      <wp:docPr id="194" name="Frame194"/>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60655" cy="175260"/>
                      <wp:effectExtent l="0" t="0" r="0" b="0"/>
                      <wp:wrapNone/>
                      <wp:docPr id="196" name="Frame196"/>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15620" cy="175260"/>
                      <wp:effectExtent l="0" t="0" r="0" b="0"/>
                      <wp:wrapNone/>
                      <wp:docPr id="197" name="Frame197"/>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7790" cy="175260"/>
                      <wp:effectExtent l="0" t="0" r="0" b="0"/>
                      <wp:wrapNone/>
                      <wp:docPr id="199" name="Frame19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87"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3" w:type="dxa"/>
            <w:tcBorders/>
            <w:shd w:fill="auto" w:val="clear"/>
            <w:vAlign w:val="center"/>
          </w:tcPr>
          <w:p>
            <w:pPr>
              <w:pStyle w:val="TableContents"/>
              <w:spacing w:before="0" w:after="1"/>
              <w:ind w:left="0" w:right="0" w:hanging="0"/>
              <w:rPr/>
            </w:pPr>
            <w:r>
              <w:rPr/>
              <w:t>​</w:t>
            </w:r>
          </w:p>
        </w:tc>
        <w:tc>
          <w:tcPr>
            <w:tcW w:w="81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0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09"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0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09"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spacing w:before="0" w:after="1"/>
              <w:ind w:left="0" w:right="0" w:hanging="0"/>
              <w:rPr/>
            </w:pPr>
            <w:r>
              <w:rPr/>
              <w:t>​</w:t>
            </w:r>
          </w:p>
        </w:tc>
        <w:tc>
          <w:tcPr>
            <w:tcW w:w="28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spacing w:before="0" w:after="1"/>
              <w:ind w:left="0" w:right="0" w:hanging="0"/>
              <w:rPr/>
            </w:pPr>
            <w:r>
              <w:rPr/>
              <w:t>​</w:t>
            </w:r>
          </w:p>
        </w:tc>
        <w:tc>
          <w:tcPr>
            <w:tcW w:w="25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109" w:type="dxa"/>
            <w:tcBorders/>
            <w:shd w:fill="CCEEFF" w:val="clear"/>
            <w:vAlign w:val="center"/>
          </w:tcPr>
          <w:p>
            <w:pPr>
              <w:pStyle w:val="TableContents"/>
              <w:spacing w:before="0" w:after="1"/>
              <w:ind w:left="0" w:right="0" w:hanging="0"/>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auto" w:val="clear"/>
            <w:vAlign w:val="center"/>
          </w:tcPr>
          <w:p>
            <w:pPr>
              <w:pStyle w:val="TableContents"/>
              <w:spacing w:before="0" w:after="1"/>
              <w:ind w:left="0" w:right="0" w:hanging="0"/>
              <w:rPr/>
            </w:pPr>
            <w:r>
              <w:rPr/>
              <w:t>​</w:t>
            </w:r>
          </w:p>
        </w:tc>
        <w:tc>
          <w:tcPr>
            <w:tcW w:w="28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6,343</w:t>
            </w:r>
          </w:p>
        </w:tc>
        <w:tc>
          <w:tcPr>
            <w:tcW w:w="326" w:type="dxa"/>
            <w:tcBorders/>
            <w:shd w:fill="auto" w:val="clear"/>
            <w:vAlign w:val="center"/>
          </w:tcPr>
          <w:p>
            <w:pPr>
              <w:pStyle w:val="TableContents"/>
              <w:spacing w:before="0" w:after="1"/>
              <w:ind w:left="0" w:right="0" w:hanging="0"/>
              <w:rPr/>
            </w:pPr>
            <w:r>
              <w:rPr/>
              <w:t>​</w:t>
            </w:r>
          </w:p>
        </w:tc>
        <w:tc>
          <w:tcPr>
            <w:tcW w:w="25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15,749</w:t>
            </w:r>
          </w:p>
        </w:tc>
        <w:tc>
          <w:tcPr>
            <w:tcW w:w="109"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00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8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6,769</w:t>
            </w:r>
          </w:p>
        </w:tc>
        <w:tc>
          <w:tcPr>
            <w:tcW w:w="326" w:type="dxa"/>
            <w:tcBorders/>
            <w:shd w:fill="CCEEFF" w:val="clear"/>
            <w:vAlign w:val="center"/>
          </w:tcPr>
          <w:p>
            <w:pPr>
              <w:pStyle w:val="TableContents"/>
              <w:spacing w:before="0" w:after="1"/>
              <w:ind w:left="0" w:right="0" w:hanging="0"/>
              <w:rPr/>
            </w:pPr>
            <w:r>
              <w:rPr/>
              <w:t>​</w:t>
            </w:r>
          </w:p>
        </w:tc>
        <w:tc>
          <w:tcPr>
            <w:tcW w:w="25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c>
          <w:tcPr>
            <w:tcW w:w="109" w:type="dxa"/>
            <w:tcBorders/>
            <w:shd w:fill="CCEEFF" w:val="clear"/>
            <w:vAlign w:val="center"/>
          </w:tcPr>
          <w:p>
            <w:pPr>
              <w:pStyle w:val="TableContents"/>
              <w:spacing w:before="0" w:after="1"/>
              <w:ind w:left="0" w:right="0" w:hanging="0"/>
              <w:rPr/>
            </w:pPr>
            <w:r>
              <w:rPr/>
              <w:t>​</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As of April 1, 2023, total unrecognized stock-based compensation expense related to all unvested stock-based awards was $21.1 million, which is expected to be recognized over a weighted-average period of 1.44 years.</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sets forth the significant assumptions used in the Black-Scholes option-pricing model on a weighted-average basis to determine the fair value of stock option awards granted:</w:t>
      </w:r>
    </w:p>
    <w:p>
      <w:pPr>
        <w:pStyle w:val="TextBody"/>
        <w:spacing w:before="0" w:after="240"/>
        <w:ind w:left="0" w:right="0" w:firstLine="360"/>
        <w:rPr/>
      </w:pPr>
      <w:r>
        <w:rPr/>
        <w:t>​</w:t>
      </w:r>
    </w:p>
    <w:tbl>
      <w:tblPr>
        <w:tblW w:w="3567" w:type="dxa"/>
        <w:jc w:val="left"/>
        <w:tblInd w:w="0" w:type="dxa"/>
        <w:tblCellMar>
          <w:top w:w="0" w:type="dxa"/>
          <w:left w:w="0" w:type="dxa"/>
          <w:bottom w:w="0" w:type="dxa"/>
          <w:right w:w="0" w:type="dxa"/>
        </w:tblCellMar>
      </w:tblPr>
      <w:tblGrid>
        <w:gridCol w:w="2131"/>
        <w:gridCol w:w="326"/>
        <w:gridCol w:w="715"/>
        <w:gridCol w:w="395"/>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53185" cy="175260"/>
                      <wp:effectExtent l="0" t="0" r="0" b="0"/>
                      <wp:wrapNone/>
                      <wp:docPr id="200" name="Frame200"/>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4025" cy="175260"/>
                      <wp:effectExtent l="0" t="0" r="0" b="0"/>
                      <wp:wrapNone/>
                      <wp:docPr id="202" name="Frame202"/>
                      <a:graphic xmlns:a="http://schemas.openxmlformats.org/drawingml/2006/main">
                        <a:graphicData uri="http://schemas.microsoft.com/office/word/2010/wordprocessingShape">
                          <wps:wsp>
                            <wps:cNvSpPr txBox="1"/>
                            <wps:spPr>
                              <a:xfrm>
                                <a:off x="0" y="0"/>
                                <a:ext cx="454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0825" cy="175260"/>
                      <wp:effectExtent l="0" t="0" r="0" b="0"/>
                      <wp:wrapNone/>
                      <wp:docPr id="203" name="Frame203"/>
                      <a:graphic xmlns:a="http://schemas.openxmlformats.org/drawingml/2006/main">
                        <a:graphicData uri="http://schemas.microsoft.com/office/word/2010/wordprocessingShape">
                          <wps:wsp>
                            <wps:cNvSpPr txBox="1"/>
                            <wps:spPr>
                              <a:xfrm>
                                <a:off x="0" y="0"/>
                                <a:ext cx="250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715"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395"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2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1"/>
              <w:ind w:left="0" w:right="0" w:hanging="0"/>
              <w:jc w:val="right"/>
              <w:rPr/>
            </w:pPr>
            <w:r>
              <w:rPr/>
              <w:t>​</w:t>
            </w:r>
          </w:p>
        </w:tc>
        <w:tc>
          <w:tcPr>
            <w:tcW w:w="7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1"/>
              <w:ind w:left="0" w:right="0" w:hanging="0"/>
              <w:jc w:val="right"/>
              <w:rPr/>
            </w:pPr>
            <w:r>
              <w:rPr/>
              <w:t>​</w:t>
            </w:r>
          </w:p>
        </w:tc>
        <w:tc>
          <w:tcPr>
            <w:tcW w:w="7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39.80</w:t>
            </w:r>
          </w:p>
        </w:tc>
        <w:tc>
          <w:tcPr>
            <w:tcW w:w="3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1"/>
              <w:ind w:left="0" w:right="0" w:hanging="0"/>
              <w:jc w:val="right"/>
              <w:rPr/>
            </w:pPr>
            <w:r>
              <w:rPr/>
              <w:t>​</w:t>
            </w:r>
          </w:p>
        </w:tc>
        <w:tc>
          <w:tcPr>
            <w:tcW w:w="71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95" w:type="dxa"/>
            <w:tcBorders/>
            <w:shd w:fill="CCEEFF" w:val="clear"/>
            <w:vAlign w:val="center"/>
          </w:tcPr>
          <w:p>
            <w:pPr>
              <w:pStyle w:val="TableContents"/>
              <w:spacing w:before="0" w:after="1"/>
              <w:ind w:left="0" w:right="0" w:hanging="0"/>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1"/>
              <w:ind w:left="0" w:right="0" w:hanging="0"/>
              <w:jc w:val="right"/>
              <w:rPr/>
            </w:pPr>
            <w:r>
              <w:rPr/>
              <w:t>​</w:t>
            </w:r>
          </w:p>
        </w:tc>
        <w:tc>
          <w:tcPr>
            <w:tcW w:w="71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stock options were granted under this plan during the fiscal quarter ended April 1, 2023.</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Restricted Stock Awards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restricted stock awards activity during the fiscal quarter ended April 1, 2023:</w:t>
      </w:r>
    </w:p>
    <w:p>
      <w:pPr>
        <w:pStyle w:val="TextBody"/>
        <w:spacing w:before="0" w:after="240"/>
        <w:ind w:left="0" w:right="0" w:firstLine="360"/>
        <w:rPr/>
      </w:pPr>
      <w:r>
        <w:rPr/>
        <w:t>​</w:t>
      </w:r>
    </w:p>
    <w:tbl>
      <w:tblPr>
        <w:tblW w:w="5560" w:type="dxa"/>
        <w:jc w:val="left"/>
        <w:tblInd w:w="0" w:type="dxa"/>
        <w:tblCellMar>
          <w:top w:w="0" w:type="dxa"/>
          <w:left w:w="0" w:type="dxa"/>
          <w:bottom w:w="0" w:type="dxa"/>
          <w:right w:w="0" w:type="dxa"/>
        </w:tblCellMar>
      </w:tblPr>
      <w:tblGrid>
        <w:gridCol w:w="2656"/>
        <w:gridCol w:w="326"/>
        <w:gridCol w:w="931"/>
        <w:gridCol w:w="326"/>
        <w:gridCol w:w="309"/>
        <w:gridCol w:w="1012"/>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86560" cy="175260"/>
                      <wp:effectExtent l="0" t="0" r="0" b="0"/>
                      <wp:wrapNone/>
                      <wp:docPr id="204" name="Frame204"/>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91185" cy="175260"/>
                      <wp:effectExtent l="0" t="0" r="0" b="0"/>
                      <wp:wrapNone/>
                      <wp:docPr id="206" name="Frame20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6215" cy="175260"/>
                      <wp:effectExtent l="0" t="0" r="0" b="0"/>
                      <wp:wrapNone/>
                      <wp:docPr id="208" name="Frame208"/>
                      <a:graphic xmlns:a="http://schemas.openxmlformats.org/drawingml/2006/main">
                        <a:graphicData uri="http://schemas.microsoft.com/office/word/2010/wordprocessingShape">
                          <wps:wsp>
                            <wps:cNvSpPr txBox="1"/>
                            <wps:spPr>
                              <a:xfrm>
                                <a:off x="0" y="0"/>
                                <a:ext cx="196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2620" cy="175260"/>
                      <wp:effectExtent l="0" t="0" r="0" b="0"/>
                      <wp:wrapNone/>
                      <wp:docPr id="209" name="Frame209"/>
                      <a:graphic xmlns:a="http://schemas.openxmlformats.org/drawingml/2006/main">
                        <a:graphicData uri="http://schemas.microsoft.com/office/word/2010/wordprocessingShape">
                          <wps:wsp>
                            <wps:cNvSpPr txBox="1"/>
                            <wps:spPr>
                              <a:xfrm>
                                <a:off x="0" y="0"/>
                                <a:ext cx="642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2,576,219</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309" w:type="dxa"/>
            <w:tcBorders/>
            <w:shd w:fill="auto" w:val="clear"/>
            <w:vAlign w:val="center"/>
          </w:tcPr>
          <w:p>
            <w:pPr>
              <w:pStyle w:val="TableContents"/>
              <w:spacing w:before="0" w:after="1"/>
              <w:ind w:left="0" w:right="0" w:hanging="0"/>
              <w:rPr/>
            </w:pPr>
            <w:r>
              <w:rPr/>
              <w:t> </w:t>
            </w:r>
          </w:p>
        </w:tc>
        <w:tc>
          <w:tcPr>
            <w:tcW w:w="1012"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309" w:type="dxa"/>
            <w:tcBorders/>
            <w:shd w:fill="CCEEFF" w:val="clear"/>
            <w:vAlign w:val="center"/>
          </w:tcPr>
          <w:p>
            <w:pPr>
              <w:pStyle w:val="TableContents"/>
              <w:spacing w:before="0" w:after="1"/>
              <w:ind w:left="0" w:right="0" w:hanging="0"/>
              <w:rPr/>
            </w:pPr>
            <w:r>
              <w:rPr/>
              <w:t> </w:t>
            </w:r>
          </w:p>
        </w:tc>
        <w:tc>
          <w:tcPr>
            <w:tcW w:w="1012"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12"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1, 2023</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2,576,219</w:t>
            </w:r>
          </w:p>
        </w:tc>
        <w:tc>
          <w:tcPr>
            <w:tcW w:w="326" w:type="dxa"/>
            <w:tcBorders/>
            <w:shd w:fill="CCEEFF" w:val="clear"/>
            <w:vAlign w:val="center"/>
          </w:tcPr>
          <w:p>
            <w:pPr>
              <w:pStyle w:val="TableContents"/>
              <w:spacing w:before="0" w:after="1"/>
              <w:ind w:left="0" w:right="0" w:hanging="0"/>
              <w:rPr/>
            </w:pPr>
            <w:r>
              <w:rPr/>
              <w:t>​</w:t>
            </w:r>
          </w:p>
        </w:tc>
        <w:tc>
          <w:tcPr>
            <w:tcW w:w="30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19.00</w:t>
            </w:r>
          </w:p>
        </w:tc>
      </w:tr>
    </w:tbl>
    <w:p>
      <w:pPr>
        <w:pStyle w:val="TextBody"/>
        <w:spacing w:before="0" w:after="240"/>
        <w:ind w:left="0" w:right="0" w:firstLine="36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bookmarkStart w:id="905" w:name="Tc_INI2ypIZlkSX4qYrFaDz5w_12_9"/>
      <w:bookmarkStart w:id="906" w:name="Tc_alr8PAqY6ESmf36NdEY3-w_12_4"/>
      <w:bookmarkStart w:id="907" w:name="Tc_VpXKrxvNUkKJK9aRhi_LIg_12_0"/>
      <w:bookmarkStart w:id="908" w:name="Tc_c9cEYhCmKEW1Rn1bIp2IOA_11_10"/>
      <w:bookmarkStart w:id="909" w:name="Tc_83RcL1Sq0Ue1lcA24FTAIA_11_9"/>
      <w:bookmarkStart w:id="910" w:name="Tc_I7cVqiaryEW0Vp0u-No4FQ_11_4"/>
      <w:bookmarkStart w:id="911" w:name="Tc_C6JuZ_U94kqjaI5nVarhEw_11_0"/>
      <w:bookmarkStart w:id="912" w:name="Tc__81E7y7qQUKOUasMQU8sUQ_10_10"/>
      <w:bookmarkStart w:id="913" w:name="Tc_NbTQns_kFkehkGom7X_V-w_10_9"/>
      <w:bookmarkStart w:id="914" w:name="Tc_evyHNLQGdEuOM9NTUqQ-Fg_10_4"/>
      <w:bookmarkStart w:id="915" w:name="Tc_wcPOSLMypEu2O_32KX3NrQ_10_0"/>
      <w:bookmarkStart w:id="916" w:name="Tc_HKY6hgAxN06KF1gdnEOUrg_9_0"/>
      <w:bookmarkStart w:id="917" w:name="Tc_-uoYU7B9m0mfp4FxIgEzrQ_8_5"/>
      <w:bookmarkStart w:id="918" w:name="Tc_zcl0E7Soyk2MX-dmy7P97w_8_2"/>
      <w:bookmarkStart w:id="919" w:name="Tc_hGYYLDQcNU6YOwFOzdvElg_8_0"/>
      <w:bookmarkStart w:id="920" w:name="Tc_oT2WfJqa0k6qyiqy9pQL-Q_7_5"/>
      <w:bookmarkStart w:id="921" w:name="Tc_2V7V_OiNdEiRGYUeLJ3ZVg_7_2"/>
      <w:bookmarkStart w:id="922" w:name="Tc_u1iO_NCsKEaIUWoMfHu8eg_7_0"/>
      <w:bookmarkStart w:id="923" w:name="Tc_Cty-DFo4K06VAxDXfyRLcA_6_4"/>
      <w:bookmarkStart w:id="924" w:name="Tc_qzdBcZSQ60-vI-pQ_W8Qfw_6_0"/>
      <w:bookmarkStart w:id="925" w:name="Tc_0leLSZDZXka8dfZWiYW8lA_5_9"/>
      <w:bookmarkStart w:id="926" w:name="Tc_dknoK2H-1keOSQiXJ33QxA_5_7"/>
      <w:bookmarkStart w:id="927" w:name="Tc_fiyot1rosEilc1WkH2O2pg_4_9"/>
      <w:bookmarkStart w:id="928" w:name="Tc_FUdoIvUFmkiM0U9wJ2Unxw_4_7"/>
      <w:bookmarkStart w:id="929" w:name="Tc_lO9FOJdbO0i4jYjU0mlmIA_4_4"/>
      <w:bookmarkStart w:id="930" w:name="Tc_IQImcY8ebkucZKwDkRCg3g_4_2"/>
      <w:bookmarkStart w:id="931" w:name="Tc_FQ6B2fdU3kWxtUYen1QHPw_3_9"/>
      <w:bookmarkStart w:id="932" w:name="Tc_PHObRI40xE29zFw9wUJMLA_3_7"/>
      <w:bookmarkStart w:id="933" w:name="Tc_d_H_6UGAQUCv1e3moN22ew_3_4"/>
      <w:bookmarkStart w:id="934" w:name="Tc_9eiPTaAJ-0quNsxDUQRm-A_2_7"/>
      <w:bookmarkStart w:id="935" w:name="Tc_1Mk8A_WsL0eocPKc6p5IMQ_2_5"/>
      <w:bookmarkStart w:id="936" w:name="Tc_AoVKpBB71UejkWowq_g_9A_1_7"/>
      <w:bookmarkStart w:id="937" w:name="Tc_d9TZtIwVDUS8Mttp2K62mA_1_5"/>
      <w:bookmarkStart w:id="938" w:name="_8305e173_5336_402d_9460_9896424ee2ee"/>
      <w:bookmarkStart w:id="939" w:name="Tc_Zsg4lF6yZUyoHeab7cUl8g_8_4"/>
      <w:bookmarkStart w:id="940" w:name="Tc_nj86mwJiIEOUL4HVU8ytHg_8_0"/>
      <w:bookmarkStart w:id="941" w:name="Tc_e9dmq5qRuEmzG3p13m6zVw_7_0"/>
      <w:bookmarkStart w:id="942" w:name="Tc_ogJuuycJ10yXwFr6jWgz0g_6_0"/>
      <w:bookmarkStart w:id="943" w:name="Tc_VXt4qxo3XEW_s7Nc5hIniQ_5_0"/>
      <w:bookmarkStart w:id="944" w:name="Tc_EwFl90NIDk2zRuCIOfaeQA_4_4"/>
      <w:bookmarkStart w:id="945" w:name="Tc_ExbzEx8Jg0-FyOgufhruSQ_4_0"/>
      <w:bookmarkStart w:id="946" w:name="Tc_vrqKqruyyUSrtmtw6gRWyA_3_4"/>
      <w:bookmarkStart w:id="947" w:name="Tc_Z_2A7ZjUnE-MQB7aDrbPxA_3_2"/>
      <w:bookmarkStart w:id="948" w:name="Tc_iS1HFAlxuEyXtbr3XPjEmQ_2_4"/>
      <w:bookmarkStart w:id="949" w:name="Tc_t18m9wrmfU225wsD8OZnCA_1_4"/>
      <w:bookmarkStart w:id="950" w:name="_4b0d2638_3068_4f4e_9b45_b62cce3d4cb0"/>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Fonts w:ascii="Times New Roman;Times;serif" w:hAnsi="Times New Roman;Times;serif"/>
          <w:b/>
          <w:i/>
          <w:sz w:val="20"/>
        </w:rPr>
        <w:t>Restricted Stock Units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restricted stock units activity during the fiscal quarter ended April 1, 2023:</w:t>
      </w:r>
    </w:p>
    <w:p>
      <w:pPr>
        <w:pStyle w:val="TextBody"/>
        <w:spacing w:before="0" w:after="240"/>
        <w:ind w:left="0" w:right="0" w:firstLine="360"/>
        <w:rPr/>
      </w:pPr>
      <w:r>
        <w:rPr/>
        <w:t>​</w:t>
      </w:r>
    </w:p>
    <w:tbl>
      <w:tblPr>
        <w:tblW w:w="5560" w:type="dxa"/>
        <w:jc w:val="left"/>
        <w:tblInd w:w="0" w:type="dxa"/>
        <w:tblCellMar>
          <w:top w:w="0" w:type="dxa"/>
          <w:left w:w="0" w:type="dxa"/>
          <w:bottom w:w="0" w:type="dxa"/>
          <w:right w:w="0" w:type="dxa"/>
        </w:tblCellMar>
      </w:tblPr>
      <w:tblGrid>
        <w:gridCol w:w="2656"/>
        <w:gridCol w:w="326"/>
        <w:gridCol w:w="931"/>
        <w:gridCol w:w="326"/>
        <w:gridCol w:w="335"/>
        <w:gridCol w:w="986"/>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86560" cy="175260"/>
                      <wp:effectExtent l="0" t="0" r="0" b="0"/>
                      <wp:wrapNone/>
                      <wp:docPr id="210" name="Frame210"/>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1185" cy="175260"/>
                      <wp:effectExtent l="0" t="0" r="0" b="0"/>
                      <wp:wrapNone/>
                      <wp:docPr id="212" name="Frame21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2725" cy="175260"/>
                      <wp:effectExtent l="0" t="0" r="0" b="0"/>
                      <wp:wrapNone/>
                      <wp:docPr id="214" name="Frame214"/>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26110" cy="175260"/>
                      <wp:effectExtent l="0" t="0" r="0" b="0"/>
                      <wp:wrapNone/>
                      <wp:docPr id="215" name="Frame215"/>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6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617,941</w:t>
            </w:r>
          </w:p>
        </w:tc>
        <w:tc>
          <w:tcPr>
            <w:tcW w:w="326"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1,781,928</w:t>
            </w:r>
          </w:p>
        </w:tc>
        <w:tc>
          <w:tcPr>
            <w:tcW w:w="326" w:type="dxa"/>
            <w:tcBorders/>
            <w:shd w:fill="auto" w:val="clear"/>
            <w:vAlign w:val="center"/>
          </w:tcPr>
          <w:p>
            <w:pPr>
              <w:pStyle w:val="TableContents"/>
              <w:spacing w:before="0" w:after="1"/>
              <w:ind w:left="0" w:right="0" w:hanging="0"/>
              <w:rPr/>
            </w:pPr>
            <w:r>
              <w:rPr/>
              <w:t>​</w:t>
            </w:r>
          </w:p>
        </w:tc>
        <w:tc>
          <w:tcPr>
            <w:tcW w:w="335" w:type="dxa"/>
            <w:tcBorders/>
            <w:shd w:fill="auto" w:val="clear"/>
            <w:vAlign w:val="center"/>
          </w:tcPr>
          <w:p>
            <w:pPr>
              <w:pStyle w:val="TableContents"/>
              <w:spacing w:before="0" w:after="1"/>
              <w:ind w:left="0" w:right="0" w:hanging="0"/>
              <w:rPr/>
            </w:pPr>
            <w:r>
              <w:rPr/>
              <w:t> </w:t>
            </w:r>
          </w:p>
        </w:tc>
        <w:tc>
          <w:tcPr>
            <w:tcW w:w="9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(22,078)</w:t>
            </w:r>
          </w:p>
        </w:tc>
        <w:tc>
          <w:tcPr>
            <w:tcW w:w="326" w:type="dxa"/>
            <w:tcBorders/>
            <w:shd w:fill="CCEEFF" w:val="clear"/>
            <w:vAlign w:val="center"/>
          </w:tcPr>
          <w:p>
            <w:pPr>
              <w:pStyle w:val="TableContents"/>
              <w:spacing w:before="0" w:after="1"/>
              <w:ind w:left="0" w:right="0" w:hanging="0"/>
              <w:rPr/>
            </w:pPr>
            <w:r>
              <w:rPr/>
              <w:t>​</w:t>
            </w:r>
          </w:p>
        </w:tc>
        <w:tc>
          <w:tcPr>
            <w:tcW w:w="335" w:type="dxa"/>
            <w:tcBorders/>
            <w:shd w:fill="CCEEFF" w:val="clear"/>
            <w:vAlign w:val="center"/>
          </w:tcPr>
          <w:p>
            <w:pPr>
              <w:pStyle w:val="TableContents"/>
              <w:spacing w:before="0" w:after="1"/>
              <w:ind w:left="0" w:right="0" w:hanging="0"/>
              <w:rPr/>
            </w:pPr>
            <w:r>
              <w:rPr/>
              <w:t> </w:t>
            </w:r>
          </w:p>
        </w:tc>
        <w:tc>
          <w:tcPr>
            <w:tcW w:w="9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(56,635)</w:t>
            </w:r>
          </w:p>
        </w:tc>
        <w:tc>
          <w:tcPr>
            <w:tcW w:w="326" w:type="dxa"/>
            <w:tcBorders/>
            <w:shd w:fill="auto" w:val="clear"/>
            <w:vAlign w:val="center"/>
          </w:tcPr>
          <w:p>
            <w:pPr>
              <w:pStyle w:val="TableContents"/>
              <w:spacing w:before="0" w:after="1"/>
              <w:ind w:left="0" w:right="0" w:hanging="0"/>
              <w:rPr/>
            </w:pPr>
            <w:r>
              <w:rPr/>
              <w:t>​</w:t>
            </w:r>
          </w:p>
        </w:tc>
        <w:tc>
          <w:tcPr>
            <w:tcW w:w="33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1, 2023</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2,321,156</w:t>
            </w:r>
          </w:p>
        </w:tc>
        <w:tc>
          <w:tcPr>
            <w:tcW w:w="326" w:type="dxa"/>
            <w:tcBorders/>
            <w:shd w:fill="CCEEFF" w:val="clear"/>
            <w:vAlign w:val="center"/>
          </w:tcPr>
          <w:p>
            <w:pPr>
              <w:pStyle w:val="TableContents"/>
              <w:spacing w:before="0" w:after="1"/>
              <w:ind w:left="0" w:right="0" w:hanging="0"/>
              <w:rPr/>
            </w:pPr>
            <w:r>
              <w:rPr/>
              <w:t>​</w:t>
            </w:r>
          </w:p>
        </w:tc>
        <w:tc>
          <w:tcPr>
            <w:tcW w:w="33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4.41</w:t>
            </w:r>
          </w:p>
        </w:tc>
      </w:tr>
    </w:tbl>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Stock Options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represents the Company’s stock option activity during the fiscal quarter ended April 1, 2023:</w:t>
      </w:r>
    </w:p>
    <w:p>
      <w:pPr>
        <w:pStyle w:val="TextBody"/>
        <w:spacing w:before="0" w:after="240"/>
        <w:ind w:left="0" w:right="0" w:firstLine="360"/>
        <w:rPr/>
      </w:pPr>
      <w:r>
        <w:rPr/>
        <w:t>​</w:t>
      </w:r>
    </w:p>
    <w:tbl>
      <w:tblPr>
        <w:tblW w:w="9484" w:type="dxa"/>
        <w:jc w:val="left"/>
        <w:tblInd w:w="0" w:type="dxa"/>
        <w:tblCellMar>
          <w:top w:w="0" w:type="dxa"/>
          <w:left w:w="0" w:type="dxa"/>
          <w:bottom w:w="0" w:type="dxa"/>
          <w:right w:w="0" w:type="dxa"/>
        </w:tblCellMar>
      </w:tblPr>
      <w:tblGrid>
        <w:gridCol w:w="3706"/>
        <w:gridCol w:w="326"/>
        <w:gridCol w:w="931"/>
        <w:gridCol w:w="326"/>
        <w:gridCol w:w="235"/>
        <w:gridCol w:w="891"/>
        <w:gridCol w:w="326"/>
        <w:gridCol w:w="1201"/>
        <w:gridCol w:w="326"/>
        <w:gridCol w:w="379"/>
        <w:gridCol w:w="837"/>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53310" cy="175260"/>
                      <wp:effectExtent l="0" t="0" r="0" b="0"/>
                      <wp:wrapNone/>
                      <wp:docPr id="216" name="Frame216"/>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91185" cy="175260"/>
                      <wp:effectExtent l="0" t="0" r="0" b="0"/>
                      <wp:wrapNone/>
                      <wp:docPr id="218" name="Frame21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9225" cy="175260"/>
                      <wp:effectExtent l="0" t="0" r="0" b="0"/>
                      <wp:wrapNone/>
                      <wp:docPr id="220" name="Frame220"/>
                      <a:graphic xmlns:a="http://schemas.openxmlformats.org/drawingml/2006/main">
                        <a:graphicData uri="http://schemas.microsoft.com/office/word/2010/wordprocessingShape">
                          <wps:wsp>
                            <wps:cNvSpPr txBox="1"/>
                            <wps:spPr>
                              <a:xfrm>
                                <a:off x="0" y="0"/>
                                <a:ext cx="149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65785" cy="175260"/>
                      <wp:effectExtent l="0" t="0" r="0" b="0"/>
                      <wp:wrapNone/>
                      <wp:docPr id="221" name="Frame221"/>
                      <a:graphic xmlns:a="http://schemas.openxmlformats.org/drawingml/2006/main">
                        <a:graphicData uri="http://schemas.microsoft.com/office/word/2010/wordprocessingShape">
                          <wps:wsp>
                            <wps:cNvSpPr txBox="1"/>
                            <wps:spPr>
                              <a:xfrm>
                                <a:off x="0" y="0"/>
                                <a:ext cx="565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62635" cy="175260"/>
                      <wp:effectExtent l="0" t="0" r="0" b="0"/>
                      <wp:wrapNone/>
                      <wp:docPr id="223" name="Frame223"/>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0665" cy="175260"/>
                      <wp:effectExtent l="0" t="0" r="0" b="0"/>
                      <wp:wrapNone/>
                      <wp:docPr id="225" name="Frame225"/>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31495" cy="175260"/>
                      <wp:effectExtent l="0" t="0" r="0" b="0"/>
                      <wp:wrapNone/>
                      <wp:docPr id="226" name="Frame226"/>
                      <a:graphic xmlns:a="http://schemas.openxmlformats.org/drawingml/2006/main">
                        <a:graphicData uri="http://schemas.microsoft.com/office/word/2010/wordprocessingShape">
                          <wps:wsp>
                            <wps:cNvSpPr txBox="1"/>
                            <wps:spPr>
                              <a:xfrm>
                                <a:off x="0" y="0"/>
                                <a:ext cx="531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235" w:type="dxa"/>
            <w:tcBorders/>
            <w:shd w:fill="auto" w:val="clear"/>
            <w:vAlign w:val="center"/>
          </w:tcPr>
          <w:p>
            <w:pPr>
              <w:pStyle w:val="TableContents"/>
              <w:spacing w:before="0" w:after="1"/>
              <w:ind w:left="0" w:right="0" w:hanging="0"/>
              <w:jc w:val="center"/>
              <w:rPr/>
            </w:pPr>
            <w:r>
              <w:rPr/>
              <w:t>​</w:t>
            </w:r>
          </w:p>
        </w:tc>
        <w:tc>
          <w:tcPr>
            <w:tcW w:w="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    </w:t>
            </w:r>
          </w:p>
        </w:tc>
        <w:tc>
          <w:tcPr>
            <w:tcW w:w="379"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center"/>
              <w:rPr/>
            </w:pPr>
            <w:r>
              <w:rPr/>
              <w:t>​</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jc w:val="center"/>
              <w:rPr/>
            </w:pPr>
            <w:r>
              <w:rPr/>
              <w:t>​</w:t>
            </w:r>
          </w:p>
        </w:tc>
        <w:tc>
          <w:tcPr>
            <w:tcW w:w="8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837" w:type="dxa"/>
            <w:tcBorders/>
            <w:shd w:fill="auto" w:val="clear"/>
            <w:vAlign w:val="center"/>
          </w:tcPr>
          <w:p>
            <w:pPr>
              <w:pStyle w:val="TableContents"/>
              <w:spacing w:before="0" w:after="1"/>
              <w:ind w:left="0" w:right="0" w:hanging="0"/>
              <w:jc w:val="center"/>
              <w:rPr/>
            </w:pPr>
            <w:r>
              <w:rPr/>
              <w:t>​</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per Share</w:t>
            </w:r>
          </w:p>
        </w:tc>
        <w:tc>
          <w:tcPr>
            <w:tcW w:w="326" w:type="dxa"/>
            <w:tcBorders/>
            <w:shd w:fill="auto" w:val="clear"/>
            <w:vAlign w:val="center"/>
          </w:tcPr>
          <w:p>
            <w:pPr>
              <w:pStyle w:val="TableContents"/>
              <w:spacing w:before="0" w:after="1"/>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Term</w:t>
            </w:r>
          </w:p>
        </w:tc>
        <w:tc>
          <w:tcPr>
            <w:tcW w:w="326" w:type="dxa"/>
            <w:tcBorders/>
            <w:shd w:fill="auto" w:val="clear"/>
            <w:vAlign w:val="center"/>
          </w:tcPr>
          <w:p>
            <w:pPr>
              <w:pStyle w:val="TableContents"/>
              <w:spacing w:before="0" w:after="1"/>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7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35"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1,914,670</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837" w:type="dxa"/>
            <w:tcBorders/>
            <w:shd w:fill="CCEEFF" w:val="cle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5" w:type="dxa"/>
            <w:tcBorders/>
            <w:shd w:fill="auto" w:val="clear"/>
            <w:vAlign w:val="center"/>
          </w:tcPr>
          <w:p>
            <w:pPr>
              <w:pStyle w:val="TableContents"/>
              <w:spacing w:before="0" w:after="1"/>
              <w:ind w:left="0" w:right="0" w:hanging="0"/>
              <w:rPr/>
            </w:pPr>
            <w:r>
              <w:rPr/>
              <w:t>​</w:t>
            </w:r>
          </w:p>
        </w:tc>
        <w:tc>
          <w:tcPr>
            <w:tcW w:w="8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 </w:t>
            </w:r>
          </w:p>
        </w:tc>
        <w:tc>
          <w:tcPr>
            <w:tcW w:w="837" w:type="dxa"/>
            <w:tcBorders/>
            <w:shd w:fill="auto" w:val="clear"/>
            <w:vAlign w:val="center"/>
          </w:tcPr>
          <w:p>
            <w:pPr>
              <w:pStyle w:val="TableContents"/>
              <w:spacing w:before="0" w:after="1"/>
              <w:ind w:left="0" w:right="0" w:hanging="0"/>
              <w:jc w:val="right"/>
              <w:rPr/>
            </w:pPr>
            <w:r>
              <w:rPr/>
              <w:t>  </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5" w:type="dxa"/>
            <w:tcBorders/>
            <w:shd w:fill="CCEEFF" w:val="clear"/>
            <w:vAlign w:val="center"/>
          </w:tcPr>
          <w:p>
            <w:pPr>
              <w:pStyle w:val="TableContents"/>
              <w:spacing w:before="0" w:after="1"/>
              <w:ind w:left="0" w:right="0" w:hanging="0"/>
              <w:rPr/>
            </w:pPr>
            <w:r>
              <w:rPr/>
              <w:t> </w:t>
            </w:r>
          </w:p>
        </w:tc>
        <w:tc>
          <w:tcPr>
            <w:tcW w:w="8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 </w:t>
            </w:r>
          </w:p>
        </w:tc>
        <w:tc>
          <w:tcPr>
            <w:tcW w:w="837" w:type="dxa"/>
            <w:tcBorders/>
            <w:shd w:fill="CCEEFF" w:val="clear"/>
            <w:vAlign w:val="center"/>
          </w:tcPr>
          <w:p>
            <w:pPr>
              <w:pStyle w:val="TableContents"/>
              <w:spacing w:before="0" w:after="1"/>
              <w:ind w:left="0" w:right="0" w:hanging="0"/>
              <w:jc w:val="right"/>
              <w:rPr/>
            </w:pPr>
            <w:r>
              <w:rPr/>
              <w:t>  </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(161,625)</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auto" w:val="clear"/>
            <w:vAlign w:val="center"/>
          </w:tcPr>
          <w:p>
            <w:pPr>
              <w:pStyle w:val="TableContents"/>
              <w:spacing w:before="0" w:after="1"/>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7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  </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April 1, 2023</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1,753,045</w:t>
            </w:r>
          </w:p>
        </w:tc>
        <w:tc>
          <w:tcPr>
            <w:tcW w:w="326" w:type="dxa"/>
            <w:tcBorders/>
            <w:shd w:fill="CCEEFF" w:val="clear"/>
            <w:vAlign w:val="center"/>
          </w:tcPr>
          <w:p>
            <w:pPr>
              <w:pStyle w:val="TableContents"/>
              <w:spacing w:before="0" w:after="1"/>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26" w:type="dxa"/>
            <w:tcBorders/>
            <w:shd w:fill="CCEEFF" w:val="clear"/>
            <w:vAlign w:val="center"/>
          </w:tcPr>
          <w:p>
            <w:pPr>
              <w:pStyle w:val="TableContents"/>
              <w:spacing w:before="0" w:after="1"/>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spacing w:before="0" w:after="1"/>
              <w:ind w:left="0" w:right="0" w:hanging="0"/>
              <w:rPr/>
            </w:pPr>
            <w:r>
              <w:rPr/>
              <w:t>​</w:t>
            </w:r>
          </w:p>
        </w:tc>
        <w:tc>
          <w:tcPr>
            <w:tcW w:w="37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7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and expected to vest at April 1, 2023</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1,753,045</w:t>
            </w:r>
          </w:p>
        </w:tc>
        <w:tc>
          <w:tcPr>
            <w:tcW w:w="326" w:type="dxa"/>
            <w:tcBorders/>
            <w:shd w:fill="auto" w:val="clear"/>
            <w:vAlign w:val="center"/>
          </w:tcPr>
          <w:p>
            <w:pPr>
              <w:pStyle w:val="TableContents"/>
              <w:spacing w:before="0" w:after="1"/>
              <w:ind w:left="0" w:right="0" w:hanging="0"/>
              <w:rPr/>
            </w:pPr>
            <w:r>
              <w:rPr/>
              <w:t>​</w:t>
            </w:r>
          </w:p>
        </w:tc>
        <w:tc>
          <w:tcPr>
            <w:tcW w:w="2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26" w:type="dxa"/>
            <w:tcBorders/>
            <w:shd w:fill="auto" w:val="clear"/>
            <w:vAlign w:val="center"/>
          </w:tcPr>
          <w:p>
            <w:pPr>
              <w:pStyle w:val="TableContents"/>
              <w:spacing w:before="0" w:after="1"/>
              <w:ind w:left="0" w:right="0" w:hanging="0"/>
              <w:rPr/>
            </w:pPr>
            <w:r>
              <w:rPr/>
              <w:t> </w:t>
            </w:r>
          </w:p>
        </w:tc>
        <w:tc>
          <w:tcPr>
            <w:tcW w:w="12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auto" w:val="clear"/>
            <w:vAlign w:val="center"/>
          </w:tcPr>
          <w:p>
            <w:pPr>
              <w:pStyle w:val="TableContents"/>
              <w:spacing w:before="0" w:after="1"/>
              <w:ind w:left="0" w:right="0" w:hanging="0"/>
              <w:rPr/>
            </w:pPr>
            <w:r>
              <w:rPr/>
              <w:t>​</w:t>
            </w:r>
          </w:p>
        </w:tc>
        <w:tc>
          <w:tcPr>
            <w:tcW w:w="37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7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Options exercisable at April 1, 2023</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391,859</w:t>
            </w:r>
          </w:p>
        </w:tc>
        <w:tc>
          <w:tcPr>
            <w:tcW w:w="326" w:type="dxa"/>
            <w:tcBorders/>
            <w:shd w:fill="CCEEFF" w:val="clear"/>
            <w:vAlign w:val="center"/>
          </w:tcPr>
          <w:p>
            <w:pPr>
              <w:pStyle w:val="TableContents"/>
              <w:spacing w:before="0" w:after="1"/>
              <w:ind w:left="0" w:right="0" w:hanging="0"/>
              <w:rPr/>
            </w:pPr>
            <w:r>
              <w:rPr/>
              <w:t>​</w:t>
            </w:r>
          </w:p>
        </w:tc>
        <w:tc>
          <w:tcPr>
            <w:tcW w:w="23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17.13</w:t>
            </w:r>
          </w:p>
        </w:tc>
        <w:tc>
          <w:tcPr>
            <w:tcW w:w="326" w:type="dxa"/>
            <w:tcBorders/>
            <w:shd w:fill="CCEEFF" w:val="clear"/>
            <w:vAlign w:val="center"/>
          </w:tcPr>
          <w:p>
            <w:pPr>
              <w:pStyle w:val="TableContents"/>
              <w:spacing w:before="0" w:after="1"/>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326" w:type="dxa"/>
            <w:tcBorders/>
            <w:shd w:fill="CCEEFF" w:val="clear"/>
            <w:vAlign w:val="center"/>
          </w:tcPr>
          <w:p>
            <w:pPr>
              <w:pStyle w:val="TableContents"/>
              <w:spacing w:before="0" w:after="1"/>
              <w:ind w:left="0" w:right="0" w:hanging="0"/>
              <w:rPr/>
            </w:pPr>
            <w:r>
              <w:rPr/>
              <w:t>​</w:t>
            </w:r>
          </w:p>
        </w:tc>
        <w:tc>
          <w:tcPr>
            <w:tcW w:w="37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spacing w:before="0" w:after="1"/>
              <w:ind w:left="0" w:right="72" w:hanging="0"/>
              <w:jc w:val="right"/>
              <w:rPr>
                <w:caps w:val="false"/>
                <w:smallCaps w:val="false"/>
              </w:rPr>
            </w:pPr>
            <w:r>
              <w:rPr>
                <w:caps w:val="false"/>
                <w:smallCaps w:val="false"/>
              </w:rPr>
              <w:t>—</w:t>
            </w:r>
          </w:p>
        </w:tc>
      </w:tr>
    </w:tbl>
    <w:p>
      <w:pPr>
        <w:pStyle w:val="TextBody"/>
        <w:spacing w:before="0" w:after="240"/>
        <w:ind w:left="0" w:right="0" w:firstLine="360"/>
        <w:rPr/>
      </w:pPr>
      <w:r>
        <w:rPr/>
        <w:t>​</w:t>
      </w:r>
    </w:p>
    <w:p>
      <w:pPr>
        <w:pStyle w:val="TextBody"/>
        <w:spacing w:before="0" w:after="240"/>
        <w:ind w:left="0" w:right="0" w:firstLine="360"/>
        <w:rPr>
          <w:rFonts w:ascii="Times New Roman;Times;serif" w:hAnsi="Times New Roman;Times;serif"/>
          <w:sz w:val="12"/>
        </w:rPr>
      </w:pPr>
      <w:r>
        <w:rPr>
          <w:rFonts w:ascii="Times New Roman;Times;serif" w:hAnsi="Times New Roman;Times;serif"/>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Times;serif" w:hAnsi="Times New Roman;Times;serif"/>
          <w:sz w:val="12"/>
        </w:rPr>
        <w:t xml:space="preserve">. </w:t>
      </w:r>
    </w:p>
    <w:p>
      <w:pPr>
        <w:pStyle w:val="TextBody"/>
        <w:spacing w:before="0" w:after="240"/>
        <w:ind w:left="0" w:right="0" w:hanging="0"/>
        <w:rPr>
          <w:rFonts w:ascii="Times New Roman;Times;serif" w:hAnsi="Times New Roman;Times;serif"/>
          <w:b/>
          <w:sz w:val="20"/>
        </w:rPr>
      </w:pPr>
      <w:bookmarkStart w:id="951" w:name="Tc_W_F4B0PUh0qnySnHUHlw8Q_11_6"/>
      <w:bookmarkStart w:id="952" w:name="Tc_wjvqNEmDhkm_DWli_U5LkQ_11_3"/>
      <w:bookmarkStart w:id="953" w:name="Tc_1EBG_6pkn0eMzZKNeF0F8A_11_0"/>
      <w:bookmarkStart w:id="954" w:name="Tc_Zg-3yZ86MkyMxnyK9C1bCA_10_6"/>
      <w:bookmarkStart w:id="955" w:name="Tc_3k2Uk9tIdEKxuf8D-cW2Qw_10_3"/>
      <w:bookmarkStart w:id="956" w:name="Tc_rHtqlEaTDEanW4ALenabgw_10_0"/>
      <w:bookmarkStart w:id="957" w:name="Tc_lverw2P_4EGxFsyaJfPFGw_9_0"/>
      <w:bookmarkStart w:id="958" w:name="Tc_pdieWJovkECUGOe-GOza-g_8_0"/>
      <w:bookmarkStart w:id="959" w:name="Tc_Dx6tOAw6S0W_6mbA0v1Y3w_7_0"/>
      <w:bookmarkStart w:id="960" w:name="Tc_IrTdalbX7kuB0_4oJq3Qyg_6_0"/>
      <w:bookmarkStart w:id="961" w:name="Tc_o_q4YSRs80KTzb5GieynTQ_5_0"/>
      <w:bookmarkStart w:id="962" w:name="Tc_oJdK9ZdHoUOR9leokVkubg_4_6"/>
      <w:bookmarkStart w:id="963" w:name="Tc_XEMqsMXK7Eqmq0mlx2ovVg_4_3"/>
      <w:bookmarkStart w:id="964" w:name="Tc_Ca3vYBKmE02kPY4IAd7RYQ_4_0"/>
      <w:bookmarkStart w:id="965" w:name="Tc_xBmXVZTGA06UytOHKAFgDw_3_0"/>
      <w:bookmarkStart w:id="966" w:name="Tc_qkvmjAsbZUyBloh-D2QknQ_2_6"/>
      <w:bookmarkStart w:id="967" w:name="Tc_zDH2laHJkEOcG6NQJOqIKg_2_3"/>
      <w:bookmarkStart w:id="968" w:name="Tc_G7WozQctV0WMphYzkx7pWA_1_3"/>
      <w:bookmarkStart w:id="969" w:name="_065a5b5b_3268_4f3f_a61a_b3b3393cf1ca"/>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b/>
          <w:sz w:val="20"/>
        </w:rPr>
        <w:t>13. NET LOSS PER SHARE</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Basic and diluted net loss per share attributable to common stockholders was calculated as follows (in thousands, except share and per share data):</w:t>
      </w:r>
    </w:p>
    <w:p>
      <w:pPr>
        <w:pStyle w:val="TextBody"/>
        <w:spacing w:before="0" w:after="240"/>
        <w:ind w:left="0" w:right="0" w:firstLine="360"/>
        <w:rPr/>
      </w:pPr>
      <w:r>
        <w:rPr/>
        <w:t>​</w:t>
      </w:r>
    </w:p>
    <w:tbl>
      <w:tblPr>
        <w:tblW w:w="8457" w:type="dxa"/>
        <w:jc w:val="left"/>
        <w:tblInd w:w="0" w:type="dxa"/>
        <w:tblCellMar>
          <w:top w:w="0" w:type="dxa"/>
          <w:left w:w="0" w:type="dxa"/>
          <w:bottom w:w="0" w:type="dxa"/>
          <w:right w:w="0" w:type="dxa"/>
        </w:tblCellMar>
      </w:tblPr>
      <w:tblGrid>
        <w:gridCol w:w="4621"/>
        <w:gridCol w:w="326"/>
        <w:gridCol w:w="326"/>
        <w:gridCol w:w="211"/>
        <w:gridCol w:w="1141"/>
        <w:gridCol w:w="326"/>
        <w:gridCol w:w="211"/>
        <w:gridCol w:w="1141"/>
        <w:gridCol w:w="154"/>
      </w:tblGrid>
      <w:tr>
        <w:trPr/>
        <w:tc>
          <w:tcPr>
            <w:tcW w:w="4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934335" cy="175260"/>
                      <wp:effectExtent l="0" t="0" r="0" b="0"/>
                      <wp:wrapNone/>
                      <wp:docPr id="227" name="Frame227"/>
                      <a:graphic xmlns:a="http://schemas.openxmlformats.org/drawingml/2006/main">
                        <a:graphicData uri="http://schemas.microsoft.com/office/word/2010/wordprocessingShape">
                          <wps:wsp>
                            <wps:cNvSpPr txBox="1"/>
                            <wps:spPr>
                              <a:xfrm>
                                <a:off x="0" y="0"/>
                                <a:ext cx="2934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24535" cy="175260"/>
                      <wp:effectExtent l="0" t="0" r="0" b="0"/>
                      <wp:wrapNone/>
                      <wp:docPr id="231" name="Frame23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24535" cy="175260"/>
                      <wp:effectExtent l="0" t="0" r="0" b="0"/>
                      <wp:wrapNone/>
                      <wp:docPr id="234" name="Frame23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7790" cy="175260"/>
                      <wp:effectExtent l="0" t="0" r="0" b="0"/>
                      <wp:wrapNone/>
                      <wp:docPr id="235" name="Frame23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0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jc w:val="right"/>
              <w:rPr/>
            </w:pPr>
            <w:r>
              <w:rPr/>
              <w:t>​</w:t>
            </w:r>
          </w:p>
        </w:tc>
      </w:tr>
      <w:tr>
        <w:trPr/>
        <w:tc>
          <w:tcPr>
            <w:tcW w:w="4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jc w:val="right"/>
              <w:rPr/>
            </w:pPr>
            <w:r>
              <w:rPr/>
              <w:t>​</w:t>
            </w:r>
          </w:p>
        </w:tc>
      </w:tr>
      <w:tr>
        <w:trPr/>
        <w:tc>
          <w:tcPr>
            <w:tcW w:w="4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r>
        <w:trPr/>
        <w:tc>
          <w:tcPr>
            <w:tcW w:w="4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112,102,198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1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112,102,198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113,698,513</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share attributable to common stockholders:</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jc w:val="right"/>
              <w:rPr/>
            </w:pPr>
            <w:r>
              <w:rPr/>
              <w:t>​</w:t>
            </w:r>
          </w:p>
        </w:tc>
      </w:tr>
      <w:tr>
        <w:trPr/>
        <w:tc>
          <w:tcPr>
            <w:tcW w:w="46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6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1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bookmarkStart w:id="970" w:name="Tc_-1_zcpAo9kCU2DdEksjk_A_5_5"/>
      <w:bookmarkStart w:id="971" w:name="Tc_hQwitnNDg0irhLDVMWXCfA_5_0"/>
      <w:bookmarkStart w:id="972" w:name="Tc_7rPHyFRrPU2Uwc6jH8HLMQ_4_0"/>
      <w:bookmarkStart w:id="973" w:name="Tc_16fQMCvWsEaxfpcukj6aWQ_3_0"/>
      <w:bookmarkStart w:id="974" w:name="Tc_QQMZwj5VrUOFeeDAOuPRmw_2_5"/>
      <w:bookmarkStart w:id="975" w:name="Tc_toQIteW05kmJN5jy7o50aA_2_3"/>
      <w:bookmarkStart w:id="976" w:name="Tc_FUVux7W6uEuQQnYm6uLRPQ_1_3"/>
      <w:bookmarkEnd w:id="970"/>
      <w:bookmarkEnd w:id="971"/>
      <w:bookmarkEnd w:id="972"/>
      <w:bookmarkEnd w:id="973"/>
      <w:bookmarkEnd w:id="974"/>
      <w:bookmarkEnd w:id="975"/>
      <w:bookmarkEnd w:id="976"/>
      <w:r>
        <w:rPr>
          <w:rFonts w:ascii="Times New Roman;Times;serif" w:hAnsi="Times New Roman;Times;serif"/>
          <w:sz w:val="20"/>
        </w:rPr>
        <w:t>As of April 1, 2023 and December 31, 2022, 112,113,834 and 112,091,756 shares of common stock were issued and outstanding for accounting purposes, respectively.</w:t>
      </w:r>
    </w:p>
    <w:p>
      <w:pPr>
        <w:pStyle w:val="TextBody"/>
        <w:spacing w:before="0" w:after="24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includes the number of shares that may be dilutive common shares in the future that were not included in the computation of diluted net loss per share because the effect was anti-dilutive:</w:t>
      </w:r>
    </w:p>
    <w:p>
      <w:pPr>
        <w:pStyle w:val="TextBody"/>
        <w:spacing w:before="0" w:after="240"/>
        <w:ind w:left="0" w:right="0" w:firstLine="360"/>
        <w:rPr/>
      </w:pPr>
      <w:r>
        <w:rPr/>
        <w:t>​</w:t>
      </w:r>
    </w:p>
    <w:tbl>
      <w:tblPr>
        <w:tblW w:w="5290" w:type="dxa"/>
        <w:jc w:val="left"/>
        <w:tblInd w:w="0" w:type="dxa"/>
        <w:tblCellMar>
          <w:top w:w="0" w:type="dxa"/>
          <w:left w:w="0" w:type="dxa"/>
          <w:bottom w:w="0" w:type="dxa"/>
          <w:right w:w="0" w:type="dxa"/>
        </w:tblCellMar>
      </w:tblPr>
      <w:tblGrid>
        <w:gridCol w:w="2026"/>
        <w:gridCol w:w="326"/>
        <w:gridCol w:w="326"/>
        <w:gridCol w:w="1066"/>
        <w:gridCol w:w="326"/>
        <w:gridCol w:w="1066"/>
        <w:gridCol w:w="154"/>
      </w:tblGrid>
      <w:tr>
        <w:trPr/>
        <w:tc>
          <w:tcPr>
            <w:tcW w:w="2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86510" cy="175260"/>
                      <wp:effectExtent l="0" t="0" r="0" b="0"/>
                      <wp:wrapNone/>
                      <wp:docPr id="236" name="Frame236"/>
                      <a:graphic xmlns:a="http://schemas.openxmlformats.org/drawingml/2006/main">
                        <a:graphicData uri="http://schemas.microsoft.com/office/word/2010/wordprocessingShape">
                          <wps:wsp>
                            <wps:cNvSpPr txBox="1"/>
                            <wps:spPr>
                              <a:xfrm>
                                <a:off x="0" y="0"/>
                                <a:ext cx="1286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76910" cy="175260"/>
                      <wp:effectExtent l="0" t="0" r="0" b="0"/>
                      <wp:wrapNone/>
                      <wp:docPr id="239" name="Frame23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76910" cy="175260"/>
                      <wp:effectExtent l="0" t="0" r="0" b="0"/>
                      <wp:wrapNone/>
                      <wp:docPr id="241" name="Frame241"/>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7790" cy="175260"/>
                      <wp:effectExtent l="0" t="0" r="0" b="0"/>
                      <wp:wrapNone/>
                      <wp:docPr id="242" name="Frame24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    </w:t>
            </w:r>
          </w:p>
        </w:tc>
        <w:tc>
          <w:tcPr>
            <w:tcW w:w="245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1"/>
              <w:ind w:left="0" w:right="0" w:hanging="0"/>
              <w:jc w:val="center"/>
              <w:rPr/>
            </w:pPr>
            <w:r>
              <w:rPr/>
              <w:t>​</w:t>
            </w:r>
          </w:p>
        </w:tc>
      </w:tr>
      <w:tr>
        <w:trPr/>
        <w:tc>
          <w:tcPr>
            <w:tcW w:w="20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1"/>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1"/>
              <w:ind w:left="0" w:right="0" w:hanging="0"/>
              <w:jc w:val="center"/>
              <w:rPr/>
            </w:pPr>
            <w:r>
              <w:rPr/>
              <w:t>​</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awards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2,576,219</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2,166,308</w:t>
            </w:r>
          </w:p>
        </w:tc>
        <w:tc>
          <w:tcPr>
            <w:tcW w:w="154" w:type="dxa"/>
            <w:tcBorders/>
            <w:shd w:fill="CCEEFF" w:val="clear"/>
            <w:vAlign w:val="center"/>
          </w:tcPr>
          <w:p>
            <w:pPr>
              <w:pStyle w:val="TableContents"/>
              <w:spacing w:before="0" w:after="1"/>
              <w:ind w:left="0" w:right="0" w:hanging="0"/>
              <w:jc w:val="right"/>
              <w:rPr/>
            </w:pPr>
            <w:r>
              <w:rPr/>
              <w:t>​</w:t>
            </w:r>
          </w:p>
        </w:tc>
      </w:tr>
      <w:tr>
        <w:trPr/>
        <w:tc>
          <w:tcPr>
            <w:tcW w:w="20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500,751</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147,606</w:t>
            </w:r>
          </w:p>
        </w:tc>
        <w:tc>
          <w:tcPr>
            <w:tcW w:w="154" w:type="dxa"/>
            <w:tcBorders/>
            <w:shd w:fill="auto" w:val="clear"/>
            <w:vAlign w:val="center"/>
          </w:tcPr>
          <w:p>
            <w:pPr>
              <w:pStyle w:val="TableContents"/>
              <w:spacing w:before="0" w:after="1"/>
              <w:ind w:left="0" w:right="0" w:hanging="0"/>
              <w:jc w:val="right"/>
              <w:rPr/>
            </w:pPr>
            <w:r>
              <w:rPr/>
              <w:t>​</w:t>
            </w:r>
          </w:p>
        </w:tc>
      </w:tr>
      <w:tr>
        <w:trPr/>
        <w:tc>
          <w:tcPr>
            <w:tcW w:w="20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1,886,497</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jc w:val="right"/>
              <w:rPr/>
            </w:pPr>
            <w:r>
              <w:rPr/>
              <w:t>​</w:t>
            </w:r>
          </w:p>
        </w:tc>
      </w:tr>
    </w:tbl>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RELATED PARTY TRANSACTIONS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BrightAI Services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Starting in 2020, BrightAI has rendered services to the Company, for which the cost was capitalized as internal-use software. A co-founder of BrightAI Services has served on the Company’s board of directors since December 9, 2020. In December 2022, the Company executed an additional agreement with BrightAI for the provision of hardware that will run the technology developed by BrightAI and the Company. During the fiscal quarter ended April 1, 2023 and the fiscal year ended December 31, 2022, the Company incurred less than $0.1 million and $0.2 million, respectively, associated with services performed by BrightAI, which is recorded as construction in progress within property and equipment, net on the condensed consolidated balance sheet as of April 1, 2023. As of both April 1, 2023 and December 31, 2022, the Company had accounts payable related to BrightAI of $0.4 million.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Expense Reimbursement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recognized $0.2 million for the reimbursement of out-of-pocket costs and expenses to Wynnchurch Capital, L.P. and no amounts for the reimbursement of out-of-pocket costs and expenses to the Sponsor during the fiscal quarter ended April 1, 2023. The Company did not reimburse any out-of-pocket costs or expenses to the Sponsor and Wynnchurch Capital, L.P. during the fiscal quarter ended April 2, 2022. As of both April 1, 2023 and December 31, 2022, there was less than $0.1 million outstanding amounts payable to the Sponsor and no outstanding amounts payable to Wynnchurch Capital, L.P.</w:t>
      </w:r>
    </w:p>
    <w:p>
      <w:pPr>
        <w:pStyle w:val="TextBody"/>
        <w:spacing w:before="0" w:after="240"/>
        <w:ind w:left="0" w:right="0" w:firstLine="360"/>
        <w:rPr/>
      </w:pPr>
      <w:r>
        <w:rPr/>
        <w:t>​</w:t>
      </w:r>
    </w:p>
    <w:p>
      <w:pPr>
        <w:pStyle w:val="TextBody"/>
        <w:spacing w:before="0" w:after="240"/>
        <w:ind w:left="0" w:right="0" w:firstLine="360"/>
        <w:rPr/>
      </w:pPr>
      <w:r>
        <w:rPr/>
        <w:t>​</w:t>
      </w:r>
    </w:p>
    <w:p>
      <w:pPr>
        <w:pStyle w:val="TextBody"/>
        <w:spacing w:before="0" w:after="0"/>
        <w:ind w:left="0" w:right="0" w:firstLine="360"/>
        <w:rPr/>
      </w:pPr>
      <w:r>
        <w:rPr/>
        <w:t>​</w:t>
      </w:r>
    </w:p>
    <w:p>
      <w:pPr>
        <w:pStyle w:val="TextBody"/>
        <w:spacing w:before="0" w:after="240"/>
        <w:ind w:left="0" w:right="0" w:hanging="0"/>
        <w:rPr/>
      </w:pPr>
      <w:bookmarkStart w:id="977" w:name="_48b01844_fef2_44a3_acfe_2a515b14098f"/>
      <w:bookmarkEnd w:id="977"/>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78" w:name="Item2ManagementsDiscussionandAnalysisofF"/>
      <w:bookmarkEnd w:id="978"/>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condensed consolidated financial statements and related notes appearing elsewhere in this Quarterly Report on Form 10-Q and our 2022 Annual Report on Form 10-K filed with the Securities and Exchange Commission, or SEC, on March 7, 2023 (the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elsewhere in this Quarterly Report on Form 10-Q, and as described in other subsequent reports we file or furnish with the SEC. For similar reasons, our past results may not be a reliable indicator of future performance and trends. We encourage you to read this report and our other filings with the SEC carefully.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lineRule="auto" w:line="240" w:before="0" w:after="240"/>
        <w:ind w:left="0" w:right="0" w:firstLine="360"/>
        <w:rPr>
          <w:rFonts w:ascii="Times New Roman;Times;serif" w:hAnsi="Times New Roman;Times;serif"/>
          <w:sz w:val="20"/>
        </w:rPr>
      </w:pPr>
      <w:r>
        <w:rPr>
          <w:rFonts w:ascii="Times New Roman;Times;serif" w:hAnsi="Times New Roman;Times;serif"/>
          <w:sz w:val="20"/>
        </w:rPr>
        <w:t>We are the largest designer, manufacturer, and marketer of in-ground residential swimming pools in North America, Australia, and New Zealand. We hold the #1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Times New Roman;Times;serif" w:hAnsi="Times New Roman;Times;serif"/>
          <w:sz w:val="15"/>
        </w:rPr>
        <w:t>TM</w:t>
      </w:r>
      <w:r>
        <w:rPr>
          <w:rFonts w:ascii="Times New Roman;Times;serif" w:hAnsi="Times New Roman;Times;serif"/>
          <w:sz w:val="20"/>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With an operating history that spans over 65 years, we offer the industry’s broadest portfolio of pools and related products, including in-ground swimming pools, pool liners, and pool covers.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Partnership with our dealers is integral to our collective success, and we have enjoyed long-tenured relationships averaging over 14 years. We support our dealer network with business development tools, co-branded marketing programs, and in-house training.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operations consist of over 2,000 employees across over 30 locations. The full resources of our company are dedicated to designing and manufacturing high-quality pool products, with the homeowner in mind, and to position ourselves as a value-added partner to our dealers.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conduct our business as one operating and reportable segment that designs, manufactures, and markets in-ground swimming pools, liners, and covers.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Highlights for the fiscal quarter ended April 1, 2023</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sales of 28.1%, or $53.9 million, to $137.7 million for the fiscal quarter ended April 1, 2023, compared to $191.6 million for the fiscal quarter ended April 2, 2022.</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loss of $11.6 million, to $14.4 million for the fiscal quarter ended April 1, 2023, compared to a net loss of $2.8 million for the fiscal quarter ended April 2, 2022, representing a 10.4% net loss margin for the fiscal quarter ended April 1,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Adjusted EBITDA (as defined below) of $37.0 million, to $11.0 million for the fiscal quarter ended April 1, 2023, compared to $48.0 million for the fiscal quarter ended April 2, 2022.</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Business Update</w:t>
      </w:r>
    </w:p>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Market conditions continue to evolve. Macroeconomic challenges are affecting consumer spending and softening demand, resulting in anticipated declines in U.S. new in-ground pool installations. We continue to see a normalization of packaged pool channel inventory in the wholesale distribution channel from elevated levels, which is expected to remain a headwind through at least the first half of fiscal 2023. We believe continued progress on fiberglass conversion efforts, especially from concrete, will be a tailwind as we continue to work to drive homeowner and dealer awareness and adoption, supported by our continued momentum on our lead generation efforts and digital tools. We continue to take a disciplined approach to capital investments, with the focus on the completion of previously announced projects. This includes the completion of our Kingston, Ontario facility as well as our acquired fiberglass manufacturing assets in Seminole, Oklahoma.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responded to economic uncertainty with immediate actions to reduce our costs. On November 8, 2022, we approved a cost reduction plan to optimize our production and shift schedules, implement a workforce reduction, and streamline our pool cover and pool liner manufacturing footprint with the closure of our Bossier City, Louisiana facility in the first fiscal quarter of 2023. We expect to generate annual operating expense savings of approximately $12.0 million in fiscal 2023 as a result of our cost reduction plan.</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Sales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peer companies using similar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measures. We define Adjusted EBITDA as net income (loss) plus (i) depreciation and amortization, (ii) interest expense,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 We believe excluding these items allows for better comparison of our financial results across reporting periods.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define Adjusted EBITDA margin as Adjusted EBITDA divided by net sales. Our definitions of Adjusted EBITDA and Adjusted EBITDA margin may not be comparable to similarly titled measures of other companies.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For a discussion of Adjusted EBITDA and Adjusted EBITDA margin and the limitations on their use, and the reconciliation of Adjusted EBITDA to net loss, the most directly comparable GAAP financial measure, and our calculation of Adjusted EBITDA margin see “—Non-GAAP Financial Measures” below.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Fiscal Quarter Ended April 1, 2023 Compared to Fiscal Quarter Ended April 2, 2022</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our results of operations for the fiscal quarter ended April 1, 2023 and April 2, 2022:</w:t>
      </w:r>
    </w:p>
    <w:p>
      <w:pPr>
        <w:pStyle w:val="TextBody"/>
        <w:spacing w:before="0" w:after="240"/>
        <w:ind w:left="0" w:right="0" w:firstLine="360"/>
        <w:rPr/>
      </w:pPr>
      <w:r>
        <w:rPr/>
        <w:t>​</w:t>
      </w:r>
    </w:p>
    <w:tbl>
      <w:tblPr>
        <w:tblW w:w="10205" w:type="dxa"/>
        <w:jc w:val="left"/>
        <w:tblInd w:w="0" w:type="dxa"/>
        <w:tblCellMar>
          <w:top w:w="0" w:type="dxa"/>
          <w:left w:w="0" w:type="dxa"/>
          <w:bottom w:w="0" w:type="dxa"/>
          <w:right w:w="0" w:type="dxa"/>
        </w:tblCellMar>
      </w:tblPr>
      <w:tblGrid>
        <w:gridCol w:w="2205"/>
        <w:gridCol w:w="326"/>
        <w:gridCol w:w="214"/>
        <w:gridCol w:w="796"/>
        <w:gridCol w:w="326"/>
        <w:gridCol w:w="811"/>
        <w:gridCol w:w="361"/>
        <w:gridCol w:w="214"/>
        <w:gridCol w:w="796"/>
        <w:gridCol w:w="326"/>
        <w:gridCol w:w="811"/>
        <w:gridCol w:w="361"/>
        <w:gridCol w:w="211"/>
        <w:gridCol w:w="751"/>
        <w:gridCol w:w="326"/>
        <w:gridCol w:w="961"/>
        <w:gridCol w:w="409"/>
      </w:tblGrid>
      <w:tr>
        <w:trPr/>
        <w:tc>
          <w:tcPr>
            <w:tcW w:w="2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00175" cy="175260"/>
                      <wp:effectExtent l="0" t="0" r="0" b="0"/>
                      <wp:wrapNone/>
                      <wp:docPr id="243" name="Frame243"/>
                      <a:graphic xmlns:a="http://schemas.openxmlformats.org/drawingml/2006/main">
                        <a:graphicData uri="http://schemas.microsoft.com/office/word/2010/wordprocessingShape">
                          <wps:wsp>
                            <wps:cNvSpPr txBox="1"/>
                            <wps:spPr>
                              <a:xfrm>
                                <a:off x="0" y="0"/>
                                <a:ext cx="1400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5890" cy="175260"/>
                      <wp:effectExtent l="0" t="0" r="0" b="0"/>
                      <wp:wrapNone/>
                      <wp:docPr id="245" name="Frame245"/>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05460" cy="175260"/>
                      <wp:effectExtent l="0" t="0" r="0" b="0"/>
                      <wp:wrapNone/>
                      <wp:docPr id="246" name="Frame24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14985" cy="175260"/>
                      <wp:effectExtent l="0" t="0" r="0" b="0"/>
                      <wp:wrapNone/>
                      <wp:docPr id="248" name="Frame24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9" name="Frame24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5890" cy="175260"/>
                      <wp:effectExtent l="0" t="0" r="0" b="0"/>
                      <wp:wrapNone/>
                      <wp:docPr id="250" name="Frame250"/>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5460" cy="175260"/>
                      <wp:effectExtent l="0" t="0" r="0" b="0"/>
                      <wp:wrapNone/>
                      <wp:docPr id="251" name="Frame25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14985" cy="175260"/>
                      <wp:effectExtent l="0" t="0" r="0" b="0"/>
                      <wp:wrapNone/>
                      <wp:docPr id="253" name="Frame253"/>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29235" cy="175260"/>
                      <wp:effectExtent l="0" t="0" r="0" b="0"/>
                      <wp:wrapNone/>
                      <wp:docPr id="254" name="Frame25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76885" cy="175260"/>
                      <wp:effectExtent l="0" t="0" r="0" b="0"/>
                      <wp:wrapNone/>
                      <wp:docPr id="256" name="Frame256"/>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10235" cy="175260"/>
                      <wp:effectExtent l="0" t="0" r="0" b="0"/>
                      <wp:wrapNone/>
                      <wp:docPr id="258" name="Frame25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59715" cy="175260"/>
                      <wp:effectExtent l="0" t="0" r="0" b="0"/>
                      <wp:wrapNone/>
                      <wp:docPr id="259" name="Frame259"/>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265" w:type="dxa"/>
            <w:gridSpan w:val="1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409" w:type="dxa"/>
            <w:tcBorders/>
            <w:shd w:fill="auto" w:val="clear"/>
            <w:vAlign w:val="center"/>
          </w:tcPr>
          <w:p>
            <w:pPr>
              <w:pStyle w:val="TableContents"/>
              <w:spacing w:before="0" w:after="1"/>
              <w:ind w:left="0" w:right="0" w:hanging="0"/>
              <w:rPr/>
            </w:pPr>
            <w:r>
              <w:rPr/>
              <w:t> </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shd w:fill="auto" w:val="clear"/>
            <w:vAlign w:val="center"/>
          </w:tcPr>
          <w:p>
            <w:pPr>
              <w:pStyle w:val="TableContents"/>
              <w:spacing w:before="0" w:after="1"/>
              <w:ind w:left="0" w:right="0" w:hanging="0"/>
              <w:rPr/>
            </w:pPr>
            <w:r>
              <w:rPr/>
              <w:t>​</w:t>
            </w:r>
          </w:p>
        </w:tc>
        <w:tc>
          <w:tcPr>
            <w:tcW w:w="96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409" w:type="dxa"/>
            <w:tcBorders/>
            <w:shd w:fill="auto" w:val="clear"/>
            <w:vAlign w:val="center"/>
          </w:tcPr>
          <w:p>
            <w:pPr>
              <w:pStyle w:val="TableContents"/>
              <w:spacing w:before="0" w:after="1"/>
              <w:ind w:left="0" w:right="0" w:hanging="0"/>
              <w:rPr/>
            </w:pPr>
            <w:r>
              <w:rPr/>
              <w:t> </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shd w:fill="auto" w:val="clear"/>
            <w:vAlign w:val="center"/>
          </w:tcPr>
          <w:p>
            <w:pPr>
              <w:pStyle w:val="TableContents"/>
              <w:spacing w:before="0" w:after="1"/>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shd w:fill="auto" w:val="clear"/>
            <w:vAlign w:val="center"/>
          </w:tcPr>
          <w:p>
            <w:pPr>
              <w:pStyle w:val="TableContents"/>
              <w:spacing w:before="0" w:after="1"/>
              <w:ind w:left="0" w:right="0" w:hanging="0"/>
              <w:rPr/>
            </w:pPr>
            <w:r>
              <w:rPr/>
              <w:t>    </w:t>
            </w:r>
          </w:p>
        </w:tc>
        <w:tc>
          <w:tcPr>
            <w:tcW w:w="9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Net Sales</w:t>
            </w:r>
          </w:p>
        </w:tc>
        <w:tc>
          <w:tcPr>
            <w:tcW w:w="409" w:type="dxa"/>
            <w:tcBorders/>
            <w:shd w:fill="auto" w:val="clear"/>
            <w:vAlign w:val="center"/>
          </w:tcPr>
          <w:p>
            <w:pPr>
              <w:pStyle w:val="TableContents"/>
              <w:spacing w:before="0" w:after="1"/>
              <w:ind w:left="0" w:right="0" w:hanging="0"/>
              <w:rPr/>
            </w:pPr>
            <w:r>
              <w:rPr/>
              <w:t> </w:t>
            </w:r>
          </w:p>
        </w:tc>
      </w:tr>
      <w:tr>
        <w:trPr/>
        <w:tc>
          <w:tcPr>
            <w:tcW w:w="10205" w:type="dxa"/>
            <w:gridSpan w:val="17"/>
            <w:tcBorders/>
            <w:shd w:fill="auto" w:val="clear"/>
            <w:vAlign w:val="center"/>
          </w:tcPr>
          <w:p>
            <w:pPr>
              <w:pStyle w:val="TableContents"/>
              <w:spacing w:before="0" w:after="283"/>
              <w:ind w:left="0" w:right="0" w:hanging="0"/>
              <w:rPr>
                <w:sz w:val="4"/>
                <w:szCs w:val="4"/>
              </w:rPr>
            </w:pPr>
            <w:r>
              <w:rPr>
                <w:sz w:val="4"/>
                <w:szCs w:val="4"/>
              </w:rPr>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265" w:type="dxa"/>
            <w:gridSpan w:val="1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409" w:type="dxa"/>
            <w:tcBorders/>
            <w:shd w:fill="auto" w:val="clear"/>
            <w:vAlign w:val="center"/>
          </w:tcPr>
          <w:p>
            <w:pPr>
              <w:pStyle w:val="TableContents"/>
              <w:spacing w:before="0" w:after="1"/>
              <w:ind w:left="0" w:right="0" w:hanging="0"/>
              <w:rPr/>
            </w:pPr>
            <w:r>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137,719</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191,614</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(53,895)</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104,349</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120,960</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(16,611)</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12.7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33,370</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70,654</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(37,284)</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w:t>
            </w:r>
          </w:p>
        </w:tc>
        <w:tc>
          <w:tcPr>
            <w:tcW w:w="409" w:type="dxa"/>
            <w:tcBorders/>
            <w:shd w:fill="auto" w:val="clear"/>
            <w:vAlign w:val="center"/>
          </w:tcPr>
          <w:p>
            <w:pPr>
              <w:pStyle w:val="TableContents"/>
              <w:spacing w:before="0" w:after="1"/>
              <w:ind w:left="0" w:right="0" w:hanging="0"/>
              <w:rPr/>
            </w:pPr>
            <w:r>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33,057</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45,225</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(12,168)</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0.4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6,632</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7,192</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(560)</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1.0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(6,319)</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6,800</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(13,119)</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Other expense (income): </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pPr>
            <w:r>
              <w:rPr/>
              <w:t>  </w:t>
            </w:r>
          </w:p>
        </w:tc>
        <w:tc>
          <w:tcPr>
            <w:tcW w:w="361"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pPr>
            <w:r>
              <w:rPr/>
              <w:t>  </w:t>
            </w:r>
          </w:p>
        </w:tc>
        <w:tc>
          <w:tcPr>
            <w:tcW w:w="409" w:type="dxa"/>
            <w:tcBorders/>
            <w:shd w:fill="CCEEFF" w:val="clear"/>
            <w:vAlign w:val="center"/>
          </w:tcPr>
          <w:p>
            <w:pPr>
              <w:pStyle w:val="TableContents"/>
              <w:spacing w:before="0" w:after="1"/>
              <w:ind w:left="0" w:right="0" w:hanging="0"/>
              <w:rPr/>
            </w:pPr>
            <w:r>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10,804</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9,039</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6.9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11,014</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6,139</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5.5 </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Earnings from equity method investment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1"/>
              <w:ind w:left="0" w:right="0" w:hanging="0"/>
              <w:rPr/>
            </w:pPr>
            <w:r>
              <w:rPr/>
              <w:t> </w:t>
            </w:r>
          </w:p>
        </w:tc>
        <w:tc>
          <w:tcPr>
            <w:tcW w:w="7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(17,296)</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1"/>
              <w:ind w:left="0" w:right="0" w:hanging="0"/>
              <w:rPr/>
            </w:pPr>
            <w:r>
              <w:rPr/>
              <w:t> </w:t>
            </w:r>
          </w:p>
        </w:tc>
        <w:tc>
          <w:tcPr>
            <w:tcW w:w="7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(19,763)</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5,307</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(8,235)</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spacing w:before="0" w:after="1"/>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(11,528)</w:t>
            </w:r>
          </w:p>
        </w:tc>
        <w:tc>
          <w:tcPr>
            <w:tcW w:w="326" w:type="dxa"/>
            <w:tcBorders/>
            <w:shd w:fill="CCEEFF" w:val="clear"/>
            <w:vAlign w:val="center"/>
          </w:tcPr>
          <w:p>
            <w:pPr>
              <w:pStyle w:val="TableContents"/>
              <w:spacing w:before="0" w:after="1"/>
              <w:ind w:left="0" w:right="0" w:hanging="0"/>
              <w:rPr/>
            </w:pPr>
            <w:r>
              <w:rPr/>
              <w:t> </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40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205"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(a)</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11,033</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47,962</w:t>
            </w:r>
          </w:p>
        </w:tc>
        <w:tc>
          <w:tcPr>
            <w:tcW w:w="326" w:type="dxa"/>
            <w:tcBorders/>
            <w:shd w:fill="auto" w:val="clear"/>
            <w:vAlign w:val="center"/>
          </w:tcPr>
          <w:p>
            <w:pPr>
              <w:pStyle w:val="TableContents"/>
              <w:spacing w:before="0" w:after="1"/>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(36,929)</w:t>
            </w:r>
          </w:p>
        </w:tc>
        <w:tc>
          <w:tcPr>
            <w:tcW w:w="326" w:type="dxa"/>
            <w:tcBorders/>
            <w:shd w:fill="auto" w:val="clear"/>
            <w:vAlign w:val="center"/>
          </w:tcPr>
          <w:p>
            <w:pPr>
              <w:pStyle w:val="TableContents"/>
              <w:spacing w:before="0" w:after="1"/>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40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ind w:left="0" w:right="0" w:hanging="0"/>
        <w:rPr>
          <w:rFonts w:ascii="Times New Roman;Times;serif" w:hAnsi="Times New Roman;Times;serif"/>
          <w:sz w:val="20"/>
        </w:rPr>
      </w:pPr>
      <w:r>
        <w:rPr>
          <w:rFonts w:ascii="Times New Roman;Times;serif" w:hAnsi="Times New Roman;Times;serif"/>
          <w:sz w:val="20"/>
        </w:rPr>
        <w:t>(a)Adjusted EBITDA is a non-GAAP measure. See “Non-GAAP Financial Measures” for a reconciliation to net loss, the most directly comparable GAAP measure, and for information regarding our use of Adjusted EBITDA.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Sales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sales were $137.7 million for the fiscal quarter ended April 1, 2023, compared to $191.6 million for fiscal quarter ended April 2, 2022. The $53.9 million, or 28.1%, decrease in net sales was because of a $57.2 million decrease in volume, partially offset by a $3.3 million increase from pricing. The decrease was primarily attributable to volume declines as the pool market returned to pre-2020 seasonality, the wholesale channel continued to destock packaged pool inventory, and macroeconomic challenges continued. The decrease in total net sales of $53.9 million across our product lines consisted of $33.2 million for in-ground swimming pools and $20.9 million for liners, partially offset by a $0.2 million increase in covers.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Sales and Gross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Cost of sales was $104.3 million for the fiscal quarter ended April 1, 2023, compared to $121.0 million for the fiscal quarter ended April 2, 2022. Gross margin decreased by 12.7%, to 24.2% of net sales for the fiscal quarter ended April 1, 2023 compared to 36.9% of net sales for the fiscal quarter ended April 2, 2022. The $16.7 million, or 13.7%, decrease in cost of sales was primarily the result of the decrease in sales volume and a $0.8 million decrease in non-cash stock-based compensation expense. The 12.7% decrease in gross margin was primarily driven by reduced sales, negative fixed cost leverage from volume declines, the impact of inflation, and the right sizing of our inventory, partially offset by lower non-cash stock-based compensation expense.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Selling, general, and administrative expense was $33.1 million for the fiscal quarter ended April 1, 2023, compared to $45.2 million for the fiscal quarter ended April 2, 2022, and increased as a percentage of net sales by 0.4%. The $12.1 million, or 26.9%, decrease in selling, general, and administrative expense was primarily driven by a $9.4 million decrease in non-cash stock-based compensation expense and benefits from the cost reduction actions taken in the fourth quarter of fiscal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Underwriting Fees Related to Offering of Common Stock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Underwriting fees related to our offering of common stock were $11.4 million for the fiscal quarter ended April 2, 2022, related to the offering that was completed in January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Amortization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Amortization was $6.6 million for the fiscal quarter ended April 1, 2023, compared to $7.2 million for the fiscal quarter ended April 2, 2022. The $0.6 million, or 7.8%, decrease in amortization was driven by certain definite-lived intangible assets becoming fully amortized during the fiscal year ended December 31,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Interest expense was $10.8 million for the fiscal quarter ended April 1, 2023, compared to $1.8 million for the fiscal quarter ended April 2, 2022. The $9.0 million, or 512.1%, increase in interest expense was primarily the result of the change in the fair value of our interest rate swaps and a higher effective interest rate, compared to the fiscal quarter ended April 2, 2022. Interest expense for the fiscal quarter ended April 1, 2023 was impacted by an unrealized loss of $4.9 million related to the change in fair value of our interest rate swaps compared to an unrealized gain of $2.8 million for the fiscal quarter ended April 2,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Loss on Extinguishment of Debt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Loss on extinguishment of debt was $3.5 million for the fiscal quarter ended April 2, 2022, related to our debt refinancing completed in February 2022.</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Expense (Income), Net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Other expense (income), net was $0.2 million for the fiscal quarter ended April 1, 2023, compared to ($0.4) million for the fiscal quarter ended April 2, 2022. The $0.6 million increase in other expense was primarily driven by an unfavorable change in net foreign currency transaction gains and losses associated with our international subsidiaries.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Earnings from Equity Method Investment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Earnings from our equity method investment in Premier Pools &amp; Spa were less than $0.1 million for the fiscal quarter ended April 1, 2023, compared to $0.5 million for the fiscal quarter ended April 2, 2022, primarily because of the financial performance of Premier Pools &amp; Spa.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 (Benefit) Expense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Income tax benefit was $2.9 million for the fiscal quarter ended April 1, 2023, compared to income tax expense of $5.3 million for the fiscal quarter ended April 2, 2022. Our effective tax rate was 16.9% for the fiscal quarter ended April 1, 2023, compared to 215.1% for the fiscal quarter ended April 2, 2022. The difference between the U.S. federal statutory income tax rate and our effective income tax rate for both the fiscal quarters ended April 1, 2023 and April 2, 2022 was primarily attributable to the discrete impact of stock-based compensation expense for which there is no associated tax benefit.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loss was $14.4 million for the fiscal quarter ended April 1, 2023, compared to $2.8 million of net loss for the fiscal quarter ended April 2, 2022. The $11.6 million, or 405.9%, increase in net loss was primarily because of the factors described above.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Net Loss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Net loss margin was 10.4% for the fiscal quarter ended April 1, 2023, compared to net loss margin of 1.5% for the fiscal quarter ended April 2, 2022. The 8.9% increase in net loss margin was driven by a $11.6 million increase in net loss and a $53.9 million decrease in net sales, compared to the fiscal quarter ended April 2, 2022 because of the factors described above.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was $11.0 million for the fiscal quarter ended April 1, 2023, compared to $48.0 million for the fiscal quarter ended April 2, 2022. The $37.0 million, or 77.0%, decrease in Adjusted EBITDA was primarily because of the decrease in net sales, as well as the other factors described above.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margin was 8.0% for the fiscal quarter ended April 1, 2023, compared to 25.0% for the fiscal quarter ended April 2, 2022. The 17.0% decrease in Adjusted EBITDA margin was primarily because of a $37.0 million decrease in Adjusted EBITDA and a $53.9 million decrease in net sales, compared to the fiscal quarter ended April 2, 2022, as well as the other factors described above.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tbl>
      <w:tblPr>
        <w:tblW w:w="9126" w:type="dxa"/>
        <w:jc w:val="left"/>
        <w:tblInd w:w="0" w:type="dxa"/>
        <w:tblCellMar>
          <w:top w:w="28" w:type="dxa"/>
          <w:left w:w="28" w:type="dxa"/>
          <w:bottom w:w="28" w:type="dxa"/>
          <w:right w:w="28" w:type="dxa"/>
        </w:tblCellMar>
      </w:tblPr>
      <w:tblGrid>
        <w:gridCol w:w="124"/>
        <w:gridCol w:w="256"/>
        <w:gridCol w:w="8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every expenditure, future requirements for capital expenditures or contractual commitments;</w:t>
            </w:r>
          </w:p>
        </w:tc>
      </w:tr>
    </w:tbl>
    <w:tbl>
      <w:tblPr>
        <w:tblW w:w="4731" w:type="dxa"/>
        <w:jc w:val="left"/>
        <w:tblInd w:w="0" w:type="dxa"/>
        <w:tblCellMar>
          <w:top w:w="28" w:type="dxa"/>
          <w:left w:w="28" w:type="dxa"/>
          <w:bottom w:w="28" w:type="dxa"/>
          <w:right w:w="28" w:type="dxa"/>
        </w:tblCellMar>
      </w:tblPr>
      <w:tblGrid>
        <w:gridCol w:w="124"/>
        <w:gridCol w:w="256"/>
        <w:gridCol w:w="4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changes in our working capital needs;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interest expense, or the amounts necessary to service interest or principal payments, on our outstanding debt;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income tax (benefit) expense, and because the payment of taxes is part of our operations, tax expense is a necessary element of our costs and ability to operate;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non-cash stock-based compensation, which will remain a key element of our overall compensation package;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impact of earnings or charges resulting from matters we consider not to be indicative of our ongoing operations.</w:t>
            </w:r>
          </w:p>
        </w:tc>
      </w:tr>
    </w:tbl>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Management compensates for these limitations by primarily relying on our GAAP results, while using Adjusted EBITDA and Adjusted EBITDA margin as supplements to the corresponding GAAP financial measures.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provides a reconciliation of our net loss to Adjusted EBITDA for the periods presented and the calculation of Adjusted EBITDA margin:</w:t>
      </w:r>
    </w:p>
    <w:p>
      <w:pPr>
        <w:pStyle w:val="TextBody"/>
        <w:spacing w:before="0" w:after="240"/>
        <w:ind w:left="0" w:right="0" w:hanging="0"/>
        <w:rPr/>
      </w:pPr>
      <w:r>
        <w:rPr/>
        <w:t>​</w:t>
      </w:r>
    </w:p>
    <w:tbl>
      <w:tblPr>
        <w:tblW w:w="7833" w:type="dxa"/>
        <w:jc w:val="left"/>
        <w:tblInd w:w="0" w:type="dxa"/>
        <w:tblCellMar>
          <w:top w:w="0" w:type="dxa"/>
          <w:left w:w="0" w:type="dxa"/>
          <w:bottom w:w="0" w:type="dxa"/>
          <w:right w:w="0" w:type="dxa"/>
        </w:tblCellMar>
      </w:tblPr>
      <w:tblGrid>
        <w:gridCol w:w="4936"/>
        <w:gridCol w:w="223"/>
        <w:gridCol w:w="842"/>
        <w:gridCol w:w="361"/>
        <w:gridCol w:w="226"/>
        <w:gridCol w:w="839"/>
        <w:gridCol w:w="406"/>
      </w:tblGrid>
      <w:tr>
        <w:trPr/>
        <w:tc>
          <w:tcPr>
            <w:tcW w:w="4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134360" cy="175260"/>
                      <wp:effectExtent l="0" t="0" r="0" b="0"/>
                      <wp:wrapNone/>
                      <wp:docPr id="260" name="Frame260"/>
                      <a:graphic xmlns:a="http://schemas.openxmlformats.org/drawingml/2006/main">
                        <a:graphicData uri="http://schemas.microsoft.com/office/word/2010/wordprocessingShape">
                          <wps:wsp>
                            <wps:cNvSpPr txBox="1"/>
                            <wps:spPr>
                              <a:xfrm>
                                <a:off x="0" y="0"/>
                                <a:ext cx="3134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1605" cy="175260"/>
                      <wp:effectExtent l="0" t="0" r="0" b="0"/>
                      <wp:wrapNone/>
                      <wp:docPr id="261" name="Frame261"/>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34670" cy="175260"/>
                      <wp:effectExtent l="0" t="0" r="0" b="0"/>
                      <wp:wrapNone/>
                      <wp:docPr id="262" name="Frame262"/>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9235" cy="175260"/>
                      <wp:effectExtent l="0" t="0" r="0" b="0"/>
                      <wp:wrapNone/>
                      <wp:docPr id="263" name="Frame26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3510" cy="175260"/>
                      <wp:effectExtent l="0" t="0" r="0" b="0"/>
                      <wp:wrapNone/>
                      <wp:docPr id="264" name="Frame264"/>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32765" cy="175260"/>
                      <wp:effectExtent l="0" t="0" r="0" b="0"/>
                      <wp:wrapNone/>
                      <wp:docPr id="265" name="Frame265"/>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7810" cy="175260"/>
                      <wp:effectExtent l="0" t="0" r="0" b="0"/>
                      <wp:wrapNone/>
                      <wp:docPr id="266" name="Frame266"/>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36" w:type="dxa"/>
            <w:tcBorders/>
            <w:shd w:fill="auto" w:val="clear"/>
            <w:vAlign w:val="center"/>
          </w:tcPr>
          <w:p>
            <w:pPr>
              <w:pStyle w:val="TableContents"/>
              <w:spacing w:before="0" w:after="1"/>
              <w:ind w:left="0" w:right="0" w:hanging="0"/>
              <w:rPr/>
            </w:pPr>
            <w:r>
              <w:rPr/>
              <w:t>​</w:t>
            </w:r>
          </w:p>
        </w:tc>
        <w:tc>
          <w:tcPr>
            <w:tcW w:w="249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406" w:type="dxa"/>
            <w:tcBorders/>
            <w:shd w:fill="auto" w:val="clear"/>
            <w:vAlign w:val="center"/>
          </w:tcPr>
          <w:p>
            <w:pPr>
              <w:pStyle w:val="TableContents"/>
              <w:spacing w:before="0" w:after="1"/>
              <w:ind w:left="0" w:right="0" w:hanging="0"/>
              <w:jc w:val="center"/>
              <w:rPr/>
            </w:pPr>
            <w:r>
              <w:rPr/>
              <w:t>​</w:t>
            </w:r>
          </w:p>
        </w:tc>
      </w:tr>
      <w:tr>
        <w:trPr/>
        <w:tc>
          <w:tcPr>
            <w:tcW w:w="4936" w:type="dxa"/>
            <w:tcBorders/>
            <w:shd w:fill="auto" w:val="clear"/>
            <w:vAlign w:val="center"/>
          </w:tcPr>
          <w:p>
            <w:pPr>
              <w:pStyle w:val="TableContents"/>
              <w:spacing w:before="0" w:after="1"/>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61" w:type="dxa"/>
            <w:tcBorders/>
            <w:shd w:fill="auto" w:val="clear"/>
            <w:vAlign w:val="center"/>
          </w:tcPr>
          <w:p>
            <w:pPr>
              <w:pStyle w:val="TableContents"/>
              <w:spacing w:before="0" w:after="1"/>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406" w:type="dxa"/>
            <w:tcBorders/>
            <w:shd w:fill="auto" w:val="clear"/>
            <w:vAlign w:val="center"/>
          </w:tcPr>
          <w:p>
            <w:pPr>
              <w:pStyle w:val="TableContents"/>
              <w:spacing w:before="0" w:after="1"/>
              <w:ind w:left="0" w:right="0" w:hanging="0"/>
              <w:jc w:val="center"/>
              <w:rPr/>
            </w:pPr>
            <w:r>
              <w:rPr/>
              <w:t>​</w:t>
            </w:r>
          </w:p>
        </w:tc>
      </w:tr>
      <w:tr>
        <w:trPr/>
        <w:tc>
          <w:tcPr>
            <w:tcW w:w="783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936" w:type="dxa"/>
            <w:tcBorders/>
            <w:shd w:fill="auto" w:val="clear"/>
            <w:vAlign w:val="center"/>
          </w:tcPr>
          <w:p>
            <w:pPr>
              <w:pStyle w:val="TableContents"/>
              <w:spacing w:before="0" w:after="1"/>
              <w:ind w:left="0" w:right="0" w:hanging="0"/>
              <w:rPr/>
            </w:pPr>
            <w:r>
              <w:rPr/>
              <w:t>​</w:t>
            </w:r>
          </w:p>
        </w:tc>
        <w:tc>
          <w:tcPr>
            <w:tcW w:w="2491"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406" w:type="dxa"/>
            <w:tcBorders/>
            <w:shd w:fill="auto" w:val="clear"/>
            <w:vAlign w:val="center"/>
          </w:tcPr>
          <w:p>
            <w:pPr>
              <w:pStyle w:val="TableContents"/>
              <w:spacing w:before="0" w:after="1"/>
              <w:ind w:left="0" w:right="0" w:hanging="0"/>
              <w:jc w:val="center"/>
              <w:rPr/>
            </w:pPr>
            <w:r>
              <w:rPr/>
              <w:t>​</w:t>
            </w:r>
          </w:p>
        </w:tc>
      </w:tr>
      <w:tr>
        <w:trPr/>
        <w:tc>
          <w:tcPr>
            <w:tcW w:w="49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22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(14,368)</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9,258</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9,494</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10,804</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(benefit) expense</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5,307</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on sale and disposal of property and equipment</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pPr>
            <w:r>
              <w:rPr/>
              <w:t>—</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Restructuring charges</w:t>
            </w:r>
            <w:r>
              <w:rPr>
                <w:rFonts w:ascii="Times New Roman;Times;serif" w:hAnsi="Times New Roman;Times;serif"/>
                <w:sz w:val="15"/>
              </w:rPr>
              <w:t>(a)</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15"/>
              </w:rPr>
              <w:t>(b)</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6,769</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lineRule="auto" w:line="240" w:before="0" w:after="1"/>
              <w:ind w:left="0" w:right="0" w:hanging="0"/>
              <w:rPr/>
            </w:pPr>
            <w:r>
              <w:rPr>
                <w:rFonts w:ascii="Times New Roman;Times;serif" w:hAnsi="Times New Roman;Times;serif"/>
                <w:sz w:val="20"/>
              </w:rPr>
              <w:t>Unrealized losses (gains) on foreign currency transactions</w:t>
            </w:r>
            <w:r>
              <w:rPr>
                <w:rFonts w:cs="Times New Roman;Times;serif"/>
                <w:szCs w:val="20"/>
              </w:rPr>
              <w:t>﻿</w:t>
            </w:r>
            <w:r>
              <w:rPr>
                <w:rFonts w:ascii="Times New Roman;Times;serif" w:hAnsi="Times New Roman;Times;serif"/>
                <w:sz w:val="15"/>
              </w:rPr>
              <w:t>(c)</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Strategic initiative costs</w:t>
            </w:r>
            <w:r>
              <w:rPr>
                <w:rFonts w:ascii="Times New Roman;Times;serif" w:hAnsi="Times New Roman;Times;serif"/>
                <w:sz w:val="15"/>
              </w:rPr>
              <w:t>(d)</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Acquisition and integration related costs</w:t>
            </w:r>
            <w:r>
              <w:rPr>
                <w:rFonts w:ascii="Times New Roman;Times;serif" w:hAnsi="Times New Roman;Times;serif"/>
                <w:sz w:val="15"/>
              </w:rPr>
              <w:t>(e)</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Loss on extinguishment of debt</w:t>
            </w:r>
            <w:r>
              <w:rPr>
                <w:rFonts w:ascii="Times New Roman;Times;serif" w:hAnsi="Times New Roman;Times;serif"/>
                <w:sz w:val="15"/>
              </w:rPr>
              <w:t>(f)</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Underwriting fees related to offering of common stock</w:t>
            </w:r>
            <w:r>
              <w:rPr>
                <w:rFonts w:ascii="Times New Roman;Times;serif" w:hAnsi="Times New Roman;Times;serif"/>
                <w:sz w:val="15"/>
              </w:rPr>
              <w:t>(g)</w:t>
            </w:r>
          </w:p>
        </w:tc>
        <w:tc>
          <w:tcPr>
            <w:tcW w:w="223" w:type="dxa"/>
            <w:tcBorders/>
            <w:shd w:fill="auto" w:val="clear"/>
            <w:vAlign w:val="center"/>
          </w:tcPr>
          <w:p>
            <w:pPr>
              <w:pStyle w:val="TableContents"/>
              <w:spacing w:before="0" w:after="1"/>
              <w:ind w:left="0" w:right="0" w:hanging="0"/>
              <w:rPr/>
            </w:pPr>
            <w:r>
              <w:rPr/>
              <w:t>​</w:t>
            </w:r>
          </w:p>
        </w:tc>
        <w:tc>
          <w:tcPr>
            <w:tcW w:w="842"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pPr>
            <w:r>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Odessa fire</w:t>
            </w:r>
            <w:r>
              <w:rPr>
                <w:rFonts w:ascii="Times New Roman;Times;serif" w:hAnsi="Times New Roman;Times;serif"/>
                <w:sz w:val="15"/>
              </w:rPr>
              <w:t>(h)</w:t>
            </w:r>
          </w:p>
        </w:tc>
        <w:tc>
          <w:tcPr>
            <w:tcW w:w="223" w:type="dxa"/>
            <w:tcBorders/>
            <w:shd w:fill="CCEEFF" w:val="clear"/>
            <w:vAlign w:val="center"/>
          </w:tcPr>
          <w:p>
            <w:pPr>
              <w:pStyle w:val="TableContents"/>
              <w:spacing w:before="0" w:after="1"/>
              <w:ind w:left="0" w:right="0" w:hanging="0"/>
              <w:rPr/>
            </w:pPr>
            <w:r>
              <w:rPr/>
              <w:t>​</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(864)</w:t>
            </w:r>
          </w:p>
        </w:tc>
        <w:tc>
          <w:tcPr>
            <w:tcW w:w="361" w:type="dxa"/>
            <w:tcBorders/>
            <w:shd w:fill="CCEEFF" w:val="clear"/>
            <w:vAlign w:val="center"/>
          </w:tcPr>
          <w:p>
            <w:pPr>
              <w:pStyle w:val="TableContents"/>
              <w:spacing w:before="0" w:after="1"/>
              <w:ind w:left="0" w:right="0" w:hanging="0"/>
              <w:rPr/>
            </w:pPr>
            <w:r>
              <w:rPr/>
              <w:t>​</w:t>
            </w:r>
          </w:p>
        </w:tc>
        <w:tc>
          <w:tcPr>
            <w:tcW w:w="226" w:type="dxa"/>
            <w:tcBorders/>
            <w:shd w:fill="CCEEFF" w:val="clear"/>
            <w:vAlign w:val="center"/>
          </w:tcPr>
          <w:p>
            <w:pPr>
              <w:pStyle w:val="TableContents"/>
              <w:spacing w:before="0" w:after="1"/>
              <w:ind w:left="0" w:right="0" w:hanging="0"/>
              <w:rPr/>
            </w:pPr>
            <w:r>
              <w:rPr/>
              <w:t>​</w:t>
            </w:r>
          </w:p>
        </w:tc>
        <w:tc>
          <w:tcPr>
            <w:tcW w:w="839" w:type="dxa"/>
            <w:tcBorders/>
            <w:shd w:fill="CCEEFF" w:val="clear"/>
            <w:vAlign w:val="center"/>
          </w:tcPr>
          <w:p>
            <w:pPr>
              <w:pStyle w:val="TableContents"/>
              <w:spacing w:before="0" w:after="1"/>
              <w:ind w:left="0" w:right="0" w:hanging="0"/>
              <w:jc w:val="right"/>
              <w:rPr/>
            </w:pPr>
            <w:r>
              <w:rPr/>
              <w:t>—</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sz w:val="15"/>
              </w:rPr>
              <w:t>(i)</w:t>
            </w:r>
          </w:p>
        </w:tc>
        <w:tc>
          <w:tcPr>
            <w:tcW w:w="22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auto" w:val="clear"/>
            <w:vAlign w:val="center"/>
          </w:tcPr>
          <w:p>
            <w:pPr>
              <w:pStyle w:val="TableContents"/>
              <w:spacing w:before="0" w:after="1"/>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w:t>
            </w:r>
          </w:p>
        </w:tc>
        <w:tc>
          <w:tcPr>
            <w:tcW w:w="22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11,033</w:t>
            </w:r>
          </w:p>
        </w:tc>
        <w:tc>
          <w:tcPr>
            <w:tcW w:w="361" w:type="dxa"/>
            <w:tcBorders/>
            <w:shd w:fill="CCEEFF" w:val="clear"/>
            <w:vAlign w:val="center"/>
          </w:tcPr>
          <w:p>
            <w:pPr>
              <w:pStyle w:val="TableContents"/>
              <w:spacing w:before="0" w:after="1"/>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47,962</w:t>
            </w:r>
          </w:p>
        </w:tc>
        <w:tc>
          <w:tcPr>
            <w:tcW w:w="406" w:type="dxa"/>
            <w:tcBorders/>
            <w:shd w:fill="CCEEFF" w:val="clear"/>
            <w:vAlign w:val="center"/>
          </w:tcPr>
          <w:p>
            <w:pPr>
              <w:pStyle w:val="TableContents"/>
              <w:spacing w:before="0" w:after="1"/>
              <w:ind w:left="0" w:right="0" w:hanging="0"/>
              <w:rPr/>
            </w:pPr>
            <w:r>
              <w:rPr/>
              <w:t>​</w:t>
            </w:r>
          </w:p>
        </w:tc>
      </w:tr>
      <w:tr>
        <w:trPr/>
        <w:tc>
          <w:tcPr>
            <w:tcW w:w="49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sales</w:t>
            </w:r>
          </w:p>
        </w:tc>
        <w:tc>
          <w:tcPr>
            <w:tcW w:w="22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137,719</w:t>
            </w:r>
          </w:p>
        </w:tc>
        <w:tc>
          <w:tcPr>
            <w:tcW w:w="361" w:type="dxa"/>
            <w:tcBorders/>
            <w:shd w:fill="auto" w:val="clear"/>
            <w:vAlign w:val="center"/>
          </w:tcPr>
          <w:p>
            <w:pPr>
              <w:pStyle w:val="TableContents"/>
              <w:spacing w:before="0" w:after="1"/>
              <w:ind w:left="0" w:right="0" w:hanging="0"/>
              <w:rPr/>
            </w:pPr>
            <w:r>
              <w:rPr/>
              <w:t>​</w:t>
            </w:r>
          </w:p>
        </w:tc>
        <w:tc>
          <w:tcPr>
            <w:tcW w:w="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191,614</w:t>
            </w:r>
          </w:p>
        </w:tc>
        <w:tc>
          <w:tcPr>
            <w:tcW w:w="406" w:type="dxa"/>
            <w:tcBorders/>
            <w:shd w:fill="auto" w:val="clear"/>
            <w:vAlign w:val="center"/>
          </w:tcPr>
          <w:p>
            <w:pPr>
              <w:pStyle w:val="TableContents"/>
              <w:spacing w:before="0" w:after="1"/>
              <w:ind w:left="0" w:right="0" w:hanging="0"/>
              <w:rPr/>
            </w:pPr>
            <w:r>
              <w:rPr/>
              <w:t>​</w:t>
            </w:r>
          </w:p>
        </w:tc>
      </w:tr>
      <w:tr>
        <w:trPr/>
        <w:tc>
          <w:tcPr>
            <w:tcW w:w="49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margin</w:t>
            </w:r>
          </w:p>
        </w:tc>
        <w:tc>
          <w:tcPr>
            <w:tcW w:w="223" w:type="dxa"/>
            <w:tcBorders/>
            <w:shd w:fill="CCEEFF" w:val="clear"/>
            <w:vAlign w:val="center"/>
          </w:tcPr>
          <w:p>
            <w:pPr>
              <w:pStyle w:val="TableContents"/>
              <w:spacing w:before="0" w:after="1"/>
              <w:ind w:left="0" w:right="0" w:hanging="0"/>
              <w:rPr/>
            </w:pPr>
            <w:r>
              <w:rPr/>
              <w:t> </w:t>
            </w:r>
          </w:p>
        </w:tc>
        <w:tc>
          <w:tcPr>
            <w:tcW w:w="8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spacing w:before="0" w:after="1"/>
              <w:ind w:left="0" w:right="0" w:hanging="0"/>
              <w:rPr/>
            </w:pPr>
            <w:r>
              <w:rPr/>
              <w:t> </w:t>
            </w:r>
          </w:p>
        </w:tc>
        <w:tc>
          <w:tcPr>
            <w:tcW w:w="8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49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 margin</w:t>
            </w:r>
          </w:p>
        </w:tc>
        <w:tc>
          <w:tcPr>
            <w:tcW w:w="223"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8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22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83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 Represents costs related to a cost reduction plan announced in 2022 to optimize production and shift schedules, implement a workforce reduction, and to shut down our Bossier City, Louisiana facility. Also includes severance and other costs for our executive management changes.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(b) Represents non-cash stock-based compensation expense.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 Represents unrealized foreign currency transaction losses (gain) associated with our international subsidiaries.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 Represents fees paid to external consultants for our strategic initiatives.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 Represents acquisition and integration costs primarily related to the acquisition of Radiant, the equity investment in Premier Pools &amp; Spas, as well as other costs related to potential transactions.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(f) Represents the loss on extinguishment of debt in connection with our debt refinancing on February 23, 2022.</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(g) Represents underwriting fees related to our offering of common stock that was completed in January 2022.</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(h) Represents costs incurred and insurance recoveries in excess of costs incurred for the period related to a production facility fire in Odessa, Texas.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Other costs consist of other discrete items as determined by management, primarily including (i) fees paid to external advisors for various matters, (ii) non-cash adjustments to record the step-up in the fair value of inventory related to the acquisition of Radiant, which was amortized through cost of sales in the condensed consolidated statements of operations, and (iii) other items.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Overview</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April 1, 2023, we had $55.0 million of cash, $360.5 million of outstanding borrowings and an additional $27.0 million of borrowing availability under our Revolving Credit Facility.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Indebtedness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(the “Refinancing”). On such date, proceeds under the agreement were used to repay and replace $294.0 million under, and terminate, the previous credit agreement and for general corporate purposes.</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Revolving Credit Facility</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Credit Agreement, the “First Lien Net Leverage Ratio”). The Revolving Credit Facility is not subject to amortization.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we had $48.0 million of outstanding borrowings under the Revolving Credit Facility.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we had $312.5 million of outstanding borrowings under the Term Loan.</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of April 1, 2023, we were in compliance with all covenants under the Revolving Credit Facility and the Term Loan.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Repurchase Program</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As of April 1, 2023, approximately $77.0 million remained available for share repurchases pursuant to our Repurchase Program.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p>
      <w:pPr>
        <w:pStyle w:val="TextBody"/>
        <w:spacing w:before="0" w:after="240"/>
        <w:ind w:left="0" w:right="0" w:firstLine="360"/>
        <w:rPr/>
      </w:pPr>
      <w:r>
        <w:rPr/>
        <w:t>​</w:t>
      </w:r>
    </w:p>
    <w:tbl>
      <w:tblPr>
        <w:tblW w:w="6076" w:type="dxa"/>
        <w:jc w:val="left"/>
        <w:tblInd w:w="0" w:type="dxa"/>
        <w:tblCellMar>
          <w:top w:w="0" w:type="dxa"/>
          <w:left w:w="0" w:type="dxa"/>
          <w:bottom w:w="0" w:type="dxa"/>
          <w:right w:w="0" w:type="dxa"/>
        </w:tblCellMar>
      </w:tblPr>
      <w:tblGrid>
        <w:gridCol w:w="3466"/>
        <w:gridCol w:w="223"/>
        <w:gridCol w:w="842"/>
        <w:gridCol w:w="326"/>
        <w:gridCol w:w="223"/>
        <w:gridCol w:w="842"/>
        <w:gridCol w:w="154"/>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00910" cy="175260"/>
                      <wp:effectExtent l="0" t="0" r="0" b="0"/>
                      <wp:wrapNone/>
                      <wp:docPr id="267" name="Frame267"/>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41605" cy="175260"/>
                      <wp:effectExtent l="0" t="0" r="0" b="0"/>
                      <wp:wrapNone/>
                      <wp:docPr id="268" name="Frame268"/>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34670" cy="175260"/>
                      <wp:effectExtent l="0" t="0" r="0" b="0"/>
                      <wp:wrapNone/>
                      <wp:docPr id="269" name="Frame269"/>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1605" cy="175260"/>
                      <wp:effectExtent l="0" t="0" r="0" b="0"/>
                      <wp:wrapNone/>
                      <wp:docPr id="271" name="Frame271"/>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34670" cy="175260"/>
                      <wp:effectExtent l="0" t="0" r="0" b="0"/>
                      <wp:wrapNone/>
                      <wp:docPr id="272" name="Frame272"/>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7790" cy="175260"/>
                      <wp:effectExtent l="0" t="0" r="0" b="0"/>
                      <wp:wrapNone/>
                      <wp:docPr id="273" name="Frame273"/>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2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pPr>
            <w:r>
              <w:rPr/>
              <w:t>​</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2023</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2022</w:t>
            </w:r>
          </w:p>
        </w:tc>
        <w:tc>
          <w:tcPr>
            <w:tcW w:w="154" w:type="dxa"/>
            <w:tcBorders/>
            <w:shd w:fill="auto" w:val="clear"/>
            <w:vAlign w:val="center"/>
          </w:tcPr>
          <w:p>
            <w:pPr>
              <w:pStyle w:val="TableContents"/>
              <w:spacing w:before="0" w:after="0"/>
              <w:ind w:left="0" w:right="0" w:hanging="0"/>
              <w:jc w:val="center"/>
              <w:rPr/>
            </w:pPr>
            <w:r>
              <w:rPr/>
              <w:t>​</w:t>
            </w:r>
          </w:p>
        </w:tc>
      </w:tr>
      <w:tr>
        <w:trPr/>
        <w:tc>
          <w:tcPr>
            <w:tcW w:w="6076"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rPr/>
            </w:pPr>
            <w:r>
              <w:rPr/>
              <w:t>​</w:t>
            </w:r>
          </w:p>
        </w:tc>
        <w:tc>
          <w:tcPr>
            <w:tcW w:w="245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(14,476)</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(57,468)</w:t>
            </w:r>
          </w:p>
        </w:tc>
        <w:tc>
          <w:tcPr>
            <w:tcW w:w="154" w:type="dxa"/>
            <w:tcBorders/>
            <w:shd w:fill="CCEEFF" w:val="clear"/>
            <w:vAlign w:val="center"/>
          </w:tcPr>
          <w:p>
            <w:pPr>
              <w:pStyle w:val="TableContents"/>
              <w:spacing w:before="0" w:after="0"/>
              <w:ind w:left="0" w:right="0" w:hanging="0"/>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223" w:type="dxa"/>
            <w:tcBorders/>
            <w:shd w:fill="auto" w:val="clear"/>
            <w:vAlign w:val="center"/>
          </w:tcPr>
          <w:p>
            <w:pPr>
              <w:pStyle w:val="TableContents"/>
              <w:spacing w:before="0" w:after="0"/>
              <w:ind w:left="0" w:right="0" w:hanging="0"/>
              <w:rPr/>
            </w:pPr>
            <w:r>
              <w:rPr/>
              <w:t> </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(9,942)</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(6,666)</w:t>
            </w:r>
          </w:p>
        </w:tc>
        <w:tc>
          <w:tcPr>
            <w:tcW w:w="154" w:type="dxa"/>
            <w:tcBorders/>
            <w:shd w:fill="auto" w:val="clear"/>
            <w:vAlign w:val="center"/>
          </w:tcPr>
          <w:p>
            <w:pPr>
              <w:pStyle w:val="TableContents"/>
              <w:spacing w:before="0" w:after="0"/>
              <w:ind w:left="0" w:right="0" w:hanging="0"/>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223" w:type="dxa"/>
            <w:tcBorders/>
            <w:shd w:fill="CCEEFF" w:val="clear"/>
            <w:vAlign w:val="center"/>
          </w:tcPr>
          <w:p>
            <w:pPr>
              <w:pStyle w:val="TableContents"/>
              <w:spacing w:before="0" w:after="0"/>
              <w:ind w:left="0" w:right="0" w:hanging="0"/>
              <w:rPr/>
            </w:pPr>
            <w:r>
              <w:rPr/>
              <w:t> </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47,086</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39,251</w:t>
            </w:r>
          </w:p>
        </w:tc>
        <w:tc>
          <w:tcPr>
            <w:tcW w:w="154" w:type="dxa"/>
            <w:tcBorders/>
            <w:shd w:fill="CCEEFF" w:val="clear"/>
            <w:vAlign w:val="center"/>
          </w:tcPr>
          <w:p>
            <w:pPr>
              <w:pStyle w:val="TableContents"/>
              <w:spacing w:before="0" w:after="0"/>
              <w:ind w:left="0" w:right="0" w:hanging="0"/>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154" w:type="dxa"/>
            <w:tcBorders/>
            <w:shd w:fill="auto" w:val="clear"/>
            <w:vAlign w:val="center"/>
          </w:tcPr>
          <w:p>
            <w:pPr>
              <w:pStyle w:val="TableContents"/>
              <w:spacing w:before="0" w:after="0"/>
              <w:ind w:left="0" w:right="0" w:hanging="0"/>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w:t>
            </w:r>
          </w:p>
        </w:tc>
        <w:tc>
          <w:tcPr>
            <w:tcW w:w="2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22,390</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(25,294)</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Operating Activities</w:t>
      </w:r>
    </w:p>
    <w:p>
      <w:pPr>
        <w:pStyle w:val="TextBody"/>
        <w:spacing w:before="0" w:after="240"/>
        <w:ind w:left="0" w:right="0" w:firstLine="360"/>
        <w:rPr>
          <w:rFonts w:ascii="Times New Roman;Times;serif" w:hAnsi="Times New Roman;Times;serif"/>
          <w:sz w:val="20"/>
        </w:rPr>
      </w:pPr>
      <w:bookmarkStart w:id="979" w:name="_Hlk103093305"/>
      <w:bookmarkEnd w:id="979"/>
      <w:r>
        <w:rPr>
          <w:rFonts w:ascii="Times New Roman;Times;serif" w:hAnsi="Times New Roman;Times;serif"/>
          <w:sz w:val="20"/>
        </w:rPr>
        <w:t>During the fiscal quarter ended April 1, 2023, operating activities used $14.5 million of cash. Net loss, after adjustments for non-cash items, provided cash of $11.4 million. Cash used in operating activities was further driven by changes in our operating assets and liabilities, which used $25.8 million. Net cash used in changes in our operating assets and liabilities for the fiscal quarter ended April 1, 2023 consisted primarily of a $55.3 million increase in trade receivables, a $2.8 million increase in income tax receivable, a $1.2 million increase in other assets, a $0.6 million increase in prepaid expenses and other current assets, and a $3.2 million decrease in accrued expenses and other current liabilities, partially offset by, a $15.6 million decrease in inventories, a $20.9 million increase in accounts payable, and a $0.7 million increase in other long-term liabilities.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2, 2022, operating activities used $57.5 million of cash. Net loss, after adjustments for non-cash items, provided cash of $38.6 million. Cash used in operating activities was further driven by changes in our operating assets and liabilities, which used $96.1 million. Net cash used in changes in our operating assets and liabilities for the fiscal quarter ended April 2, 2022 consisted primarily of a $78.9 million increase in trade receivables, a $30.5 million increase in inventories, a $0.8 million increase in prepaid expenses and other current assets, a $0.3 million increase in other assets, a $3.2 million decrease in accrued expenses and other current liabilities, partially offset by a $17.5 million increase in accounts payable, and a $0.3 million increase in other long-term liabilities. The change in trade receivables was primarily driven by the timing of, and increase in, net sales, and the increase in inventories was primarily driven by a strategic decision to carry more inventory in an attempt to minimize the impact of any supply chain interruptions as well as higher costs. The changes in accrued expenses and other current liabilities and accounts payable were primarily driven by volume of purchases and timing of payments.</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Investing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1, 2023, investing activities used $9.9 million of cash, consisting of purchases of property and equipment for $9.9 million. The purchase of property and equipment was primarily to expand capacity for production, especially for fiberglass pools.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2, 2022, investing activities used $6.7 million of cash, consisting of purchases of property and equipment. The purchase of property and equipment was primarily to expand capacity for inventory production in order to meet increasing customer demand.</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Financing Activities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1, 2023, financing activities provided $47.1 million of cash, primarily consisting of borrowings on revolving credit facilities of $48.0 million, partially offset by repayments on long-term debt borrowings of $0.8 million, and repayments of finance lease obligations of $0.1 million.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During the fiscal quarter ended April 2, 2022, financing activities provided $39.3 million of cash, primarily consisting of proceeds from long-term debt borrowings in connection with the Refinancing of $320.1 million, proceeds from the sale of common stock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$257.7 million and borrowings on revolving credit facilities of $20.0 million, partially offset by repayments on long-term debt borrowings of $284.0 million, the repurchase and retirement of common stock of $257.7 million, repayments on revolving credit facility borrowings of $10.0 million, and deferred financing fees paid of $6.9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Obligations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have been no material changes, outside of the ordinary course of business, to our contractual obligations during the fiscal quarter ended April 1, 2023 from those described under the heading “Management’s Discussion and Analysis of Financial Condition and Results of Operations—Contractual Obligations” in our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below and under the heading “Management’s Discussion and Analysis of Financial Condition and Results of Operations—Critical Accounting Policies and Estimates” in our Annual Report.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as well as Note 2 - Summary of Significant Accounting Policies in the notes to the condensed consolidated financial statements included in Part I, Item 1, of this Quarterly Report on Form 10-Q.</w:t>
      </w:r>
    </w:p>
    <w:p>
      <w:pPr>
        <w:pStyle w:val="TextBody"/>
        <w:shd w:fill="FFFFFF" w:val="clear"/>
        <w:spacing w:before="0" w:after="240"/>
        <w:ind w:left="403" w:right="0" w:hanging="0"/>
        <w:rPr>
          <w:rFonts w:ascii="Times New Roman;Times;serif" w:hAnsi="Times New Roman;Times;serif"/>
          <w:b/>
          <w:i/>
          <w:sz w:val="20"/>
        </w:rPr>
      </w:pPr>
      <w:r>
        <w:rPr>
          <w:rFonts w:ascii="Times New Roman;Times;serif" w:hAnsi="Times New Roman;Times;serif"/>
          <w:b/>
          <w:i/>
          <w:sz w:val="20"/>
        </w:rPr>
        <w:t>Impairment of Goodwill</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qualitative factors we assessed as part of our annual impairment testing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Based on the results of the qualitative assessments performed for our one reporting unit, we determined that goodwill was not impaired at October 2, 2022 or October 3, 2021. Subsequent to April 1, 2023, our stock price has declined to a level that may require us to analyze goodwill for impairment and could result in a non-cash impairment charge during the fiscal quarter ended July 1, 2023 or in subsequent periods.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Recently Issued and Adopted Accounting Pronouncements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pStyle w:val="TextBody"/>
        <w:spacing w:before="0" w:after="240"/>
        <w:ind w:left="0" w:right="0" w:hanging="0"/>
        <w:rPr>
          <w:rFonts w:ascii="Times New Roman;Times;serif" w:hAnsi="Times New Roman;Times;serif"/>
          <w:b/>
          <w:sz w:val="20"/>
        </w:rPr>
      </w:pPr>
      <w:bookmarkStart w:id="980" w:name="Item3QuantitativeandQualitativeDisclosur"/>
      <w:bookmarkStart w:id="981" w:name="_Item_3._Quantitative"/>
      <w:bookmarkStart w:id="982" w:name="_5193dbaa_1230_47fc_a677_384667050a88"/>
      <w:bookmarkEnd w:id="980"/>
      <w:bookmarkEnd w:id="981"/>
      <w:bookmarkEnd w:id="982"/>
      <w:r>
        <w:rPr>
          <w:rFonts w:ascii="Times New Roman;Times;serif" w:hAnsi="Times New Roman;Times;serif"/>
          <w:b/>
          <w:sz w:val="20"/>
        </w:rPr>
        <w:t>Item 3. Quantitative and Qualitative Disclosures About Market Risk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During the fiscal quarter ended April 1, 2023, there have been no material changes, other than the interest rate swap discussed below, to the information included under the heading “Management’s Discussion and Analysis of Financial Condition and Results of Operations— Quantitative and Qualitative Disclosures about Market Risk” in our Annual Report.</w:t>
      </w:r>
    </w:p>
    <w:p>
      <w:pPr>
        <w:pStyle w:val="TextBody"/>
        <w:spacing w:before="0" w:after="240"/>
        <w:ind w:left="0" w:right="0" w:firstLine="360"/>
        <w:rPr>
          <w:rFonts w:ascii="Times New Roman;Times;serif" w:hAnsi="Times New Roman;Times;serif"/>
          <w:b/>
          <w:i/>
          <w:sz w:val="20"/>
        </w:rPr>
      </w:pPr>
      <w:r>
        <w:rPr>
          <w:rFonts w:ascii="Times New Roman;Times;serif" w:hAnsi="Times New Roman;Times;serif"/>
          <w:b/>
          <w:i/>
          <w:sz w:val="20"/>
        </w:rPr>
        <w:t>Interest Rate Risk</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The Company entered into an additional interest rate swap that was executed on March 10, 2023. The swap has an effective date of May 18, 2023 and a termination date of May 18, 2026. Under the terms of the swap, the Company fixed its SOFR borrowing rate on a notional amount of $161.0 million. The interest rate swap is not designated as a hedging instrument for accounting purposes.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An increase or decrease of 1% in the effective interest rate, giving effect related to interest rate swaps, as of April 1, 2023, would cause an increase or decrease to annual interest expense of approximately $1.5 million.</w:t>
      </w:r>
    </w:p>
    <w:p>
      <w:pPr>
        <w:pStyle w:val="TextBody"/>
        <w:spacing w:before="0" w:after="240"/>
        <w:ind w:left="0" w:right="0" w:firstLine="360"/>
        <w:rPr/>
      </w:pPr>
      <w:r>
        <w:rPr/>
        <w:t>​</w:t>
      </w:r>
    </w:p>
    <w:p>
      <w:pPr>
        <w:pStyle w:val="TextBody"/>
        <w:spacing w:before="0" w:after="240"/>
        <w:ind w:left="0" w:right="0" w:hanging="0"/>
        <w:rPr>
          <w:rFonts w:ascii="Times New Roman;Times;serif" w:hAnsi="Times New Roman;Times;serif"/>
          <w:b/>
          <w:sz w:val="20"/>
        </w:rPr>
      </w:pPr>
      <w:bookmarkStart w:id="983" w:name="Item4ControlsandProcedures_231254"/>
      <w:bookmarkStart w:id="984" w:name="_8db4cd29_041e_4d5c_a719_eca105bd6c48"/>
      <w:bookmarkEnd w:id="983"/>
      <w:bookmarkEnd w:id="984"/>
      <w:r>
        <w:rPr>
          <w:rFonts w:ascii="Times New Roman;Times;serif" w:hAnsi="Times New Roman;Times;serif"/>
          <w:b/>
          <w:sz w:val="20"/>
        </w:rPr>
        <w:t>Item 4. 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As required by Rules 13a-15 and 15d-15 under the Exchange Act, our Chief Executive Officer and Chief Financial Officer carried out an evaluation of the effectiveness of the design and operation of our disclosure controls and procedures as of April 1, 2023. Based upon their evaluation, our Chief Executive Officer and Chief Financial Officer concluded that our disclosure controls and procedures were effective at a reasonable assurance level as of April 1, 2023.</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pStyle w:val="TextBody"/>
        <w:spacing w:before="0" w:after="240"/>
        <w:ind w:left="0" w:right="0" w:hanging="0"/>
        <w:rPr>
          <w:rFonts w:ascii="Times New Roman;Times;serif" w:hAnsi="Times New Roman;Times;serif"/>
          <w:b/>
          <w:sz w:val="20"/>
        </w:rPr>
      </w:pPr>
      <w:bookmarkStart w:id="985" w:name="PARTIIOTHERINFORMATION_817159"/>
      <w:bookmarkStart w:id="986" w:name="_3943ea85_8ad6_4062_9d82_b3b1978a8845"/>
      <w:bookmarkEnd w:id="985"/>
      <w:bookmarkEnd w:id="986"/>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b/>
          <w:sz w:val="20"/>
        </w:rPr>
      </w:pPr>
      <w:bookmarkStart w:id="987" w:name="Item1LegalProceedings"/>
      <w:bookmarkStart w:id="988" w:name="_Item_1._Legal"/>
      <w:bookmarkEnd w:id="987"/>
      <w:bookmarkEnd w:id="988"/>
      <w:r>
        <w:rPr>
          <w:rFonts w:ascii="Times New Roman;Times;serif" w:hAnsi="Times New Roman;Times;serif"/>
          <w:b/>
          <w:sz w:val="20"/>
        </w:rPr>
        <w:t>Item 1. Legal Proceedings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April 1, 2023. However, the results of any current or future litigation cannot be predicted with certainty and, regardless of the outcome, we may incur significant costs and experience a diversion of management resources as a result of litigation.</w:t>
      </w:r>
    </w:p>
    <w:p>
      <w:pPr>
        <w:pStyle w:val="TextBody"/>
        <w:spacing w:before="0" w:after="240"/>
        <w:ind w:left="0" w:right="0" w:hanging="0"/>
        <w:rPr>
          <w:rFonts w:ascii="Times New Roman;Times;serif" w:hAnsi="Times New Roman;Times;serif"/>
          <w:b/>
          <w:sz w:val="20"/>
        </w:rPr>
      </w:pPr>
      <w:bookmarkStart w:id="989" w:name="Item1ARiskFactors_762234"/>
      <w:bookmarkStart w:id="990" w:name="_8187c114_75e8_49a0_bac1_f7f3b9fc7313"/>
      <w:bookmarkEnd w:id="989"/>
      <w:bookmarkEnd w:id="990"/>
      <w:r>
        <w:rPr>
          <w:rFonts w:ascii="Times New Roman;Times;serif" w:hAnsi="Times New Roman;Times;serif"/>
          <w:b/>
          <w:sz w:val="20"/>
        </w:rPr>
        <w:t>Item 1A. Risk Factors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in this Form 10-Q and other subsequent reports we file or furnish with the SEC,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Any of these known or emerging factors may materially adversely affect our business, financial condition and operating results, as well as the trading price of our common stock.</w:t>
      </w:r>
    </w:p>
    <w:p>
      <w:pPr>
        <w:pStyle w:val="TextBody"/>
        <w:spacing w:before="0" w:after="240"/>
        <w:ind w:left="0" w:right="0" w:hanging="0"/>
        <w:rPr>
          <w:rFonts w:ascii="Times New Roman;Times;serif" w:hAnsi="Times New Roman;Times;serif"/>
          <w:b/>
          <w:sz w:val="20"/>
        </w:rPr>
      </w:pPr>
      <w:bookmarkStart w:id="991" w:name="Item2UnregisteredSalesofEquitySecurities"/>
      <w:bookmarkStart w:id="992" w:name="_Item_2._Unregistered"/>
      <w:bookmarkStart w:id="993" w:name="_4ffdf827_c470_4ce2_b10e_8e7e293fb57c"/>
      <w:bookmarkEnd w:id="991"/>
      <w:bookmarkEnd w:id="992"/>
      <w:bookmarkEnd w:id="993"/>
      <w:r>
        <w:rPr>
          <w:rFonts w:ascii="Times New Roman;Times;serif" w:hAnsi="Times New Roman;Times;serif"/>
          <w:b/>
          <w:sz w:val="20"/>
        </w:rPr>
        <w:t>Item 2. Unregistered Sales of Equity Securities and Use of Proceeds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April 1, 2023, approximately $77.0 million remained available for share repurchases pursuant to the repurchase program. We did not repurchase any shares of our common stock during the fiscal quarter ended April 1, 2023.</w:t>
      </w:r>
    </w:p>
    <w:p>
      <w:pPr>
        <w:pStyle w:val="TextBody"/>
        <w:spacing w:before="0" w:after="0"/>
        <w:ind w:left="0" w:right="0" w:firstLine="360"/>
        <w:rPr/>
      </w:pPr>
      <w:r>
        <w:rPr/>
        <w:t>​</w:t>
      </w:r>
    </w:p>
    <w:p>
      <w:pPr>
        <w:pStyle w:val="TextBody"/>
        <w:spacing w:before="0" w:after="240"/>
        <w:ind w:left="0" w:right="0" w:firstLine="360"/>
        <w:rPr/>
      </w:pPr>
      <w:r>
        <w:rPr/>
        <w:t>​</w:t>
      </w:r>
    </w:p>
    <w:p>
      <w:pPr>
        <w:pStyle w:val="TextBody"/>
        <w:spacing w:before="0" w:after="240"/>
        <w:ind w:left="0" w:right="0" w:hanging="0"/>
        <w:rPr/>
      </w:pPr>
      <w:bookmarkStart w:id="994" w:name="_a7be6a07_ad15_46cb_a90b_2ea1d9c8ab97"/>
      <w:bookmarkEnd w:id="994"/>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95" w:name="Item6Exhibits_62690"/>
      <w:bookmarkEnd w:id="995"/>
      <w:r>
        <w:rPr>
          <w:rFonts w:ascii="Times New Roman;Times;serif" w:hAnsi="Times New Roman;Times;serif"/>
          <w:b/>
          <w:sz w:val="20"/>
        </w:rPr>
        <w:t xml:space="preserve">Item 6. Exhibits </w:t>
      </w:r>
    </w:p>
    <w:tbl>
      <w:tblPr>
        <w:tblW w:w="10205" w:type="dxa"/>
        <w:jc w:val="left"/>
        <w:tblInd w:w="0" w:type="dxa"/>
        <w:tblCellMar>
          <w:top w:w="0" w:type="dxa"/>
          <w:left w:w="0" w:type="dxa"/>
          <w:bottom w:w="0" w:type="dxa"/>
          <w:right w:w="0" w:type="dxa"/>
        </w:tblCellMar>
      </w:tblPr>
      <w:tblGrid>
        <w:gridCol w:w="785"/>
        <w:gridCol w:w="206"/>
        <w:gridCol w:w="9214"/>
      </w:tblGrid>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Exhibit</w:t>
            </w:r>
          </w:p>
        </w:tc>
        <w:tc>
          <w:tcPr>
            <w:tcW w:w="206" w:type="dxa"/>
            <w:tcBorders/>
            <w:shd w:fill="auto" w:val="clear"/>
            <w:vAlign w:val="center"/>
          </w:tcPr>
          <w:p>
            <w:pPr>
              <w:pStyle w:val="TableContents"/>
              <w:spacing w:before="0" w:after="0"/>
              <w:ind w:left="0" w:right="0" w:hanging="0"/>
              <w:rPr/>
            </w:pPr>
            <w:r>
              <w:rPr/>
              <w:t>  </w:t>
            </w:r>
          </w:p>
        </w:tc>
        <w:tc>
          <w:tcPr>
            <w:tcW w:w="9214" w:type="dxa"/>
            <w:tcBorders/>
            <w:shd w:fill="auto" w:val="clear"/>
            <w:vAlign w:val="center"/>
          </w:tcPr>
          <w:p>
            <w:pPr>
              <w:pStyle w:val="TableContents"/>
              <w:spacing w:before="0" w:after="0"/>
              <w:ind w:left="0" w:right="0" w:hanging="0"/>
              <w:rPr/>
            </w:pPr>
            <w:r>
              <w:rPr/>
              <w:t>​</w:t>
            </w:r>
          </w:p>
        </w:tc>
      </w:tr>
      <w:tr>
        <w:trPr/>
        <w:tc>
          <w:tcPr>
            <w:tcW w:w="7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w:t>
            </w:r>
          </w:p>
        </w:tc>
        <w:tc>
          <w:tcPr>
            <w:tcW w:w="206" w:type="dxa"/>
            <w:tcBorders/>
            <w:shd w:fill="auto" w:val="clear"/>
            <w:vAlign w:val="center"/>
          </w:tcPr>
          <w:p>
            <w:pPr>
              <w:pStyle w:val="TableContents"/>
              <w:spacing w:before="0" w:after="0"/>
              <w:ind w:left="0" w:right="0" w:hanging="0"/>
              <w:rPr/>
            </w:pPr>
            <w:r>
              <w:rPr/>
              <w:t>​</w:t>
            </w:r>
          </w:p>
        </w:tc>
        <w:tc>
          <w:tcPr>
            <w:tcW w:w="921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Description</w:t>
            </w:r>
          </w:p>
        </w:tc>
      </w:tr>
      <w:tr>
        <w:trPr/>
        <w:tc>
          <w:tcPr>
            <w:tcW w:w="78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206" w:type="dxa"/>
            <w:tcBorders/>
            <w:shd w:fill="auto" w:val="clear"/>
            <w:vAlign w:val="center"/>
          </w:tcPr>
          <w:p>
            <w:pPr>
              <w:pStyle w:val="TableContents"/>
              <w:spacing w:before="0" w:after="0"/>
              <w:ind w:left="0" w:right="0" w:hanging="0"/>
              <w:rPr/>
            </w:pPr>
            <w:r>
              <w:rPr/>
              <w:t>​</w:t>
            </w:r>
          </w:p>
        </w:tc>
        <w:tc>
          <w:tcPr>
            <w:tcW w:w="9214" w:type="dxa"/>
            <w:tcBorders>
              <w:top w:val="single" w:sz="2" w:space="0" w:color="000000"/>
            </w:tcBorders>
            <w:shd w:fill="auto" w:val="clear"/>
            <w:tcMar>
              <w:top w:w="28" w:type="dxa"/>
            </w:tcM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Employment Agreement by and between J. Mark Borseth and Latham Group, Inc., dated February 6, 2023 (incorporated by reference to Exhibit 10.1 to Latham Group, Inc.’s Current Report on Form 8-K/A filed with the SEC on February 6, 2023 (File No. 001-40358)).</w:t>
              </w:r>
            </w:hyperlink>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Form of Restricted Stock Unit Award Agreement under the 2021 Omnibus Equity Incentive Plan dated March 2023 (incorporated by reference to Exhibit 10.14 to Latham Group, Inc.’s Annual Report on Form 10-K filed with the SEC on March 7, 2023 (File No. 001-40358)).</w:t>
              </w:r>
            </w:hyperlink>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Form of Stock Appreciation Right Award Agreement under the 2021 Omnibus Equity Incentive Plan dated March 2023 (incorporated by reference to Exhibit 10.15 to Latham Group, Inc.’s Annual Report on Form 10-K filed with the SEC on March 7, 2023 (File No. 001-40358)).</w:t>
              </w:r>
            </w:hyperlink>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Latham Group, Inc. Non-Employee Director Compensation Plan (incorporated by reference to Exhibit 10.16 to Latham Group, Inc.’s Annual Report on Form 10-K filed with the SEC on March 7, 2023 (File No. 001-40358)).</w:t>
              </w:r>
            </w:hyperlink>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Form of Latham Group, Inc. Management Incentive Bonus Plan (incorporated by reference to Exhibit 10.17 to Latham Group, Inc.’s Annual Report on Form 10-K filed with the SEC on March 7, 2023 (File No. 001-40358)).</w:t>
              </w:r>
            </w:hyperlink>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w:anchor="swim-20230401xex31d1.htm">
              <w:r>
                <w:rPr>
                  <w:rStyle w:val="InternetLink"/>
                  <w:rFonts w:ascii="Times New Roman;Times;serif" w:hAnsi="Times New Roman;Times;serif"/>
                  <w:b w:val="false"/>
                  <w:i w:val="false"/>
                  <w:caps w:val="false"/>
                  <w:smallCaps w:val="false"/>
                  <w:sz w:val="20"/>
                </w:rPr>
                <w:t>Certification of CEO, pursuant to SEC Rule 13a-14(a) and 15d-14(a)</w:t>
              </w:r>
            </w:hyperlink>
            <w:r>
              <w:rPr>
                <w:rFonts w:ascii="Times New Roman;Times;serif" w:hAnsi="Times New Roman;Times;serif"/>
                <w:sz w:val="20"/>
              </w:rPr>
              <w:t xml:space="preserve"> (filed herewith)</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w:anchor="swim-20230401xex31d2.htm">
              <w:r>
                <w:rPr>
                  <w:rStyle w:val="InternetLink"/>
                  <w:rFonts w:ascii="Times New Roman;Times;serif" w:hAnsi="Times New Roman;Times;serif"/>
                  <w:b w:val="false"/>
                  <w:i w:val="false"/>
                  <w:caps w:val="false"/>
                  <w:smallCaps w:val="false"/>
                  <w:sz w:val="20"/>
                </w:rPr>
                <w:t>Certification of CFO, pursuant to SEC Rule 13a-14(a) and 15d-14(a)</w:t>
              </w:r>
            </w:hyperlink>
            <w:r>
              <w:rPr>
                <w:rFonts w:ascii="Times New Roman;Times;serif" w:hAnsi="Times New Roman;Times;serif"/>
                <w:sz w:val="20"/>
              </w:rPr>
              <w:t xml:space="preserve"> (filed herewith)</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w:anchor="swim-20230401xex32d1.htm">
              <w:r>
                <w:rPr>
                  <w:rStyle w:val="InternetLink"/>
                  <w:rFonts w:ascii="Times New Roman;Times;serif" w:hAnsi="Times New Roman;Times;serif"/>
                  <w:b w:val="false"/>
                  <w:i w:val="false"/>
                  <w:caps w:val="false"/>
                  <w:smallCaps w:val="false"/>
                  <w:sz w:val="20"/>
                </w:rPr>
                <w:t>Certification by the CEO, pursuant to 18 U.S.C. Section 1350, as adopted pursuant to Section 906 of the Sarbanes-Oxley Act of 2002</w:t>
              </w:r>
            </w:hyperlink>
            <w:r>
              <w:rPr>
                <w:rFonts w:ascii="Times New Roman;Times;serif" w:hAnsi="Times New Roman;Times;serif"/>
                <w:sz w:val="20"/>
              </w:rPr>
              <w:t xml:space="preserve"> (furnished herewith)</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pPr>
            <w:hyperlink w:anchor="swim-20230401xex32d2.htm">
              <w:r>
                <w:rPr>
                  <w:rStyle w:val="InternetLink"/>
                  <w:rFonts w:ascii="Times New Roman;Times;serif" w:hAnsi="Times New Roman;Times;serif"/>
                  <w:b w:val="false"/>
                  <w:i w:val="false"/>
                  <w:caps w:val="false"/>
                  <w:smallCaps w:val="false"/>
                  <w:sz w:val="20"/>
                </w:rPr>
                <w:t>Certification by the CFO, pursuant to 18 U.S.C. Section 1350, as adopted pursuant to Section 906 of the Sarbanes-Oxley Act of 2002</w:t>
              </w:r>
            </w:hyperlink>
            <w:r>
              <w:rPr>
                <w:rFonts w:ascii="Times New Roman;Times;serif" w:hAnsi="Times New Roman;Times;serif"/>
                <w:sz w:val="20"/>
              </w:rPr>
              <w:t xml:space="preserve"> (furnished herewith)</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06" w:type="dxa"/>
            <w:tcBorders/>
            <w:shd w:fill="auto" w:val="clear"/>
            <w:vAlign w:val="center"/>
          </w:tcPr>
          <w:p>
            <w:pPr>
              <w:pStyle w:val="TableContents"/>
              <w:spacing w:before="0" w:after="0"/>
              <w:ind w:left="0" w:right="0" w:hanging="0"/>
              <w:rPr/>
            </w:pPr>
            <w:r>
              <w:rPr/>
              <w:t>​</w:t>
            </w:r>
          </w:p>
        </w:tc>
        <w:tc>
          <w:tcPr>
            <w:tcW w:w="92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pPr>
      <w:r>
        <w:rPr/>
        <w:t>​</w:t>
      </w:r>
    </w:p>
    <w:tbl>
      <w:tblPr>
        <w:tblW w:w="9771" w:type="dxa"/>
        <w:jc w:val="left"/>
        <w:tblInd w:w="0" w:type="dxa"/>
        <w:tblCellMar>
          <w:top w:w="0" w:type="dxa"/>
          <w:left w:w="0" w:type="dxa"/>
          <w:bottom w:w="0" w:type="dxa"/>
          <w:right w:w="0" w:type="dxa"/>
        </w:tblCellMar>
      </w:tblPr>
      <w:tblGrid>
        <w:gridCol w:w="331"/>
        <w:gridCol w:w="109"/>
        <w:gridCol w:w="9331"/>
      </w:tblGrid>
      <w:tr>
        <w:trPr/>
        <w:tc>
          <w:tcPr>
            <w:tcW w:w="3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Indicates management contract or compensatory plan.</w:t>
            </w:r>
          </w:p>
        </w:tc>
      </w:tr>
      <w:tr>
        <w:trPr/>
        <w:tc>
          <w:tcPr>
            <w:tcW w:w="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Filed herewith.</w:t>
            </w:r>
          </w:p>
        </w:tc>
      </w:tr>
      <w:tr>
        <w:trPr/>
        <w:tc>
          <w:tcPr>
            <w:tcW w:w="33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925185" cy="175260"/>
                      <wp:effectExtent l="0" t="0" r="0" b="0"/>
                      <wp:wrapNone/>
                      <wp:docPr id="274" name="Frame274"/>
                      <a:graphic xmlns:a="http://schemas.openxmlformats.org/drawingml/2006/main">
                        <a:graphicData uri="http://schemas.microsoft.com/office/word/2010/wordprocessingShape">
                          <wps:wsp>
                            <wps:cNvSpPr txBox="1"/>
                            <wps:spPr>
                              <a:xfrm>
                                <a:off x="0" y="0"/>
                                <a:ext cx="5925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9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 signed original of the written statement required by Section 906 has been provided to the Company and will be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by the Company and forwarded to the SEC or its staff upon request.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96" w:name="SIGNATURES_654110"/>
      <w:bookmarkStart w:id="997" w:name="_de1a69c6_3f64_40a3_af15_2e8fbd9f823c"/>
      <w:bookmarkEnd w:id="996"/>
      <w:bookmarkEnd w:id="997"/>
      <w:r>
        <w:rPr>
          <w:rFonts w:ascii="Times New Roman;Times;serif" w:hAnsi="Times New Roman;Times;serif"/>
          <w:b/>
          <w:sz w:val="20"/>
        </w:rPr>
        <w:t>SIGNATURES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9, 2023</w:t>
      </w:r>
    </w:p>
    <w:p>
      <w:pPr>
        <w:pStyle w:val="TextBody"/>
        <w:spacing w:before="0" w:after="0"/>
        <w:ind w:left="0" w:right="0" w:hanging="0"/>
        <w:rPr/>
      </w:pPr>
      <w:r>
        <w:rPr/>
        <w:t>​</w:t>
      </w:r>
    </w:p>
    <w:tbl>
      <w:tblPr>
        <w:tblW w:w="2765" w:type="dxa"/>
        <w:jc w:val="left"/>
        <w:tblInd w:w="0" w:type="dxa"/>
        <w:tblCellMar>
          <w:top w:w="0" w:type="dxa"/>
          <w:left w:w="0" w:type="dxa"/>
          <w:bottom w:w="0" w:type="dxa"/>
          <w:right w:w="0" w:type="dxa"/>
        </w:tblCellMar>
      </w:tblPr>
      <w:tblGrid>
        <w:gridCol w:w="124"/>
        <w:gridCol w:w="264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8740" cy="175260"/>
                      <wp:effectExtent l="0" t="0" r="0" b="0"/>
                      <wp:wrapNone/>
                      <wp:docPr id="275" name="Frame27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77035" cy="175260"/>
                      <wp:effectExtent l="0" t="0" r="0" b="0"/>
                      <wp:wrapNone/>
                      <wp:docPr id="276" name="Frame276"/>
                      <a:graphic xmlns:a="http://schemas.openxmlformats.org/drawingml/2006/main">
                        <a:graphicData uri="http://schemas.microsoft.com/office/word/2010/wordprocessingShape">
                          <wps:wsp>
                            <wps:cNvSpPr txBox="1"/>
                            <wps:spPr>
                              <a:xfrm>
                                <a:off x="0" y="0"/>
                                <a:ext cx="167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LATHAM GROUP, INC.</w: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James Mark Borseth</w: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James Mark Borseth</w: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Interim 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641" w:type="dxa"/>
            <w:tcBorders/>
            <w:shd w:fill="auto" w:val="clear"/>
            <w:vAlign w:val="center"/>
          </w:tcPr>
          <w:p>
            <w:pPr>
              <w:pStyle w:val="TableContents"/>
              <w:spacing w:before="0" w:after="0"/>
              <w:ind w:left="245"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r>
        <w:br w:type="page"/>
      </w:r>
    </w:p>
    <w:p>
      <w:pPr>
        <w:pStyle w:val="TextBody"/>
        <w:spacing w:before="0" w:after="240"/>
        <w:ind w:left="0" w:right="0" w:hanging="0"/>
        <w:jc w:val="right"/>
        <w:rPr>
          <w:rFonts w:ascii="Times New Roman;Times;serif" w:hAnsi="Times New Roman;Times;serif"/>
          <w:b/>
          <w:sz w:val="23"/>
        </w:rPr>
      </w:pPr>
      <w:bookmarkStart w:id="998" w:name="swim-20230401xex31d1.htm"/>
      <w:bookmarkStart w:id="999" w:name="ksswim20230401xex31d1"/>
      <w:bookmarkEnd w:id="998"/>
      <w:bookmarkEnd w:id="999"/>
      <w:r>
        <w:rPr>
          <w:rFonts w:ascii="Times New Roman;Times;serif" w:hAnsi="Times New Roman;Times;serif"/>
          <w:b/>
          <w:sz w:val="23"/>
        </w:rPr>
        <w:t>Exhibit 31.1</w:t>
      </w:r>
    </w:p>
    <w:p>
      <w:pPr>
        <w:pStyle w:val="TextBody"/>
        <w:spacing w:before="0" w:after="240"/>
        <w:ind w:left="0" w:right="0" w:hanging="0"/>
        <w:jc w:val="center"/>
        <w:rPr>
          <w:rFonts w:ascii="Times New Roman;Times;serif" w:hAnsi="Times New Roman;Times;serif"/>
          <w:b/>
          <w:sz w:val="23"/>
        </w:rPr>
      </w:pPr>
      <w:r>
        <w:rPr>
          <w:rFonts w:ascii="Times New Roman;Times;serif" w:hAnsi="Times New Roman;Times;serif"/>
          <w:b/>
          <w:sz w:val="23"/>
        </w:rPr>
        <w:t>LATHAM GROUP, INC.</w:t>
      </w:r>
    </w:p>
    <w:p>
      <w:pPr>
        <w:pStyle w:val="TextBody"/>
        <w:spacing w:before="0" w:after="100"/>
        <w:ind w:left="0" w:right="0" w:hanging="0"/>
        <w:rPr>
          <w:rFonts w:ascii="Times New Roman;Times;serif" w:hAnsi="Times New Roman;Times;serif"/>
          <w:sz w:val="23"/>
        </w:rPr>
      </w:pPr>
      <w:r>
        <w:rPr>
          <w:rFonts w:ascii="Times New Roman;Times;serif" w:hAnsi="Times New Roman;Times;serif"/>
          <w:sz w:val="23"/>
        </w:rPr>
        <w:t>I, Scott M. Rajeski, certify that:</w:t>
      </w:r>
    </w:p>
    <w:tbl>
      <w:tblPr>
        <w:tblW w:w="7263" w:type="dxa"/>
        <w:jc w:val="left"/>
        <w:tblInd w:w="0" w:type="dxa"/>
        <w:tblCellMar>
          <w:top w:w="0" w:type="dxa"/>
          <w:left w:w="0" w:type="dxa"/>
          <w:bottom w:w="0" w:type="dxa"/>
          <w:right w:w="0" w:type="dxa"/>
        </w:tblCellMar>
      </w:tblPr>
      <w:tblGrid>
        <w:gridCol w:w="23"/>
        <w:gridCol w:w="200"/>
        <w:gridCol w:w="704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1.</w:t>
            </w:r>
          </w:p>
        </w:tc>
        <w:tc>
          <w:tcPr>
            <w:tcW w:w="704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I have reviewed this quarterly report on Form 10-Q of Latham Group, Inc.;</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2.</w:t>
            </w:r>
          </w:p>
        </w:tc>
        <w:tc>
          <w:tcPr>
            <w:tcW w:w="10023"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3.</w:t>
            </w:r>
          </w:p>
        </w:tc>
        <w:tc>
          <w:tcPr>
            <w:tcW w:w="1002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57"/>
        <w:gridCol w:w="10025"/>
      </w:tblGrid>
      <w:tr>
        <w:trPr/>
        <w:tc>
          <w:tcPr>
            <w:tcW w:w="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4.</w:t>
            </w:r>
          </w:p>
        </w:tc>
        <w:tc>
          <w:tcPr>
            <w:tcW w:w="1002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c.</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5.</w:t>
            </w:r>
          </w:p>
        </w:tc>
        <w:tc>
          <w:tcPr>
            <w:tcW w:w="10021"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Any fraud, whether or not material, that involves management or other employees who have a significant role in the registrant’s internal control over financial reporting.</w:t>
            </w:r>
          </w:p>
        </w:tc>
      </w:tr>
    </w:tbl>
    <w:tbl>
      <w:tblPr>
        <w:tblW w:w="5012" w:type="dxa"/>
        <w:jc w:val="center"/>
        <w:tblInd w:w="0" w:type="dxa"/>
        <w:tblCellMar>
          <w:top w:w="0" w:type="dxa"/>
          <w:left w:w="0" w:type="dxa"/>
          <w:bottom w:w="0" w:type="dxa"/>
          <w:right w:w="0" w:type="dxa"/>
        </w:tblCellMar>
      </w:tblPr>
      <w:tblGrid>
        <w:gridCol w:w="1321"/>
        <w:gridCol w:w="3691"/>
      </w:tblGrid>
      <w:tr>
        <w:trPr/>
        <w:tc>
          <w:tcPr>
            <w:tcW w:w="1321" w:type="dxa"/>
            <w:tcBorders/>
            <w:shd w:fill="auto" w:val="clear"/>
            <w:vAlign w:val="center"/>
          </w:tcPr>
          <w:p>
            <w:pPr>
              <w:pStyle w:val="TableContents"/>
              <w:spacing w:before="0" w:after="0"/>
              <w:ind w:left="0" w:right="0" w:hanging="0"/>
              <w:rPr/>
            </w:pPr>
            <w:r>
              <w:rPr/>
              <w:t>​</w:t>
            </w:r>
          </w:p>
        </w:tc>
        <w:tc>
          <w:tcPr>
            <w:tcW w:w="3691" w:type="dxa"/>
            <w:tcBorders/>
            <w:shd w:fill="auto" w:val="clear"/>
            <w:vAlign w:val="center"/>
          </w:tcPr>
          <w:p>
            <w:pPr>
              <w:pStyle w:val="TableContents"/>
              <w:spacing w:before="0" w:after="0"/>
              <w:ind w:left="0" w:right="0" w:hanging="0"/>
              <w:rPr/>
            </w:pPr>
            <w:r>
              <w:rPr/>
              <w:t>​</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23"/>
              </w:rPr>
            </w:pPr>
            <w:r>
              <w:rPr>
                <w:rFonts w:ascii="Times New Roman;Times;serif" w:hAnsi="Times New Roman;Times;serif"/>
                <w:sz w:val="23"/>
              </w:rPr>
              <w:t>May 9, 2023</w:t>
            </w:r>
          </w:p>
        </w:tc>
        <w:tc>
          <w:tcPr>
            <w:tcW w:w="369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3"/>
              </w:rPr>
            </w:pPr>
            <w:r>
              <w:rPr>
                <w:rFonts w:ascii="Times New Roman;Times;serif" w:hAnsi="Times New Roman;Times;serif"/>
                <w:i/>
                <w:sz w:val="23"/>
              </w:rPr>
              <w:t>/s/ Scott M. Rajeski</w:t>
            </w:r>
          </w:p>
        </w:tc>
      </w:tr>
      <w:tr>
        <w:trPr/>
        <w:tc>
          <w:tcPr>
            <w:tcW w:w="1321" w:type="dxa"/>
            <w:tcBorders/>
            <w:shd w:fill="auto" w:val="clear"/>
            <w:vAlign w:val="center"/>
          </w:tcPr>
          <w:p>
            <w:pPr>
              <w:pStyle w:val="TableContents"/>
              <w:pBdr/>
              <w:spacing w:before="0" w:after="0"/>
              <w:ind w:left="0" w:right="0" w:hanging="0"/>
              <w:rPr/>
            </w:pPr>
            <w:r>
              <w:rPr/>
              <w:t> </w:t>
            </w:r>
          </w:p>
        </w:tc>
        <w:tc>
          <w:tcPr>
            <w:tcW w:w="369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Scott M. Rajeski</w:t>
            </w:r>
          </w:p>
        </w:tc>
      </w:tr>
      <w:tr>
        <w:trPr/>
        <w:tc>
          <w:tcPr>
            <w:tcW w:w="1321" w:type="dxa"/>
            <w:tcBorders/>
            <w:shd w:fill="auto" w:val="clear"/>
            <w:vAlign w:val="center"/>
          </w:tcPr>
          <w:p>
            <w:pPr>
              <w:pStyle w:val="TableContents"/>
              <w:pBdr/>
              <w:spacing w:before="0" w:after="0"/>
              <w:ind w:left="0" w:right="0" w:hanging="0"/>
              <w:rPr/>
            </w:pPr>
            <w:r>
              <w:rPr/>
              <w:t> </w:t>
            </w:r>
          </w:p>
        </w:tc>
        <w:tc>
          <w:tcPr>
            <w:tcW w:w="369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Chief Executive Officer and President</w:t>
            </w:r>
          </w:p>
        </w:tc>
      </w:tr>
      <w:tr>
        <w:trPr/>
        <w:tc>
          <w:tcPr>
            <w:tcW w:w="1321" w:type="dxa"/>
            <w:tcBorders/>
            <w:shd w:fill="auto" w:val="clear"/>
            <w:vAlign w:val="center"/>
          </w:tcPr>
          <w:p>
            <w:pPr>
              <w:pStyle w:val="TableContents"/>
              <w:pBdr/>
              <w:spacing w:before="0" w:after="0"/>
              <w:ind w:left="0" w:right="0" w:hanging="0"/>
              <w:rPr/>
            </w:pPr>
            <w:r>
              <w:rPr/>
              <w:t> </w:t>
            </w:r>
          </w:p>
        </w:tc>
        <w:tc>
          <w:tcPr>
            <w:tcW w:w="369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Latham Group, Inc.</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3"/>
        </w:rPr>
      </w:pPr>
      <w:bookmarkStart w:id="1000" w:name="swim-20230401xex31d2.htm"/>
      <w:bookmarkStart w:id="1001" w:name="ksswim20230401xex31d2"/>
      <w:bookmarkEnd w:id="1000"/>
      <w:bookmarkEnd w:id="1001"/>
      <w:r>
        <w:rPr>
          <w:rFonts w:ascii="Times New Roman;Times;serif" w:hAnsi="Times New Roman;Times;serif"/>
          <w:b/>
          <w:sz w:val="23"/>
        </w:rPr>
        <w:t>Exhibit 31.2</w:t>
      </w:r>
    </w:p>
    <w:p>
      <w:pPr>
        <w:pStyle w:val="TextBody"/>
        <w:spacing w:before="0" w:after="240"/>
        <w:ind w:left="0" w:right="0" w:hanging="0"/>
        <w:jc w:val="center"/>
        <w:rPr>
          <w:rFonts w:ascii="Times New Roman;Times;serif" w:hAnsi="Times New Roman;Times;serif"/>
          <w:b/>
          <w:sz w:val="23"/>
        </w:rPr>
      </w:pPr>
      <w:r>
        <w:rPr>
          <w:rFonts w:ascii="Times New Roman;Times;serif" w:hAnsi="Times New Roman;Times;serif"/>
          <w:b/>
          <w:sz w:val="23"/>
        </w:rPr>
        <w:t>LATHAM GROUP, INC.</w:t>
      </w:r>
    </w:p>
    <w:p>
      <w:pPr>
        <w:pStyle w:val="TextBody"/>
        <w:spacing w:before="0" w:after="100"/>
        <w:ind w:left="0" w:right="0" w:hanging="0"/>
        <w:rPr>
          <w:rFonts w:ascii="Times New Roman;Times;serif" w:hAnsi="Times New Roman;Times;serif"/>
          <w:sz w:val="23"/>
        </w:rPr>
      </w:pPr>
      <w:r>
        <w:rPr>
          <w:rFonts w:ascii="Times New Roman;Times;serif" w:hAnsi="Times New Roman;Times;serif"/>
          <w:sz w:val="23"/>
        </w:rPr>
        <w:t>I, James Mark Borseth, certify that:</w:t>
      </w:r>
    </w:p>
    <w:tbl>
      <w:tblPr>
        <w:tblW w:w="7263" w:type="dxa"/>
        <w:jc w:val="left"/>
        <w:tblInd w:w="0" w:type="dxa"/>
        <w:tblCellMar>
          <w:top w:w="0" w:type="dxa"/>
          <w:left w:w="0" w:type="dxa"/>
          <w:bottom w:w="0" w:type="dxa"/>
          <w:right w:w="0" w:type="dxa"/>
        </w:tblCellMar>
      </w:tblPr>
      <w:tblGrid>
        <w:gridCol w:w="23"/>
        <w:gridCol w:w="200"/>
        <w:gridCol w:w="704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1.</w:t>
            </w:r>
          </w:p>
        </w:tc>
        <w:tc>
          <w:tcPr>
            <w:tcW w:w="704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I have reviewed this quarterly report on Form 10-Q of Latham Group, Inc.;</w:t>
            </w:r>
          </w:p>
        </w:tc>
      </w:tr>
    </w:tbl>
    <w:tbl>
      <w:tblPr>
        <w:tblW w:w="10205" w:type="dxa"/>
        <w:jc w:val="left"/>
        <w:tblInd w:w="0" w:type="dxa"/>
        <w:tblCellMar>
          <w:top w:w="0" w:type="dxa"/>
          <w:left w:w="0" w:type="dxa"/>
          <w:bottom w:w="0" w:type="dxa"/>
          <w:right w:w="0" w:type="dxa"/>
        </w:tblCellMar>
      </w:tblPr>
      <w:tblGrid>
        <w:gridCol w:w="23"/>
        <w:gridCol w:w="159"/>
        <w:gridCol w:w="10023"/>
      </w:tblGrid>
      <w:tr>
        <w:trPr/>
        <w:tc>
          <w:tcPr>
            <w:tcW w:w="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2.</w:t>
            </w:r>
          </w:p>
        </w:tc>
        <w:tc>
          <w:tcPr>
            <w:tcW w:w="10023"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3"/>
        <w:gridCol w:w="162"/>
        <w:gridCol w:w="10020"/>
      </w:tblGrid>
      <w:tr>
        <w:trPr/>
        <w:tc>
          <w:tcPr>
            <w:tcW w:w="2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3.</w:t>
            </w:r>
          </w:p>
        </w:tc>
        <w:tc>
          <w:tcPr>
            <w:tcW w:w="1002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3"/>
        <w:gridCol w:w="157"/>
        <w:gridCol w:w="10025"/>
      </w:tblGrid>
      <w:tr>
        <w:trPr/>
        <w:tc>
          <w:tcPr>
            <w:tcW w:w="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4.</w:t>
            </w:r>
          </w:p>
        </w:tc>
        <w:tc>
          <w:tcPr>
            <w:tcW w:w="1002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c.</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3"/>
        <w:gridCol w:w="161"/>
        <w:gridCol w:w="10021"/>
      </w:tblGrid>
      <w:tr>
        <w:trPr/>
        <w:tc>
          <w:tcPr>
            <w:tcW w:w="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5.</w:t>
            </w:r>
          </w:p>
        </w:tc>
        <w:tc>
          <w:tcPr>
            <w:tcW w:w="10021"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shd w:fill="auto" w:val="clear"/>
            <w:vAlign w:val="center"/>
          </w:tcPr>
          <w:p>
            <w:pPr>
              <w:pStyle w:val="TableContents"/>
              <w:spacing w:before="0" w:after="240"/>
              <w:jc w:val="both"/>
              <w:rPr>
                <w:rFonts w:ascii="Times New Roman;Times;serif" w:hAnsi="Times New Roman;Times;serif"/>
                <w:sz w:val="23"/>
              </w:rPr>
            </w:pPr>
            <w:r>
              <w:rPr>
                <w:rFonts w:ascii="Times New Roman;Times;serif" w:hAnsi="Times New Roman;Times;serif"/>
                <w:sz w:val="23"/>
              </w:rPr>
              <w:t>Any fraud, whether or not material, that involves management or other employees who have a significant role in the registrant’s internal control over financial reporting.</w:t>
            </w:r>
          </w:p>
        </w:tc>
      </w:tr>
    </w:tbl>
    <w:tbl>
      <w:tblPr>
        <w:tblW w:w="4352" w:type="dxa"/>
        <w:jc w:val="center"/>
        <w:tblInd w:w="0" w:type="dxa"/>
        <w:tblCellMar>
          <w:top w:w="0" w:type="dxa"/>
          <w:left w:w="0" w:type="dxa"/>
          <w:bottom w:w="0" w:type="dxa"/>
          <w:right w:w="0" w:type="dxa"/>
        </w:tblCellMar>
      </w:tblPr>
      <w:tblGrid>
        <w:gridCol w:w="1321"/>
        <w:gridCol w:w="3031"/>
      </w:tblGrid>
      <w:tr>
        <w:trPr/>
        <w:tc>
          <w:tcPr>
            <w:tcW w:w="1321" w:type="dxa"/>
            <w:tcBorders/>
            <w:shd w:fill="auto" w:val="clear"/>
            <w:vAlign w:val="center"/>
          </w:tcPr>
          <w:p>
            <w:pPr>
              <w:pStyle w:val="TableContents"/>
              <w:spacing w:before="0" w:after="0"/>
              <w:ind w:left="0" w:right="0" w:hanging="0"/>
              <w:rPr>
                <w:rFonts w:ascii="Times New Roman;Times;serif" w:hAnsi="Times New Roman;Times;serif"/>
                <w:sz w:val="23"/>
              </w:rPr>
            </w:pPr>
            <w:r>
              <w:rPr>
                <w:rFonts w:ascii="Times New Roman;Times;serif" w:hAnsi="Times New Roman;Times;serif"/>
                <w:sz w:val="23"/>
              </w:rPr>
              <w:t>May 9, 2023</w:t>
            </w:r>
          </w:p>
        </w:tc>
        <w:tc>
          <w:tcPr>
            <w:tcW w:w="303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3"/>
              </w:rPr>
            </w:pPr>
            <w:r>
              <w:rPr>
                <w:rFonts w:ascii="Times New Roman;Times;serif" w:hAnsi="Times New Roman;Times;serif"/>
                <w:i/>
                <w:sz w:val="23"/>
              </w:rPr>
              <w:t>/s/ James Mark Borseth</w:t>
            </w:r>
          </w:p>
        </w:tc>
      </w:tr>
      <w:tr>
        <w:trPr/>
        <w:tc>
          <w:tcPr>
            <w:tcW w:w="1321" w:type="dxa"/>
            <w:tcBorders/>
            <w:shd w:fill="auto" w:val="clear"/>
            <w:vAlign w:val="center"/>
          </w:tcPr>
          <w:p>
            <w:pPr>
              <w:pStyle w:val="TableContents"/>
              <w:spacing w:before="0" w:after="0"/>
              <w:ind w:left="0" w:right="0" w:hanging="0"/>
              <w:rPr/>
            </w:pPr>
            <w:r>
              <w:rPr/>
              <w:t> </w:t>
            </w:r>
          </w:p>
        </w:tc>
        <w:tc>
          <w:tcPr>
            <w:tcW w:w="303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James Mark Borseth</w:t>
            </w:r>
          </w:p>
        </w:tc>
      </w:tr>
      <w:tr>
        <w:trPr/>
        <w:tc>
          <w:tcPr>
            <w:tcW w:w="1321" w:type="dxa"/>
            <w:tcBorders/>
            <w:shd w:fill="auto" w:val="clear"/>
            <w:vAlign w:val="center"/>
          </w:tcPr>
          <w:p>
            <w:pPr>
              <w:pStyle w:val="TableContents"/>
              <w:spacing w:before="0" w:after="0"/>
              <w:ind w:left="0" w:right="0" w:hanging="0"/>
              <w:rPr/>
            </w:pPr>
            <w:r>
              <w:rPr/>
              <w:t> </w:t>
            </w:r>
          </w:p>
        </w:tc>
        <w:tc>
          <w:tcPr>
            <w:tcW w:w="303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Interim Chief Financial Officer</w:t>
            </w:r>
          </w:p>
        </w:tc>
      </w:tr>
      <w:tr>
        <w:trPr/>
        <w:tc>
          <w:tcPr>
            <w:tcW w:w="1321" w:type="dxa"/>
            <w:tcBorders/>
            <w:shd w:fill="auto" w:val="clear"/>
            <w:vAlign w:val="center"/>
          </w:tcPr>
          <w:p>
            <w:pPr>
              <w:pStyle w:val="TableContents"/>
              <w:spacing w:before="0" w:after="0"/>
              <w:ind w:left="0" w:right="0" w:hanging="0"/>
              <w:rPr/>
            </w:pPr>
            <w:r>
              <w:rPr/>
              <w:t> </w:t>
            </w:r>
          </w:p>
        </w:tc>
        <w:tc>
          <w:tcPr>
            <w:tcW w:w="3031" w:type="dxa"/>
            <w:tcBorders/>
            <w:shd w:fill="auto" w:val="clear"/>
            <w:vAlign w:val="center"/>
          </w:tcPr>
          <w:p>
            <w:pPr>
              <w:pStyle w:val="TableContents"/>
              <w:spacing w:before="0" w:after="0"/>
              <w:ind w:left="0" w:right="0" w:hanging="0"/>
              <w:jc w:val="center"/>
              <w:rPr>
                <w:rFonts w:ascii="Times New Roman;Times;serif" w:hAnsi="Times New Roman;Times;serif"/>
                <w:sz w:val="23"/>
              </w:rPr>
            </w:pPr>
            <w:r>
              <w:rPr>
                <w:rFonts w:ascii="Times New Roman;Times;serif" w:hAnsi="Times New Roman;Times;serif"/>
                <w:sz w:val="23"/>
              </w:rPr>
              <w:t>Latham Group, Inc.</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1002" w:name="swim-20230401xex32d1.htm"/>
      <w:bookmarkStart w:id="1003" w:name="ksswim20230401xex32d1"/>
      <w:bookmarkEnd w:id="1002"/>
      <w:bookmarkEnd w:id="1003"/>
      <w:r>
        <w:rPr>
          <w:rFonts w:ascii="Times New Roman;Times;serif" w:hAnsi="Times New Roman;Times;serif"/>
          <w:b/>
          <w:sz w:val="24"/>
        </w:rPr>
        <w:t>Exhibit 32.1</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18 U.S.C. SECTION 1350,</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April 1, 2023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Scott M. Rajeski, Chief Executive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5087" w:type="dxa"/>
        <w:jc w:val="center"/>
        <w:tblInd w:w="0" w:type="dxa"/>
        <w:tblCellMar>
          <w:top w:w="0" w:type="dxa"/>
          <w:left w:w="0" w:type="dxa"/>
          <w:bottom w:w="0" w:type="dxa"/>
          <w:right w:w="0" w:type="dxa"/>
        </w:tblCellMar>
      </w:tblPr>
      <w:tblGrid>
        <w:gridCol w:w="1336"/>
        <w:gridCol w:w="3751"/>
      </w:tblGrid>
      <w:tr>
        <w:trPr/>
        <w:tc>
          <w:tcPr>
            <w:tcW w:w="133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ind w:left="0" w:right="0" w:hanging="0"/>
              <w:rPr/>
            </w:pPr>
            <w:r>
              <w:rPr/>
              <w:t>​</w:t>
            </w:r>
          </w:p>
        </w:tc>
      </w:tr>
      <w:tr>
        <w:trPr/>
        <w:tc>
          <w:tcPr>
            <w:tcW w:w="13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May 9, 2023</w:t>
            </w:r>
          </w:p>
        </w:tc>
        <w:tc>
          <w:tcPr>
            <w:tcW w:w="375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Scott M. Rajeski</w:t>
            </w:r>
          </w:p>
        </w:tc>
      </w:tr>
      <w:tr>
        <w:trPr/>
        <w:tc>
          <w:tcPr>
            <w:tcW w:w="133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Scott M. Rajeski</w:t>
            </w:r>
          </w:p>
        </w:tc>
      </w:tr>
      <w:tr>
        <w:trPr/>
        <w:tc>
          <w:tcPr>
            <w:tcW w:w="133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Chief Executive Officer and President</w:t>
            </w:r>
          </w:p>
        </w:tc>
      </w:tr>
      <w:tr>
        <w:trPr/>
        <w:tc>
          <w:tcPr>
            <w:tcW w:w="133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rPr/>
      </w:pPr>
      <w:r>
        <w:rPr/>
      </w:r>
      <w:r>
        <w:br w:type="page"/>
      </w:r>
    </w:p>
    <w:p>
      <w:pPr>
        <w:pStyle w:val="TextBody"/>
        <w:spacing w:before="0" w:after="240"/>
        <w:ind w:left="0" w:right="0" w:hanging="0"/>
        <w:jc w:val="right"/>
        <w:rPr>
          <w:rFonts w:ascii="Times New Roman;Times;serif" w:hAnsi="Times New Roman;Times;serif"/>
          <w:b/>
          <w:sz w:val="24"/>
        </w:rPr>
      </w:pPr>
      <w:bookmarkStart w:id="1004" w:name="swim-20230401xex32d2.htm"/>
      <w:bookmarkStart w:id="1005" w:name="ksswim20230401xex32d2"/>
      <w:bookmarkEnd w:id="1004"/>
      <w:bookmarkEnd w:id="1005"/>
      <w:r>
        <w:rPr>
          <w:rFonts w:ascii="Times New Roman;Times;serif" w:hAnsi="Times New Roman;Times;serif"/>
          <w:b/>
          <w:sz w:val="24"/>
        </w:rPr>
        <w:t>Exhibit 32.2</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18 U.S.C. SECTION 1350,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April 1, 2023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James Mark Borseth, Interim Chief Financial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4412" w:type="dxa"/>
        <w:jc w:val="left"/>
        <w:tblInd w:w="0" w:type="dxa"/>
        <w:tblCellMar>
          <w:top w:w="0" w:type="dxa"/>
          <w:left w:w="0" w:type="dxa"/>
          <w:bottom w:w="0" w:type="dxa"/>
          <w:right w:w="0" w:type="dxa"/>
        </w:tblCellMar>
      </w:tblPr>
      <w:tblGrid>
        <w:gridCol w:w="1336"/>
        <w:gridCol w:w="3076"/>
      </w:tblGrid>
      <w:tr>
        <w:trPr/>
        <w:tc>
          <w:tcPr>
            <w:tcW w:w="1336" w:type="dxa"/>
            <w:tcBorders/>
            <w:shd w:fill="auto" w:val="clear"/>
            <w:vAlign w:val="center"/>
          </w:tcPr>
          <w:p>
            <w:pPr>
              <w:pStyle w:val="TableContents"/>
              <w:spacing w:before="0" w:after="0"/>
              <w:ind w:left="0" w:right="0" w:hanging="0"/>
              <w:rPr/>
            </w:pPr>
            <w:r>
              <w:rPr/>
              <w:t>​</w:t>
            </w:r>
          </w:p>
        </w:tc>
        <w:tc>
          <w:tcPr>
            <w:tcW w:w="3076" w:type="dxa"/>
            <w:tcBorders/>
            <w:shd w:fill="auto" w:val="clear"/>
            <w:vAlign w:val="center"/>
          </w:tcPr>
          <w:p>
            <w:pPr>
              <w:pStyle w:val="TableContents"/>
              <w:spacing w:before="0" w:after="0"/>
              <w:ind w:left="0" w:right="0" w:hanging="0"/>
              <w:rPr/>
            </w:pPr>
            <w:r>
              <w:rPr/>
              <w:t>​</w:t>
            </w:r>
          </w:p>
        </w:tc>
      </w:tr>
      <w:tr>
        <w:trPr/>
        <w:tc>
          <w:tcPr>
            <w:tcW w:w="13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May 9, 2023</w:t>
            </w:r>
          </w:p>
        </w:tc>
        <w:tc>
          <w:tcPr>
            <w:tcW w:w="307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i/>
                <w:sz w:val="24"/>
              </w:rPr>
            </w:pPr>
            <w:r>
              <w:rPr>
                <w:rFonts w:ascii="Times New Roman;Times;serif" w:hAnsi="Times New Roman;Times;serif"/>
                <w:i/>
                <w:sz w:val="24"/>
              </w:rPr>
              <w:t>/s/ James Mark Borseth</w:t>
            </w:r>
          </w:p>
        </w:tc>
      </w:tr>
      <w:tr>
        <w:trPr/>
        <w:tc>
          <w:tcPr>
            <w:tcW w:w="1336" w:type="dxa"/>
            <w:tcBorders/>
            <w:shd w:fill="auto" w:val="clear"/>
            <w:vAlign w:val="center"/>
          </w:tcPr>
          <w:p>
            <w:pPr>
              <w:pStyle w:val="TableContents"/>
              <w:spacing w:before="0" w:after="0"/>
              <w:ind w:left="0" w:right="0" w:hanging="0"/>
              <w:rPr/>
            </w:pPr>
            <w:r>
              <w:rPr/>
              <w:t> </w:t>
            </w:r>
          </w:p>
        </w:tc>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James Mark Borseth</w:t>
            </w:r>
          </w:p>
        </w:tc>
      </w:tr>
      <w:tr>
        <w:trPr/>
        <w:tc>
          <w:tcPr>
            <w:tcW w:w="1336" w:type="dxa"/>
            <w:tcBorders/>
            <w:shd w:fill="auto" w:val="clear"/>
            <w:vAlign w:val="center"/>
          </w:tcPr>
          <w:p>
            <w:pPr>
              <w:pStyle w:val="TableContents"/>
              <w:spacing w:before="0" w:after="0"/>
              <w:ind w:left="0" w:right="0" w:hanging="0"/>
              <w:rPr/>
            </w:pPr>
            <w:r>
              <w:rPr/>
              <w:t> </w:t>
            </w:r>
          </w:p>
        </w:tc>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Interim Chief Financial Officer</w:t>
            </w:r>
          </w:p>
        </w:tc>
      </w:tr>
      <w:tr>
        <w:trPr/>
        <w:tc>
          <w:tcPr>
            <w:tcW w:w="1336" w:type="dxa"/>
            <w:tcBorders/>
            <w:shd w:fill="auto" w:val="clear"/>
            <w:vAlign w:val="center"/>
          </w:tcPr>
          <w:p>
            <w:pPr>
              <w:pStyle w:val="TableContents"/>
              <w:spacing w:before="0" w:after="0"/>
              <w:ind w:left="0" w:right="0" w:hanging="0"/>
              <w:rPr/>
            </w:pPr>
            <w:r>
              <w:rPr/>
              <w:t> </w:t>
            </w:r>
          </w:p>
        </w:tc>
        <w:tc>
          <w:tcPr>
            <w:tcW w:w="3076" w:type="dxa"/>
            <w:tcBorders/>
            <w:shd w:fill="auto" w:val="cle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97/000110465923011265/tm235549d1_ex10-1.htm" TargetMode="External"/><Relationship Id="rId3" Type="http://schemas.openxmlformats.org/officeDocument/2006/relationships/hyperlink" Target="https://www.sec.gov/Archives/edgar/data/1833197/000155837023003042/swim-20221231xex10d14.htm" TargetMode="External"/><Relationship Id="rId4" Type="http://schemas.openxmlformats.org/officeDocument/2006/relationships/hyperlink" Target="https://www.sec.gov/Archives/edgar/data/1833197/000155837023003042/swim-20221231xex10d15.htm" TargetMode="External"/><Relationship Id="rId5" Type="http://schemas.openxmlformats.org/officeDocument/2006/relationships/hyperlink" Target="https://www.sec.gov/Archives/edgar/data/1833197/000155837023003042/swim-20221231xex10d16.htm" TargetMode="External"/><Relationship Id="rId6" Type="http://schemas.openxmlformats.org/officeDocument/2006/relationships/hyperlink" Target="https://www.sec.gov/Archives/edgar/data/1833197/000155837023003042/swim-20221231xex10d17.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17065</Words>
  <CharactersWithSpaces>112358</CharactersWithSpaces>
  <Paragraphs>4434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