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127000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8"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September 28, 2024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4"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08" w:lineRule="exact"/>
        <w:rPr>
          <w:sz w:val="24"/>
          <w:szCs w:val="24"/>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-1270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-1270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40" w:type="dxa"/>
            <w:vAlign w:val="bottom"/>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153"/>
        </w:trPr>
        <w:tc>
          <w:tcPr>
            <w:tcW w:w="48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20" w:type="dxa"/>
            <w:vAlign w:val="bottom"/>
          </w:tcPr>
          <w:p>
            <w:pPr>
              <w:spacing w:after="0"/>
              <w:rPr>
                <w:sz w:val="13"/>
                <w:szCs w:val="13"/>
                <w:color w:val="auto"/>
              </w:rPr>
            </w:pPr>
          </w:p>
        </w:tc>
        <w:tc>
          <w:tcPr>
            <w:tcW w:w="48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40" w:type="dxa"/>
            <w:vAlign w:val="bottom"/>
          </w:tcPr>
          <w:p>
            <w:pPr>
              <w:spacing w:after="0"/>
              <w:rPr>
                <w:sz w:val="16"/>
                <w:szCs w:val="16"/>
                <w:color w:val="auto"/>
              </w:rPr>
            </w:pPr>
          </w:p>
        </w:tc>
      </w:tr>
      <w:tr>
        <w:trPr>
          <w:trHeight w:val="369"/>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4840" w:type="dxa"/>
            <w:vAlign w:val="bottom"/>
          </w:tcPr>
          <w:p>
            <w:pPr>
              <w:jc w:val="right"/>
              <w:ind w:right="216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187"/>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0" w:type="dxa"/>
            <w:vAlign w:val="bottom"/>
          </w:tcPr>
          <w:p>
            <w:pPr>
              <w:spacing w:after="0"/>
              <w:rPr>
                <w:sz w:val="16"/>
                <w:szCs w:val="16"/>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88"/>
        </w:trPr>
        <w:tc>
          <w:tcPr>
            <w:tcW w:w="3920" w:type="dxa"/>
            <w:vAlign w:val="bottom"/>
            <w:tcBorders>
              <w:bottom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8"/>
        </w:trPr>
        <w:tc>
          <w:tcPr>
            <w:tcW w:w="39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SWIM</w:t>
            </w:r>
          </w:p>
        </w:tc>
        <w:tc>
          <w:tcPr>
            <w:tcW w:w="35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3" w:lineRule="exact"/>
        <w:rPr>
          <w:sz w:val="24"/>
          <w:szCs w:val="24"/>
          <w:color w:val="auto"/>
        </w:rPr>
      </w:pPr>
    </w:p>
    <w:p>
      <w:pPr>
        <w:ind w:right="46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30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100"/>
        <w:spacing w:after="0" w:line="161" w:lineRule="exact"/>
        <w:tabs>
          <w:tab w:leader="none" w:pos="1780" w:val="left"/>
          <w:tab w:leader="none" w:pos="2120" w:val="left"/>
          <w:tab w:leader="none" w:pos="3380" w:val="left"/>
          <w:tab w:leader="none" w:pos="3700" w:val="left"/>
          <w:tab w:leader="none" w:pos="5220" w:val="left"/>
          <w:tab w:leader="none" w:pos="5560" w:val="left"/>
          <w:tab w:leader="none" w:pos="7460" w:val="left"/>
          <w:tab w:leader="none" w:pos="7800" w:val="left"/>
          <w:tab w:leader="none" w:pos="96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21" w:lineRule="exact"/>
        <w:rPr>
          <w:sz w:val="24"/>
          <w:szCs w:val="24"/>
          <w:color w:val="auto"/>
        </w:rPr>
      </w:pPr>
    </w:p>
    <w:p>
      <w:pPr>
        <w:ind w:right="46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48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1, 2024, 115,624,575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495300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3. Quantitative and Qualitative Disclosures About Market Risk</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1.</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tcBorders>
            <w:shd w:val="clear" w:color="auto" w:fill="CCEEFF"/>
          </w:tcPr>
          <w:p>
            <w:pPr>
              <w:spacing w:after="0"/>
              <w:rPr>
                <w:sz w:val="15"/>
                <w:szCs w:val="15"/>
                <w:color w:val="auto"/>
              </w:rPr>
            </w:pPr>
          </w:p>
        </w:tc>
        <w:tc>
          <w:tcPr>
            <w:tcW w:w="190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5.</w:t>
            </w:r>
          </w:p>
        </w:tc>
        <w:tc>
          <w:tcPr>
            <w:tcW w:w="684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6.</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700" w:type="dxa"/>
            <w:vAlign w:val="bottom"/>
            <w:tcBorders>
              <w:top w:val="single" w:sz="8" w:color="0000EE"/>
            </w:tcBorders>
            <w:shd w:val="clear" w:color="auto" w:fill="CCEEFF"/>
          </w:tcPr>
          <w:p>
            <w:pPr>
              <w:spacing w:after="0"/>
              <w:rPr>
                <w:sz w:val="15"/>
                <w:szCs w:val="15"/>
                <w:color w:val="auto"/>
              </w:rPr>
            </w:pPr>
          </w:p>
        </w:tc>
        <w:tc>
          <w:tcPr>
            <w:tcW w:w="232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2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7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102,763</w:t>
            </w: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40" w:type="dxa"/>
            <w:vAlign w:val="bottom"/>
            <w:shd w:val="clear" w:color="auto" w:fill="CCEEFF"/>
          </w:tcPr>
          <w:p>
            <w:pPr>
              <w:spacing w:after="0"/>
              <w:rPr>
                <w:sz w:val="19"/>
                <w:szCs w:val="19"/>
                <w:color w:val="auto"/>
              </w:rPr>
            </w:pPr>
          </w:p>
        </w:tc>
      </w:tr>
      <w:tr>
        <w:trPr>
          <w:trHeight w:val="22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238,617</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113,014</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w:t>
            </w:r>
          </w:p>
        </w:tc>
        <w:tc>
          <w:tcPr>
            <w:tcW w:w="40" w:type="dxa"/>
            <w:vAlign w:val="bottom"/>
            <w:shd w:val="clear" w:color="auto" w:fill="CCEEFF"/>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282,793</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40" w:type="dxa"/>
            <w:vAlign w:val="bottom"/>
            <w:shd w:val="clear" w:color="auto" w:fill="CCEEFF"/>
          </w:tcPr>
          <w:p>
            <w:pPr>
              <w:spacing w:after="0"/>
              <w:rPr>
                <w:sz w:val="19"/>
                <w:szCs w:val="19"/>
                <w:color w:val="auto"/>
              </w:rPr>
            </w:pPr>
          </w:p>
        </w:tc>
      </w:tr>
      <w:tr>
        <w:trPr>
          <w:trHeight w:val="26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853,411</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40" w:type="dxa"/>
            <w:vAlign w:val="bottom"/>
            <w:tcBorders>
              <w:bottom w:val="single" w:sz="8" w:color="CCEEFF"/>
            </w:tcBorders>
          </w:tcPr>
          <w:p>
            <w:pPr>
              <w:spacing w:after="0"/>
              <w:rPr>
                <w:sz w:val="22"/>
                <w:szCs w:val="22"/>
                <w:color w:val="auto"/>
              </w:rPr>
            </w:pPr>
          </w:p>
        </w:tc>
      </w:tr>
      <w:tr>
        <w:trPr>
          <w:trHeight w:val="210"/>
        </w:trPr>
        <w:tc>
          <w:tcPr>
            <w:tcW w:w="7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40" w:type="dxa"/>
            <w:vAlign w:val="bottom"/>
            <w:shd w:val="clear" w:color="auto" w:fill="CCEEFF"/>
          </w:tcPr>
          <w:p>
            <w:pPr>
              <w:spacing w:after="0"/>
              <w:rPr>
                <w:sz w:val="19"/>
                <w:szCs w:val="19"/>
                <w:color w:val="auto"/>
              </w:rPr>
            </w:pPr>
          </w:p>
        </w:tc>
      </w:tr>
      <w:tr>
        <w:trPr>
          <w:trHeight w:val="22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4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40" w:type="dxa"/>
            <w:vAlign w:val="bottom"/>
            <w:shd w:val="clear" w:color="auto" w:fill="CCEEFF"/>
          </w:tcPr>
          <w:p>
            <w:pPr>
              <w:spacing w:after="0"/>
              <w:rPr>
                <w:sz w:val="19"/>
                <w:szCs w:val="19"/>
                <w:color w:val="auto"/>
              </w:rPr>
            </w:pPr>
          </w:p>
        </w:tc>
      </w:tr>
      <w:tr>
        <w:trPr>
          <w:trHeight w:val="23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40" w:type="dxa"/>
            <w:vAlign w:val="bottom"/>
            <w:tcBorders>
              <w:bottom w:val="single" w:sz="8" w:color="CCEEFF"/>
            </w:tcBorders>
          </w:tcPr>
          <w:p>
            <w:pPr>
              <w:spacing w:after="0"/>
              <w:rPr>
                <w:sz w:val="19"/>
                <w:szCs w:val="19"/>
                <w:color w:val="auto"/>
              </w:rPr>
            </w:pPr>
          </w:p>
        </w:tc>
      </w:tr>
      <w:tr>
        <w:trPr>
          <w:trHeight w:val="22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436,764</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435,803</w:t>
            </w:r>
          </w:p>
        </w:tc>
        <w:tc>
          <w:tcPr>
            <w:tcW w:w="40" w:type="dxa"/>
            <w:vAlign w:val="bottom"/>
            <w:shd w:val="clear" w:color="auto" w:fill="CCEEFF"/>
          </w:tcPr>
          <w:p>
            <w:pPr>
              <w:spacing w:after="0"/>
              <w:rPr>
                <w:sz w:val="19"/>
                <w:szCs w:val="19"/>
                <w:color w:val="auto"/>
              </w:rPr>
            </w:pPr>
          </w:p>
        </w:tc>
      </w:tr>
      <w:tr>
        <w:trPr>
          <w:trHeight w:val="21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1"/>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as of both September 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2024 and December 31, 2023; no shares issued and outstanding as of both September 28, 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$0.0001 par value; 900,000,000 shares authorized as of September 28, 2024 and</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115,592,865 and 114,871,782 shares issued and outstanding, as of</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28, 2024 and December 31, 2023, respectively</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21"/>
                <w:szCs w:val="2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40" w:type="dxa"/>
            <w:vAlign w:val="bottom"/>
          </w:tcPr>
          <w:p>
            <w:pPr>
              <w:spacing w:after="0"/>
              <w:rPr>
                <w:sz w:val="19"/>
                <w:szCs w:val="19"/>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40" w:type="dxa"/>
            <w:vAlign w:val="bottom"/>
            <w:shd w:val="clear" w:color="auto" w:fill="CCEEFF"/>
          </w:tcPr>
          <w:p>
            <w:pPr>
              <w:spacing w:after="0"/>
              <w:rPr>
                <w:sz w:val="19"/>
                <w:szCs w:val="19"/>
                <w:color w:val="auto"/>
              </w:rPr>
            </w:pPr>
          </w:p>
        </w:tc>
      </w:tr>
      <w:tr>
        <w:trPr>
          <w:trHeight w:val="229"/>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40" w:type="dxa"/>
            <w:vAlign w:val="bottom"/>
            <w:tcBorders>
              <w:bottom w:val="single" w:sz="8" w:color="CCEEFF"/>
            </w:tcBorders>
          </w:tcPr>
          <w:p>
            <w:pPr>
              <w:spacing w:after="0"/>
              <w:rPr>
                <w:sz w:val="19"/>
                <w:szCs w:val="19"/>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416,647</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40" w:type="dxa"/>
            <w:vAlign w:val="bottom"/>
            <w:shd w:val="clear" w:color="auto" w:fill="CCEEFF"/>
          </w:tcPr>
          <w:p>
            <w:pPr>
              <w:spacing w:after="0"/>
              <w:rPr>
                <w:sz w:val="19"/>
                <w:szCs w:val="19"/>
                <w:color w:val="auto"/>
              </w:rPr>
            </w:pPr>
          </w:p>
        </w:tc>
      </w:tr>
      <w:tr>
        <w:trPr>
          <w:trHeight w:val="228"/>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853,411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-2540</wp:posOffset>
            </wp:positionV>
            <wp:extent cx="1689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-127635</wp:posOffset>
            </wp:positionV>
            <wp:extent cx="16891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9100"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3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475,625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288,948</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343,877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480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115,564,382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113,538,533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115,358,274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112,629,851</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118,445,235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114,656,761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117,130,609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112,629,851</w:t>
            </w:r>
          </w:p>
        </w:tc>
        <w:tc>
          <w:tcPr>
            <w:tcW w:w="20" w:type="dxa"/>
            <w:vAlign w:val="bottom"/>
          </w:tcPr>
          <w:p>
            <w:pPr>
              <w:spacing w:after="0"/>
              <w:rPr>
                <w:sz w:val="20"/>
                <w:szCs w:val="20"/>
                <w:color w:val="auto"/>
              </w:rPr>
            </w:pPr>
          </w:p>
        </w:tc>
      </w:tr>
    </w:tbl>
    <w:p>
      <w:pPr>
        <w:spacing w:after="0" w:line="3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120"/>
          </w:cols>
          <w:pgMar w:left="980" w:top="661" w:right="7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2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23"/>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r>
      <w:tr>
        <w:trPr>
          <w:trHeight w:val="20"/>
        </w:trPr>
        <w:tc>
          <w:tcPr>
            <w:tcW w:w="4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114,667,975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$ 440,880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April 1, 2023</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114,690,053</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$ 447,649</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(68,936)</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and retirement of common stock under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program</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July 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114,734,756</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$ 453,413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386,197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restricted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114,755,945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$ 455,767</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(57,068)</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$ 459,684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30,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115,389,689</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$ 460,927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June 29,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115,577,103</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$ 463,027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28,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115,592,865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$ 464,871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2"/>
                <w:szCs w:val="12"/>
                <w:color w:val="auto"/>
              </w:rPr>
            </w:pPr>
          </w:p>
        </w:tc>
      </w:tr>
      <w:tr>
        <w:trPr>
          <w:trHeight w:val="176"/>
        </w:trPr>
        <w:tc>
          <w:tcPr>
            <w:tcW w:w="59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CCEEFF"/>
            </w:tcBorders>
          </w:tcPr>
          <w:p>
            <w:pPr>
              <w:spacing w:after="0"/>
              <w:rPr>
                <w:sz w:val="15"/>
                <w:szCs w:val="15"/>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11,310</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29,784</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Non-cash lease expense</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 in fair value of interest rate swaps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14,887</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Bad debt expense</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4,984</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non-cash, net</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Earnings from equity method investment</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Trade receivables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(28,652)</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Inventories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61,738</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tax receivable</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(4,289)</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20" w:type="dxa"/>
            <w:vAlign w:val="bottom"/>
            <w:shd w:val="clear" w:color="auto" w:fill="CCEEFF"/>
          </w:tcPr>
          <w:p>
            <w:pPr>
              <w:spacing w:after="0"/>
              <w:rPr>
                <w:sz w:val="14"/>
                <w:szCs w:val="14"/>
                <w:color w:val="auto"/>
              </w:rPr>
            </w:pPr>
          </w:p>
        </w:tc>
      </w:tr>
      <w:tr>
        <w:trPr>
          <w:trHeight w:val="155"/>
        </w:trPr>
        <w:tc>
          <w:tcPr>
            <w:tcW w:w="5940" w:type="dxa"/>
            <w:vAlign w:val="bottom"/>
            <w:tcBorders>
              <w:bottom w:val="single" w:sz="8" w:color="CCEEFF"/>
            </w:tcBorders>
          </w:tcPr>
          <w:p>
            <w:pPr>
              <w:ind w:left="22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55,150</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88,123</w:t>
            </w:r>
          </w:p>
        </w:tc>
        <w:tc>
          <w:tcPr>
            <w:tcW w:w="20" w:type="dxa"/>
            <w:vAlign w:val="bottom"/>
            <w:tcBorders>
              <w:bottom w:val="single" w:sz="8" w:color="CCEEFF"/>
            </w:tcBorders>
          </w:tcPr>
          <w:p>
            <w:pPr>
              <w:spacing w:after="0"/>
              <w:rPr>
                <w:sz w:val="13"/>
                <w:szCs w:val="13"/>
                <w:color w:val="auto"/>
              </w:rPr>
            </w:pPr>
          </w:p>
        </w:tc>
      </w:tr>
      <w:tr>
        <w:trPr>
          <w:trHeight w:val="155"/>
        </w:trPr>
        <w:tc>
          <w:tcPr>
            <w:tcW w:w="59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(28,273)</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(64,046)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5940" w:type="dxa"/>
            <w:vAlign w:val="bottom"/>
            <w:tcBorders>
              <w:bottom w:val="single" w:sz="8" w:color="CCEEFF"/>
            </w:tcBorders>
          </w:tcPr>
          <w:p>
            <w:pPr>
              <w:ind w:left="220"/>
              <w:spacing w:after="0" w:line="144"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(77,907)</w:t>
            </w:r>
          </w:p>
        </w:tc>
        <w:tc>
          <w:tcPr>
            <w:tcW w:w="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(28,273)</w:t>
            </w:r>
          </w:p>
        </w:tc>
        <w:tc>
          <w:tcPr>
            <w:tcW w:w="20" w:type="dxa"/>
            <w:vAlign w:val="bottom"/>
            <w:tcBorders>
              <w:bottom w:val="single" w:sz="8" w:color="CCEEFF"/>
            </w:tcBorders>
          </w:tcPr>
          <w:p>
            <w:pPr>
              <w:spacing w:after="0"/>
              <w:rPr>
                <w:sz w:val="13"/>
                <w:szCs w:val="13"/>
                <w:color w:val="auto"/>
              </w:rPr>
            </w:pPr>
          </w:p>
        </w:tc>
      </w:tr>
      <w:tr>
        <w:trPr>
          <w:trHeight w:val="155"/>
        </w:trPr>
        <w:tc>
          <w:tcPr>
            <w:tcW w:w="59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Payments on long-term debt borrowings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(12,437)</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Payments on revolving credit facilities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of finance lease obligations</w:t>
            </w:r>
          </w:p>
        </w:tc>
        <w:tc>
          <w:tcPr>
            <w:tcW w:w="1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20" w:type="dxa"/>
            <w:vAlign w:val="bottom"/>
            <w:shd w:val="clear" w:color="auto" w:fill="CCEEFF"/>
          </w:tcPr>
          <w:p>
            <w:pPr>
              <w:spacing w:after="0"/>
              <w:rPr>
                <w:sz w:val="14"/>
                <w:szCs w:val="14"/>
                <w:color w:val="auto"/>
              </w:rPr>
            </w:pPr>
          </w:p>
        </w:tc>
      </w:tr>
      <w:tr>
        <w:trPr>
          <w:trHeight w:val="156"/>
        </w:trPr>
        <w:tc>
          <w:tcPr>
            <w:tcW w:w="5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(12,874)</w:t>
            </w:r>
          </w:p>
        </w:tc>
        <w:tc>
          <w:tcPr>
            <w:tcW w:w="20" w:type="dxa"/>
            <w:vAlign w:val="bottom"/>
          </w:tcPr>
          <w:p>
            <w:pPr>
              <w:spacing w:after="0"/>
              <w:rPr>
                <w:sz w:val="13"/>
                <w:szCs w:val="13"/>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1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20" w:type="dxa"/>
            <w:vAlign w:val="bottom"/>
            <w:shd w:val="clear" w:color="auto" w:fill="CCEEFF"/>
          </w:tcPr>
          <w:p>
            <w:pPr>
              <w:spacing w:after="0"/>
              <w:rPr>
                <w:sz w:val="14"/>
                <w:szCs w:val="14"/>
                <w:color w:val="auto"/>
              </w:rPr>
            </w:pPr>
          </w:p>
        </w:tc>
      </w:tr>
      <w:tr>
        <w:trPr>
          <w:trHeight w:val="156"/>
        </w:trPr>
        <w:tc>
          <w:tcPr>
            <w:tcW w:w="594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(decrease) increase in cash</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(42,901)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45,487</w:t>
            </w:r>
          </w:p>
        </w:tc>
        <w:tc>
          <w:tcPr>
            <w:tcW w:w="20" w:type="dxa"/>
            <w:vAlign w:val="bottom"/>
          </w:tcPr>
          <w:p>
            <w:pPr>
              <w:spacing w:after="0"/>
              <w:rPr>
                <w:sz w:val="13"/>
                <w:szCs w:val="13"/>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at beginning of period</w:t>
            </w:r>
          </w:p>
        </w:tc>
        <w:tc>
          <w:tcPr>
            <w:tcW w:w="1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102,763</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32,626</w:t>
            </w:r>
          </w:p>
        </w:tc>
        <w:tc>
          <w:tcPr>
            <w:tcW w:w="20" w:type="dxa"/>
            <w:vAlign w:val="bottom"/>
            <w:shd w:val="clear" w:color="auto" w:fill="CCEEFF"/>
          </w:tcPr>
          <w:p>
            <w:pPr>
              <w:spacing w:after="0"/>
              <w:rPr>
                <w:sz w:val="14"/>
                <w:szCs w:val="14"/>
                <w:color w:val="auto"/>
              </w:rPr>
            </w:pPr>
          </w:p>
        </w:tc>
      </w:tr>
      <w:tr>
        <w:trPr>
          <w:trHeight w:val="195"/>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at end of period</w:t>
            </w:r>
          </w:p>
        </w:tc>
        <w:tc>
          <w:tcPr>
            <w:tcW w:w="14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59,862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78,113</w:t>
            </w:r>
          </w:p>
        </w:tc>
        <w:tc>
          <w:tcPr>
            <w:tcW w:w="20" w:type="dxa"/>
            <w:vAlign w:val="bottom"/>
            <w:tcBorders>
              <w:bottom w:val="single" w:sz="8" w:color="CCEEFF"/>
            </w:tcBorders>
          </w:tcPr>
          <w:p>
            <w:pPr>
              <w:spacing w:after="0"/>
              <w:rPr>
                <w:sz w:val="17"/>
                <w:szCs w:val="17"/>
                <w:color w:val="auto"/>
              </w:rPr>
            </w:pPr>
          </w:p>
        </w:tc>
      </w:tr>
      <w:tr>
        <w:trPr>
          <w:trHeight w:val="143"/>
        </w:trPr>
        <w:tc>
          <w:tcPr>
            <w:tcW w:w="59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20,481</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18,538</w:t>
            </w: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paid, net</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20" w:type="dxa"/>
            <w:vAlign w:val="bottom"/>
            <w:shd w:val="clear" w:color="auto" w:fill="CCEEFF"/>
          </w:tcPr>
          <w:p>
            <w:pPr>
              <w:spacing w:after="0"/>
              <w:rPr>
                <w:sz w:val="14"/>
                <w:szCs w:val="14"/>
                <w:color w:val="auto"/>
              </w:rPr>
            </w:pP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3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20" w:type="dxa"/>
            <w:vAlign w:val="bottom"/>
            <w:shd w:val="clear" w:color="auto" w:fill="CCEEFF"/>
          </w:tcPr>
          <w:p>
            <w:pPr>
              <w:spacing w:after="0"/>
              <w:rPr>
                <w:sz w:val="14"/>
                <w:szCs w:val="14"/>
                <w:color w:val="auto"/>
              </w:rPr>
            </w:pPr>
          </w:p>
        </w:tc>
      </w:tr>
      <w:tr>
        <w:trPr>
          <w:trHeight w:val="164"/>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5,766</w:t>
            </w:r>
          </w:p>
        </w:tc>
        <w:tc>
          <w:tcPr>
            <w:tcW w:w="20" w:type="dxa"/>
            <w:vAlign w:val="bottom"/>
          </w:tcPr>
          <w:p>
            <w:pPr>
              <w:spacing w:after="0"/>
              <w:rPr>
                <w:sz w:val="14"/>
                <w:szCs w:val="14"/>
                <w:color w:val="auto"/>
              </w:rPr>
            </w:pPr>
          </w:p>
        </w:tc>
      </w:tr>
    </w:tbl>
    <w:p>
      <w:pPr>
        <w:spacing w:after="0" w:line="19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Latham Group, Inc. (the “Company”) wholly owns Latham Pool Products, Inc. (“Latham Pool Products”), a designer, manufacturer, and marketer of in-ground residential swimming pools in North America, Australia, and New Zealand. Latham Pool Products offers a portfolio of in-ground swimming pools and related products, including pool liners and pool covers.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 Initial Public Offering and Reorganization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April 13, 2021, the Company’s certificate of incorporation was amended and restated. On April 13, 2021, the Company effected a 109,673,709 for-one stock split of its issued and outstanding shares of common stock. Accordingly, all share and per share data included in these condensed consolidated financial statements and notes thereto reflect the impact of the amended and restated certificate of incorporation and the stock split.</w:t>
      </w:r>
    </w:p>
    <w:p>
      <w:pPr>
        <w:spacing w:after="0" w:line="16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Prior to the closing of the Company’s IPO, the Company’s parent entity, Latham Investment Holdings, L.P., merged with and into Latham Group,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2023 was derived from audited financial statements but does not include all disclosures required by GAAP. The accompanying unaudited condensed consolidated financial statements as of September 28, 2024 and for the fiscal quarter and three fiscal quarters ended September 28, 2024 and September 30, 2023,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2023 included in the Company’s 2023 Annual Report on Form 10-K, filed with the SEC on March 13, 2024 (the “Annual Report”). In the opinion of management, all adjustments, consisting only of normal recurring adjustments necessary for a fair statement of these condensed consolidated financial statements, have been included. The Company’s results of operations for the fiscal quarter and three fiscal quarters ended September 28, 2024 are not necessarily indicative of the results of operations that may be expected for the fiscal year ending December 31, 2024 or other interim periods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revised as there are changes in circumstances, facts, and experience. Changes in estimates are recorded in the period in which they become known.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1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fiscal year, its business is seasonal and weather is one of the principal external factors affecting the business. Historically, net sales and net income are highest (or net loss is lowest) during the second and third fiscal quarters, representing the peak months of swimming pool use, pool installation, and remodeling and repair activities. Severe weather may also affect net sales in all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 as updated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improves financial reporting by requiring disclosure of incremental segment information on an annual and interim basis for all public entities to enable investors to develop more decision-useful analysis. For all entities, ASU 2023-07 is effective for fiscal years beginning after December 15, 2023, and interim periods within fiscal years beginning after December 15, 2024. The amendments should be applied retrospectively to all prior periods presented in the financial statements, with early adoption permitted. The Company is currently evaluating ASU 2023-07 and its potential impact on the notes to the condensed consolidated financial statements.</w:t>
      </w:r>
    </w:p>
    <w:p>
      <w:pPr>
        <w:spacing w:after="0" w:line="1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in an effort to enhance the transparency and decision usefulness of income tax disclosures. For all entities, ASU 2023-09 is effective for fiscal years beginning after December 15, 2024. The amendments should be applied prospectively with retrospective application permitted. Early adoption is also permitted. The Company is currently evaluating ASU 2023-09 and its potential impact on the notes to the condensed consolidated financial statements.</w:t>
      </w:r>
    </w:p>
    <w:p>
      <w:pPr>
        <w:spacing w:after="0" w:line="183"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Scope Application of Profits Interest and Similar Awards (“ASU 2024-01”), which improves financial reporting by providing clarity on when an entity should apply the scope guidance in paragraph 718-10-15-3. ASU 2024-01 is effective for public business entities for fiscal years beginning after December 15, 2024. For all other entities, the amendments are effective for fiscal years beginning after December 15, 2025. The amendments should be applied retrospectively to all prior periods presented in the financial statements, with early adoption permitted. The Company is currently evaluating ASU 2024-01 and its potential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Coverstar Central, LLC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2, 2024 (the “Acquisition Date”), Latham Pool Products acquired Coverstar Central, LLC (“Coverstar Central”) for total consideration of $71.0 million (the “Coverstar Central Acquisition”). The total consideration included $66.1 million in cash (including an estimated net working capital adjustment of $0.8 million) and a non-cash settlement of preexisting obligations of $4.9 million.</w:t>
      </w:r>
    </w:p>
    <w:p>
      <w:pPr>
        <w:spacing w:after="0" w:line="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Preexisting relationships are effectively settled since such a relationship becomes intercompany upon the acquisition and is eliminated in post-combination financial statements. The cash consideration was funded with cash on hand. The Company incurred $0.9 million in transaction costs. The results of Coverstar Central’s operations have been included in the condensed consolidated financial statements since that date. Coverstar Central is an automatic safety cover dealer based in the United States. The acquisition allows for vertical integration of the Company’s automatic safety cover product category. Additionally, the acquisition provides the Company with an increase in dealer and franchise relationships.</w:t>
      </w:r>
    </w:p>
    <w:p>
      <w:pPr>
        <w:spacing w:after="0" w:line="1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Company accounted for the Coverstar Central Acquisition using the acquisition method of accounting in accordance with FASB ASC 805, Business Combinations (“ASC 805”). This requires that the assets acquired and liabilities assumed be measured at fair value. Inventories were valued using the comparative sales method. Specific to intangible assets, backlog and customer relationships were valued using the multi-period excess earnings method. The Company recorded the assets acquired and liabilities assumed at their respective fair values as of the Acquisition Date. The fair value of assets acquired and liabilities assumed recorded in the condensed consolidated financial statements may be subject to adjustment pending completion of final evaluation. These fair value estimates will be reevaluated and adjusted, if needed, during the measurement period of up to one year from the Acquisition Date, and recorded as adjustments to goodwill.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preliminary allocation for the Company’s acquisition of Coverstar Central as of September 28,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August 2, 2024</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71,035</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Allocation: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excluding goodwill</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52,057</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3"/>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fair value of net assets acquired, excluding goodwill</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r>
      <w:tr>
        <w:trPr>
          <w:trHeight w:val="223"/>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w:t>
            </w:r>
          </w:p>
        </w:tc>
      </w:tr>
      <w:tr>
        <w:trPr>
          <w:trHeight w:val="20"/>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excess of the total consideration over the fair value of the identifiable assets acquired and the liabilities assumed in the acquisition was allocated to goodwill in the amount of $21.6 million. Goodwill resulting from the acquisition was attributable to vertical integration, the expanded market share and broader geographical footprint. The goodwill recognized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allocated a portion of the total consideration to specific intangible asset categories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4"/>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Period (in years)</w:t>
            </w:r>
          </w:p>
        </w:tc>
      </w:tr>
      <w:tr>
        <w:trPr>
          <w:trHeight w:val="229"/>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are the incremental net sales and incremental net loss from Coverstar Central included in the Company’s results from the Acquisition Date through September 28,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pro forma financial information presents the statements of operations of the Company with Coverstar Central as if the acquisition occurred on January 1, 2023. The pro forma results do not include any anticipated synergies, cost savings or other expected benefits of the acquisition. The pro forma financial information is not necessarily indicative of what the financial results would have been had the acquisition been completed on January 1, 2023 and is not necessarily indicative of the Company’s future financial results.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433,522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492,201</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4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r>
    </w:tbl>
    <w:p>
      <w:pPr>
        <w:spacing w:after="0" w:line="200" w:lineRule="exact"/>
        <w:rPr>
          <w:sz w:val="20"/>
          <w:szCs w:val="20"/>
          <w:color w:val="auto"/>
        </w:rPr>
      </w:pPr>
    </w:p>
    <w:p>
      <w:pPr>
        <w:spacing w:after="0" w:line="20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The pro forma financial information presented above reflects the effects as a result of the acquisition, including the amortization expense from acquired intangible assets, the additional cost of sales from acquired inventory, the elimination of intercompany transactions and the removal of certain costs (primarily payroll costs) that would not have occurred and any related tax effects. Transaction costs for Coverstar Central are reflected within pro forma net income for the three fiscal quarters ended September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three fiscal quarters ended September 28, 2024 or September 30,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1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Term Loan (as defined below; see Note 7) is carried at amortized cost; however, the Company estimates the fair value of the Term Loan for disclosure purposes. The fair value of the Term Loan is determined using inputs based on observable market data of a non-public exchange, which are classified as Level 2 inputs. The following table sets forth the carrying amount and fair value of its Term Loan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6"/>
        </w:trPr>
        <w:tc>
          <w:tcPr>
            <w:tcW w:w="4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5"/>
                <w:szCs w:val="15"/>
                <w:color w:val="auto"/>
              </w:rPr>
            </w:pPr>
          </w:p>
        </w:tc>
      </w:tr>
      <w:tr>
        <w:trPr>
          <w:trHeight w:val="194"/>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282,753</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271,444</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289,153</w:t>
            </w:r>
          </w:p>
        </w:tc>
        <w:tc>
          <w:tcPr>
            <w:tcW w:w="60" w:type="dxa"/>
            <w:vAlign w:val="bottom"/>
            <w:tcBorders>
              <w:top w:val="single" w:sz="8" w:color="CCEEFF"/>
            </w:tcBorders>
            <w:shd w:val="clear" w:color="auto" w:fill="CCEEFF"/>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29" w:lineRule="exact"/>
        <w:rPr>
          <w:sz w:val="20"/>
          <w:szCs w:val="20"/>
          <w:color w:val="auto"/>
        </w:rPr>
      </w:pPr>
    </w:p>
    <w:p>
      <w:pPr>
        <w:ind w:right="120" w:firstLine="324"/>
        <w:spacing w:after="0" w:line="276" w:lineRule="auto"/>
        <w:rPr>
          <w:sz w:val="20"/>
          <w:szCs w:val="20"/>
          <w:color w:val="auto"/>
        </w:rPr>
      </w:pPr>
      <w:r>
        <w:rPr>
          <w:rFonts w:ascii="Times New Roman" w:cs="Times New Roman" w:eastAsia="Times New Roman" w:hAnsi="Times New Roman"/>
          <w:sz w:val="17"/>
          <w:szCs w:val="17"/>
          <w:color w:val="auto"/>
        </w:rPr>
        <w:t>The Company estimates the fair value of interest rate swaps (see Note 7) on a fiscal quarterly basis using Level 2 inputs, including the forward SOFR curve. The fair value is estimated by comparing (i) the present value of all future monthly fixed rate payments versus</w:t>
      </w:r>
    </w:p>
    <w:p>
      <w:pPr>
        <w:spacing w:after="0" w:line="1" w:lineRule="exact"/>
        <w:rPr>
          <w:sz w:val="20"/>
          <w:szCs w:val="20"/>
          <w:color w:val="auto"/>
        </w:rPr>
      </w:pPr>
    </w:p>
    <w:p>
      <w:pPr>
        <w:ind w:right="16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payments based on the forward SOFR curve. As of September 28, 2024 and December 31, 2023, the fair value of the Company’s interest rate swap was a liability of $2.1 million and $1.2 million, respectively, which were recorded within other long-term liabilities on the condensed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1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September 28, 2024 and as of December 31, 2023 was $153.0 million and $131.4 million, respectively. The change in the carrying value during the three fiscal quarters ended September 28, 2024 was primarily driven by an addition of $21.6 million relating to the Coverstar Central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September 28, 2024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4"/>
        </w:trPr>
        <w:tc>
          <w:tcPr>
            <w:tcW w:w="418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$ 113,726</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10,032</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160,435</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$ 431,713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$ 301,309</w:t>
            </w: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$7.0 million and $19.8 million of amortization expense related to intangible assets during the fiscal quarter and three fiscal quarters ended September 28, 2024, respectively. The Company recognized $6.6 million and $19.9 million of amortization expense related to intangible assets during the fiscal quarter and three fiscal quarters ended September 30, 2023, respectively.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as of December 31, 2023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4"/>
        </w:trPr>
        <w:tc>
          <w:tcPr>
            <w:tcW w:w="4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$ 118,589</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7,414</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10,690</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134,906</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$ 393,493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$ 282,793</w:t>
            </w: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Future</w:t>
            </w:r>
          </w:p>
        </w:tc>
      </w:tr>
      <w:tr>
        <w:trPr>
          <w:trHeight w:val="189"/>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4"/>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28,704</w:t>
            </w:r>
          </w:p>
        </w:tc>
      </w:tr>
      <w:tr>
        <w:trPr>
          <w:trHeight w:val="22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28,459</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w:t>
            </w:r>
          </w:p>
        </w:tc>
      </w:tr>
      <w:tr>
        <w:trPr>
          <w:trHeight w:val="22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w:t>
            </w:r>
          </w:p>
        </w:tc>
      </w:tr>
      <w:tr>
        <w:trPr>
          <w:trHeight w:val="23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180,927</w:t>
            </w:r>
          </w:p>
        </w:tc>
      </w:tr>
      <w:tr>
        <w:trPr>
          <w:trHeight w:val="223"/>
        </w:trPr>
        <w:tc>
          <w:tcPr>
            <w:tcW w:w="8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301,309</w:t>
            </w:r>
          </w:p>
        </w:tc>
      </w:tr>
      <w:tr>
        <w:trPr>
          <w:trHeight w:val="20"/>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55,081</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28,001</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60" w:type="dxa"/>
            <w:vAlign w:val="bottom"/>
            <w:tcBorders>
              <w:bottom w:val="single" w:sz="8" w:color="CCEEFF"/>
            </w:tcBorders>
          </w:tcPr>
          <w:p>
            <w:pPr>
              <w:spacing w:after="0"/>
              <w:rPr>
                <w:sz w:val="19"/>
                <w:szCs w:val="19"/>
                <w:color w:val="auto"/>
              </w:rPr>
            </w:pPr>
          </w:p>
        </w:tc>
      </w:tr>
      <w:tr>
        <w:trPr>
          <w:trHeight w:val="223"/>
        </w:trPr>
        <w:tc>
          <w:tcPr>
            <w:tcW w:w="35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289,687</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309,313</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60" w:type="dxa"/>
            <w:vAlign w:val="bottom"/>
            <w:shd w:val="clear" w:color="auto" w:fill="CCEEFF"/>
          </w:tcPr>
          <w:p>
            <w:pPr>
              <w:spacing w:after="0"/>
              <w:rPr>
                <w:sz w:val="19"/>
                <w:szCs w:val="19"/>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60" w:type="dxa"/>
            <w:vAlign w:val="bottom"/>
          </w:tcPr>
          <w:p>
            <w:pPr>
              <w:spacing w:after="0"/>
              <w:rPr>
                <w:sz w:val="19"/>
                <w:szCs w:val="19"/>
                <w:color w:val="auto"/>
              </w:rPr>
            </w:pP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60" w:type="dxa"/>
            <w:vAlign w:val="bottom"/>
            <w:shd w:val="clear" w:color="auto" w:fill="CCEEFF"/>
          </w:tcPr>
          <w:p>
            <w:pPr>
              <w:spacing w:after="0"/>
              <w:rPr>
                <w:sz w:val="19"/>
                <w:szCs w:val="19"/>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6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February 23, 2022, Latham Pool Products entered into an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28, 2024, the Company was in compliance with all financial covenants under the Credit Agreement.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7"/>
          <w:szCs w:val="17"/>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ind w:right="100"/>
        <w:spacing w:after="0" w:line="243"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Borrowings under the Revolving Credit Facility are due at maturity.</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condensed consolidated balance sheet as of the applicable period and are being amortized over the life of the Revolving Credit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 connection with the Revolving Credit Facility, including maintaining specific liquidity measurements. There are also negative covenants, including certain restrictions on the Company’s and its subsidiaries’ ability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September 28, 2024, there were no outstanding borrowings on the Revolving Credit Facility and $75.0 million was available for future borrowing.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The Term Loan matures on February 23, 2029. The Term Loan bears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The Term Loan is subject to scheduled quarterly amortization payments of $812,500, equal to</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0.25% of the initial principal amount of the Term Loan. The Credit Agreement contains customary mandatory prepayment provisions for the Term Loan,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fiscal quarters ended September 28, 2024, the Company made a payment of $18.0 million.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borrowings as of September 28, 2024 were $282.8 million, net of unamortized discount and debt issuance costs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 million. In connection with the Term Loan, the Company is subject to various negative, reporting, financial, and other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maintaining specific liquidity measurements.</w:t>
      </w:r>
    </w:p>
    <w:p>
      <w:pPr>
        <w:spacing w:after="0" w:line="207"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As of September 28, 2024, the unamortized debt issuance costs and discount on the Term Loan were $3.9 million and $3.1 million, respectively. The effective interest rate was 9.22% at September 28, 2024, including the impact of the Company’s interest rate swaps.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interest rate swaps.</w:t>
      </w:r>
    </w:p>
    <w:p>
      <w:pPr>
        <w:spacing w:after="0" w:line="21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executed an interest rate swap on April 30, 2020. The swap had an effective date of May 18, 2020 and a termination date of May 18, 2023. In February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was not designated as a hedging instrument for accounting purposes (see Note 4).</w:t>
      </w:r>
    </w:p>
    <w:p>
      <w:pPr>
        <w:spacing w:after="0" w:line="183"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Revolving Credit Facility, in the next five fiscal years, excluding any potential payments based on excess cash flow, are as follows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28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275,062</w:t>
            </w:r>
          </w:p>
        </w:tc>
      </w:tr>
      <w:tr>
        <w:trPr>
          <w:trHeight w:val="223"/>
        </w:trPr>
        <w:tc>
          <w:tcPr>
            <w:tcW w:w="504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289,687</w:t>
            </w:r>
          </w:p>
        </w:tc>
      </w:tr>
      <w:tr>
        <w:trPr>
          <w:trHeight w:val="20"/>
        </w:trPr>
        <w:tc>
          <w:tcPr>
            <w:tcW w:w="5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WARRANTIES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6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57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60" w:type="dxa"/>
            <w:vAlign w:val="bottom"/>
          </w:tcPr>
          <w:p>
            <w:pPr>
              <w:spacing w:after="0"/>
              <w:rPr>
                <w:sz w:val="16"/>
                <w:szCs w:val="16"/>
                <w:color w:val="auto"/>
              </w:rPr>
            </w:pPr>
          </w:p>
        </w:tc>
      </w:tr>
      <w:tr>
        <w:trPr>
          <w:trHeight w:val="223"/>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reserve</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60" w:type="dxa"/>
            <w:vAlign w:val="bottom"/>
          </w:tcPr>
          <w:p>
            <w:pPr>
              <w:spacing w:after="0"/>
              <w:rPr>
                <w:sz w:val="19"/>
                <w:szCs w:val="19"/>
                <w:color w:val="auto"/>
              </w:rPr>
            </w:pP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60" w:type="dxa"/>
            <w:vAlign w:val="bottom"/>
            <w:shd w:val="clear" w:color="auto" w:fill="CCEEFF"/>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9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inception. A contract is or contains a lease if the contract conveys the right to control the use of an identified asset for a period of time in exchange for consideration.</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components of lease expense for the fiscal quarter and three fiscal quarters ended September 28, 2024 and September 30, 2023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9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39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6"/>
                <w:szCs w:val="16"/>
                <w:color w:val="auto"/>
              </w:rPr>
            </w:pPr>
          </w:p>
        </w:tc>
      </w:tr>
      <w:tr>
        <w:trPr>
          <w:trHeight w:val="223"/>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0" w:type="dxa"/>
            <w:vAlign w:val="bottom"/>
            <w:tcBorders>
              <w:top w:val="single" w:sz="8" w:color="CCEEFF"/>
            </w:tcBorders>
            <w:shd w:val="clear" w:color="auto" w:fill="CCEEFF"/>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shd w:val="clear" w:color="auto" w:fill="CCEEFF"/>
          </w:tcPr>
          <w:p>
            <w:pPr>
              <w:spacing w:after="0"/>
              <w:rPr>
                <w:sz w:val="19"/>
                <w:szCs w:val="19"/>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shd w:val="clear" w:color="auto" w:fill="CCEEFF"/>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2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September 28, 2024 and December 31, 2023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25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4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4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Lease-related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September 28, 2024 and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r>
      <w:tr>
        <w:trPr>
          <w:trHeight w:val="230"/>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r>
      <w:tr>
        <w:trPr>
          <w:trHeight w:val="230"/>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94"/>
        </w:trPr>
        <w:tc>
          <w:tcPr>
            <w:tcW w:w="60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fiscal year maturities of operating lease liabilities as of September 28,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19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r>
      <w:tr>
        <w:trPr>
          <w:trHeight w:val="25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w:t>
            </w:r>
          </w:p>
        </w:tc>
      </w:tr>
      <w:tr>
        <w:trPr>
          <w:trHeight w:val="243"/>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38,832</w:t>
            </w:r>
          </w:p>
        </w:tc>
      </w:tr>
      <w:tr>
        <w:trPr>
          <w:trHeight w:val="25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9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29"/>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29,808</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33,453</w:t>
            </w:r>
          </w:p>
        </w:tc>
      </w:tr>
      <w:tr>
        <w:trPr>
          <w:trHeight w:val="20"/>
        </w:trPr>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2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40" w:type="dxa"/>
            <w:vAlign w:val="bottom"/>
          </w:tcPr>
          <w:p>
            <w:pPr>
              <w:spacing w:after="0"/>
              <w:rPr>
                <w:sz w:val="16"/>
                <w:szCs w:val="16"/>
                <w:color w:val="auto"/>
              </w:rPr>
            </w:pPr>
          </w:p>
        </w:tc>
        <w:tc>
          <w:tcPr>
            <w:tcW w:w="15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40" w:type="dxa"/>
            <w:vAlign w:val="bottom"/>
          </w:tcPr>
          <w:p>
            <w:pPr>
              <w:spacing w:after="0"/>
              <w:rPr>
                <w:sz w:val="16"/>
                <w:szCs w:val="16"/>
                <w:color w:val="auto"/>
              </w:rPr>
            </w:pPr>
          </w:p>
        </w:tc>
      </w:tr>
      <w:tr>
        <w:trPr>
          <w:trHeight w:val="223"/>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In-ground Swimming Pools</w:t>
            </w:r>
          </w:p>
        </w:tc>
        <w:tc>
          <w:tcPr>
            <w:tcW w:w="8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74,785</w:t>
            </w:r>
          </w:p>
        </w:tc>
        <w:tc>
          <w:tcPr>
            <w:tcW w:w="2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82,884</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215,575</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252,029</w:t>
            </w:r>
          </w:p>
        </w:tc>
        <w:tc>
          <w:tcPr>
            <w:tcW w:w="40" w:type="dxa"/>
            <w:vAlign w:val="bottom"/>
            <w:tcBorders>
              <w:top w:val="single" w:sz="8" w:color="CCEEFF"/>
            </w:tcBorders>
            <w:shd w:val="clear" w:color="auto" w:fill="CCEEFF"/>
          </w:tcPr>
          <w:p>
            <w:pPr>
              <w:spacing w:after="0"/>
              <w:rPr>
                <w:sz w:val="19"/>
                <w:szCs w:val="19"/>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Covers</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47,755</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108,961</w:t>
            </w:r>
          </w:p>
        </w:tc>
        <w:tc>
          <w:tcPr>
            <w:tcW w:w="40" w:type="dxa"/>
            <w:vAlign w:val="bottom"/>
          </w:tcPr>
          <w:p>
            <w:pPr>
              <w:spacing w:after="0"/>
              <w:rPr>
                <w:sz w:val="19"/>
                <w:szCs w:val="19"/>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Liners</w:t>
            </w:r>
          </w:p>
        </w:tc>
        <w:tc>
          <w:tcPr>
            <w:tcW w:w="8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2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105,546</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114,635</w:t>
            </w:r>
          </w:p>
        </w:tc>
        <w:tc>
          <w:tcPr>
            <w:tcW w:w="40" w:type="dxa"/>
            <w:vAlign w:val="bottom"/>
            <w:shd w:val="clear" w:color="auto" w:fill="CCEEFF"/>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160,778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475,625</w:t>
            </w:r>
          </w:p>
        </w:tc>
        <w:tc>
          <w:tcPr>
            <w:tcW w:w="4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effective income tax rate for the fiscal quarter and three fiscal quarters ended September 28, 2024 was (0.7)% and 7.6%, respectively, compared to 52.1% and 140.7%, respectively, for the fiscal quarter and three fiscal quarters ended September 30, 2023. The differences between the U.S. federal statutory income tax rate and the Company’s effective income tax rates for the fiscal quarter ended September 28, 2024 and the fiscal quarter ended September 30, 2023 were primarily attributable to the impacts of stock-based compensation expense and foreign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1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May 10, 2022, the Board of Directors of the Company approved a stock repurchase program (the “Repurchase Program”), which authorizes the Company to repurchase up to $100 million of the Company’s shares of common stock by May 2025.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28, 2024, $77.0 million remained available for share repurchases pursuant to the Repurchase Program. The Company did not repurchase any shares of its common stock during the fiscal quarter ended September 28, 2024. The Company accounts for the excess of the repurchase price over the par value of shares acquired as a reduction to additional paid-in capital.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April 12, 2021, the Company’s stockholders approved the 2021 Omnibus Equity Incentive Plan (the “2021 Omnibus Equity Plan”), which became effective on April 22, 2021. The 2021 Omnibus Equity Plan provides for the issuance of incentive stock options, non-qualified stock options, stock appreciation rights, restricted stock, restricted stock units, performance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spacing w:after="0" w:line="18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On May 2, 2023, at the 2023 annual meeting of stockholders of the Company, the stockholders approved the first amendment (the “First Amendment”) to the 2021 Omnibus Equity Plan, which was previously approved by the Board of Directors of the Company. The First Amendment became effective upon stockholder approval, and included an increase by 8,000,000 shares of the share pool, i.e. the maximum number of shares of the Company’s common stock that may be issued pursuant to awards granted under the 2021 Omnibus Equity Plan.</w:t>
      </w:r>
    </w:p>
    <w:p>
      <w:pPr>
        <w:spacing w:after="0" w:line="18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Except as amended by the First Amendment, the other terms of the 2021 Omnibus Equity Plan remain in full force and effect. Subsequent to the First Amendment, the maximum aggregate number of shares reserved for issuance under the 2021 Omnibus Equity Plan is 21,170,212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3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28, 2024  September 30, 2023September 28, 2024</w:t>
            </w:r>
          </w:p>
        </w:tc>
        <w:tc>
          <w:tcPr>
            <w:tcW w:w="14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3"/>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14,944</w:t>
            </w:r>
          </w:p>
        </w:tc>
      </w:tr>
      <w:tr>
        <w:trPr>
          <w:trHeight w:val="223"/>
        </w:trPr>
        <w:tc>
          <w:tcPr>
            <w:tcW w:w="36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w:t>
            </w:r>
          </w:p>
        </w:tc>
      </w:tr>
      <w:tr>
        <w:trPr>
          <w:trHeight w:val="20"/>
        </w:trPr>
        <w:tc>
          <w:tcPr>
            <w:tcW w:w="3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September 28, 2024, total unrecognized stock-based compensation expense related to all unvested stock-based awards was $11.6 million, which is expected to be recognized over a weighted-average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restricted stock awards activity during the three fiscal quarters ended September 28,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4"/>
        </w:trPr>
        <w:tc>
          <w:tcPr>
            <w:tcW w:w="372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3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37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28, 2024</w:t>
            </w:r>
          </w:p>
        </w:tc>
        <w:tc>
          <w:tcPr>
            <w:tcW w:w="37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70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three fiscal quarters ended September 28,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7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94"/>
        </w:trPr>
        <w:tc>
          <w:tcPr>
            <w:tcW w:w="7420" w:type="dxa"/>
            <w:vAlign w:val="bottom"/>
          </w:tcPr>
          <w:p>
            <w:pPr>
              <w:spacing w:after="0"/>
              <w:rPr>
                <w:sz w:val="16"/>
                <w:szCs w:val="16"/>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30"/>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2,235,479</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2,987,677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(614,477)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(220,876)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28,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4,387,803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options activity during the three fiscal quarters ended September 28,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September 28,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1,397,284</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137,809</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September 28,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1,397,284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137,809</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September 28, 2024</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817,183</w:t>
            </w:r>
          </w:p>
        </w:tc>
        <w:tc>
          <w:tcPr>
            <w:tcW w:w="16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 w:cs="Times New Roman" w:eastAsia="Times New Roman" w:hAnsi="Times New Roman"/>
          <w:sz w:val="10"/>
          <w:szCs w:val="10"/>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During the fiscal quarter ended April 1, 2023, as a portion of the annual equity award grants to the Company’s executive officers, the Compensation Committee of the Board of Directors approved stock appreciation rights for an aggregate of 790,181 shares of the Company’s common stock, with a strike price of $3.24 per share. At the time of such approval, the Company did not have enough shares of the Company’s common stock in the share pool under the 2021 Omnibus Equity Plan to support such grant. As of April 1, 2023, the contingent grant of stock appreciation rights remained subject to stockholder approval of the First Amendment. On May 2, 2023, following stockholder approval of the First Amendment, the foregoing stock appreciation right awards became effective without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three fiscal quarters ended September 28,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16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28,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706,460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2,533,254</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September 28, 2024</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706,460</w:t>
            </w:r>
          </w:p>
        </w:tc>
        <w:tc>
          <w:tcPr>
            <w:tcW w:w="1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2,533,254</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 exercisable at September 28,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566,626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fiscal quarters ended September 28, 2024, the Compensation Committee of the Board of Directors approved the grant of performance stock units (“PSUs”) as a portion of the annual equity award to the Company’s executive officers.</w:t>
      </w:r>
    </w:p>
    <w:p>
      <w:pPr>
        <w:spacing w:after="0" w:line="16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PSUs will be earned at 0% to 200% of the target PSUs (with 100% of PSUs being earned at target performance, and linear interpolation between threshold and target and maximum performance) based on the Company’s achievement of Adjusted EBITDA, as defined in the award agreement, over a one-fiscal year performance period ending December 31, 2024. Any earned PSUs cliff vest on the third anniversary of the grant date. Adjusted EBITDA is considered a performance condition and the grant date fair value corresponds with management’s expectation of the probable outcome of the performance condition as of the grant date. The grant date fair value is determined based on the fair market value of the Company’s stock at market close on the grant date multiplied by the target number of shares subject to the award. The probability of achieving the performance criteria is assessed quarterly during the performance period. Compensation expense related to unvested PSUs is recognized ratably over the service period.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three fiscal quarters ended September 28,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Adjustment for expected performance achievement </w:t>
            </w:r>
            <w:r>
              <w:rPr>
                <w:rFonts w:ascii="Times New Roman" w:cs="Times New Roman" w:eastAsia="Times New Roman" w:hAnsi="Times New Roman"/>
                <w:sz w:val="26"/>
                <w:szCs w:val="26"/>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 xml:space="preserve">Outstanding at September 28, 2024 </w:t>
            </w:r>
            <w:r>
              <w:rPr>
                <w:rFonts w:ascii="Times New Roman" w:cs="Times New Roman" w:eastAsia="Times New Roman" w:hAnsi="Times New Roman"/>
                <w:sz w:val="25"/>
                <w:szCs w:val="25"/>
                <w:color w:val="auto"/>
                <w:vertAlign w:val="superscript"/>
              </w:rPr>
              <w:t>(2)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443,100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the Company’s performance expectations as of September 28,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w:t>
      </w:r>
    </w:p>
    <w:p>
      <w:pPr>
        <w:spacing w:after="0" w:line="193" w:lineRule="exact"/>
        <w:rPr>
          <w:rFonts w:ascii="Times New Roman" w:cs="Times New Roman" w:eastAsia="Times New Roman" w:hAnsi="Times New Roman"/>
          <w:sz w:val="18"/>
          <w:szCs w:val="18"/>
          <w:color w:val="auto"/>
        </w:rPr>
      </w:pPr>
    </w:p>
    <w:p>
      <w:pPr>
        <w:ind w:right="240" w:firstLine="332"/>
        <w:spacing w:after="0" w:line="282"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443,100 PSUs could potentially be included if the maximum performance level of 200% is earned for all PSUs outstanding as of September 28, 2024.</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was calculated as follows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266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120" w:type="dxa"/>
            <w:vAlign w:val="bottom"/>
          </w:tcPr>
          <w:p>
            <w:pPr>
              <w:spacing w:after="0"/>
              <w:rPr>
                <w:sz w:val="16"/>
                <w:szCs w:val="16"/>
                <w:color w:val="auto"/>
              </w:rPr>
            </w:pPr>
          </w:p>
        </w:tc>
        <w:tc>
          <w:tcPr>
            <w:tcW w:w="14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3"/>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2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4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115,564,382</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113,538,533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115,358,274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112,629,851</w:t>
            </w:r>
          </w:p>
        </w:tc>
      </w:tr>
      <w:tr>
        <w:trPr>
          <w:trHeight w:val="223"/>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118,445,235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114,656,761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117,130,609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112,629,851</w:t>
            </w:r>
          </w:p>
        </w:tc>
      </w:tr>
      <w:tr>
        <w:trPr>
          <w:trHeight w:val="191"/>
        </w:trPr>
        <w:tc>
          <w:tcPr>
            <w:tcW w:w="4120" w:type="dxa"/>
            <w:vAlign w:val="bottom"/>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48"/>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41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211" w:lineRule="exact"/>
        <w:rPr>
          <w:sz w:val="20"/>
          <w:szCs w:val="20"/>
          <w:color w:val="auto"/>
        </w:rPr>
      </w:pPr>
    </w:p>
    <w:p>
      <w:pPr>
        <w:ind w:right="740" w:firstLine="324"/>
        <w:spacing w:after="0" w:line="266" w:lineRule="auto"/>
        <w:rPr>
          <w:sz w:val="20"/>
          <w:szCs w:val="20"/>
          <w:color w:val="auto"/>
        </w:rPr>
      </w:pPr>
      <w:r>
        <w:rPr>
          <w:rFonts w:ascii="Times New Roman" w:cs="Times New Roman" w:eastAsia="Times New Roman" w:hAnsi="Times New Roman"/>
          <w:sz w:val="18"/>
          <w:szCs w:val="18"/>
          <w:color w:val="auto"/>
        </w:rPr>
        <w:t>As of September 28, 2024 and December 31, 2023, 115,571,422 and 114,828,896 shares of common stock were issued and outstanding for accounting purposes, respectively.</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income (loss) per share because the effect was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9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7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8"/>
        </w:trPr>
        <w:tc>
          <w:tcPr>
            <w:tcW w:w="4280" w:type="dxa"/>
            <w:vAlign w:val="bottom"/>
          </w:tcPr>
          <w:p>
            <w:pPr>
              <w:spacing w:after="0"/>
              <w:rPr>
                <w:sz w:val="16"/>
                <w:szCs w:val="16"/>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6"/>
                <w:szCs w:val="16"/>
                <w:color w:val="auto"/>
              </w:rPr>
            </w:pP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909,375</w:t>
            </w:r>
          </w:p>
        </w:tc>
        <w:tc>
          <w:tcPr>
            <w:tcW w:w="20" w:type="dxa"/>
            <w:vAlign w:val="bottom"/>
            <w:tcBorders>
              <w:top w:val="single" w:sz="8" w:color="CCEEFF"/>
            </w:tcBorders>
            <w:shd w:val="clear" w:color="auto" w:fill="CCEEFF"/>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220,255</w:t>
            </w:r>
          </w:p>
        </w:tc>
        <w:tc>
          <w:tcPr>
            <w:tcW w:w="20" w:type="dxa"/>
            <w:vAlign w:val="bottom"/>
          </w:tcPr>
          <w:p>
            <w:pPr>
              <w:spacing w:after="0"/>
              <w:rPr>
                <w:sz w:val="19"/>
                <w:szCs w:val="19"/>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1,402,036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1,644,520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1,451,745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1,753,740</w:t>
            </w:r>
          </w:p>
        </w:tc>
        <w:tc>
          <w:tcPr>
            <w:tcW w:w="20" w:type="dxa"/>
            <w:vAlign w:val="bottom"/>
            <w:shd w:val="clear" w:color="auto" w:fill="CCEEFF"/>
          </w:tcPr>
          <w:p>
            <w:pPr>
              <w:spacing w:after="0"/>
              <w:rPr>
                <w:sz w:val="19"/>
                <w:szCs w:val="19"/>
                <w:color w:val="auto"/>
              </w:rPr>
            </w:pP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738,940</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435,194</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422,874</w:t>
            </w:r>
          </w:p>
        </w:tc>
        <w:tc>
          <w:tcPr>
            <w:tcW w:w="20" w:type="dxa"/>
            <w:vAlign w:val="bottom"/>
          </w:tcPr>
          <w:p>
            <w:pPr>
              <w:spacing w:after="0"/>
              <w:rPr>
                <w:sz w:val="21"/>
                <w:szCs w:val="21"/>
                <w:color w:val="auto"/>
              </w:rPr>
            </w:pP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4280" w:type="dxa"/>
            <w:vAlign w:val="bottom"/>
          </w:tcPr>
          <w:p>
            <w:pPr>
              <w:spacing w:after="0"/>
              <w:rPr>
                <w:sz w:val="24"/>
                <w:szCs w:val="24"/>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BrightAI Services</w:t>
      </w:r>
    </w:p>
    <w:p>
      <w:pPr>
        <w:spacing w:after="0" w:line="2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Starting in 2020, BrightAI Corporation (“BrightAI”) has rendered services to the Company, for which the cost has been capitalized as internal-use software. A co-founder of BrightAI served on the Company’s Board of Directors from December 9, 2020 until his resignation on February 21, 2024. In December 2022, the Company executed an additional agreement with BrightAI for the provision of hardware to run the technology developed by BrightAI and the Company. During the three fiscal quarters ended September 28, 2024 and September 30, 2023, the Company incurred no material amounts and $0.8 million, respectively, associated with services performed by BrightAI, which was recorded as construction in progress within property and equipment, net on the condensed consolidated balance sheet as of September 30, 2023. As of December 31, 2023, the Company had no accounts payable related to BrightAI.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2023 Annual Report on Form 10-K filed with the Securities and Exchange Commission, (“SEC”) on March 13, 2024 (the “Annual Report”).</w:t>
      </w:r>
    </w:p>
    <w:p>
      <w:pPr>
        <w:spacing w:after="0" w:line="183" w:lineRule="exact"/>
        <w:rPr>
          <w:sz w:val="20"/>
          <w:szCs w:val="20"/>
          <w:color w:val="auto"/>
        </w:rPr>
      </w:pPr>
    </w:p>
    <w:p>
      <w:pPr>
        <w:ind w:right="5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references to “Latham,” “the Company,” “we,” “us” and “our,” refer to the Company and its consolidated subsidiaries unless otherwise indicated or the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the implementation of our cost reduction plans and expected benefits, the implementation of our digital transformation and lean manufacturing activities, a potential non-cash impairment charge for goodwill, the recent acquisition and integration of Coverstar Central, LLC (“Coverstar Central”),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or furnish with the SEC, including elsewhere in this Quarterly Report on Form 10-Q. For similar reasons, our past results may not be a reliable indicator of future performance and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203"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liners, and pool covers.</w:t>
      </w:r>
    </w:p>
    <w:p>
      <w:pPr>
        <w:spacing w:after="0" w:line="162"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approximately 1,850 employees across 30 locations.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liners, and pool covers.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September 28, 2024</w:t>
      </w:r>
    </w:p>
    <w:p>
      <w:pPr>
        <w:spacing w:after="0" w:line="175" w:lineRule="exact"/>
        <w:rPr>
          <w:sz w:val="20"/>
          <w:szCs w:val="20"/>
          <w:color w:val="auto"/>
        </w:rPr>
      </w:pPr>
    </w:p>
    <w:p>
      <w:pPr>
        <w:ind w:left="680" w:right="6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sales of 6.4%, or $10.3 million, to $150.5 million for the fiscal quarter ended September 28, 2024, compared to $160.8 million for the fiscal quarter ended September 30, 2023.</w:t>
      </w:r>
    </w:p>
    <w:p>
      <w:pPr>
        <w:spacing w:after="0" w:line="161" w:lineRule="exact"/>
        <w:rPr>
          <w:rFonts w:ascii="Times New Roman" w:cs="Times New Roman" w:eastAsia="Times New Roman" w:hAnsi="Times New Roman"/>
          <w:sz w:val="18"/>
          <w:szCs w:val="18"/>
          <w:color w:val="auto"/>
        </w:rPr>
      </w:pPr>
    </w:p>
    <w:p>
      <w:pPr>
        <w:jc w:val="both"/>
        <w:ind w:left="680" w:right="140" w:hanging="321"/>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income of $0.3 million to $5.9 million and representing a 3.9% net income margin for the fiscal quarter ended September 28, 2024, compared to net income of $6.2 million and representing a 3.8% net income margin for the fiscal quarter ended September 30, 2023.</w:t>
      </w:r>
    </w:p>
    <w:p>
      <w:pPr>
        <w:spacing w:after="0" w:line="196" w:lineRule="exact"/>
        <w:rPr>
          <w:rFonts w:ascii="Times New Roman" w:cs="Times New Roman" w:eastAsia="Times New Roman" w:hAnsi="Times New Roman"/>
          <w:sz w:val="18"/>
          <w:szCs w:val="18"/>
          <w:color w:val="auto"/>
        </w:rPr>
      </w:pPr>
    </w:p>
    <w:p>
      <w:pPr>
        <w:jc w:val="both"/>
        <w:ind w:left="680" w:right="200" w:hanging="321"/>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Adjusted EBITDA (as defined below) of $6.3 million to $29.8 million for the fiscal quarter ended September 28, 2024, compared to $36.1 million for the fiscal quarter ended September 30, 2023. Adjusted EBITDA margin decreased from 22.4% to 19.8%.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three fiscal quarters ended September 28, 2024</w:t>
      </w:r>
    </w:p>
    <w:p>
      <w:pPr>
        <w:spacing w:after="0" w:line="162" w:lineRule="exact"/>
        <w:rPr>
          <w:sz w:val="20"/>
          <w:szCs w:val="20"/>
          <w:color w:val="auto"/>
        </w:rPr>
      </w:pPr>
    </w:p>
    <w:p>
      <w:pPr>
        <w:ind w:left="680" w:right="44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sales of 11.4%, or $54.4 million, to $421.2 million for the three fiscal quarters ended September 28, 2024, compared to $475.6 million for the three fiscal quarters ended September 30, 2023.</w:t>
      </w:r>
    </w:p>
    <w:p>
      <w:pPr>
        <w:spacing w:after="0" w:line="161" w:lineRule="exact"/>
        <w:rPr>
          <w:rFonts w:ascii="Times New Roman" w:cs="Times New Roman" w:eastAsia="Times New Roman" w:hAnsi="Times New Roman"/>
          <w:sz w:val="18"/>
          <w:szCs w:val="18"/>
          <w:color w:val="auto"/>
        </w:rPr>
      </w:pPr>
    </w:p>
    <w:p>
      <w:pPr>
        <w:ind w:left="680" w:right="34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$13.8 million to a net income of $11.3 million and representing a 2.7% net income margin for the three fiscal quarters ended September 28, 2024, compared to net loss of $2.5 million for the three fiscal quarters ended September 30, 2023.</w:t>
      </w:r>
    </w:p>
    <w:p>
      <w:pPr>
        <w:spacing w:after="0" w:line="17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Adjusted EBITDA (as defined below) of $1.5 million to $76.6 million for the three fiscal quarters ended September 28, 2024, compared to $78.1 million for the three fiscal quarters ended September 30, 2023. Adjusted EBITDA margin improved from 16.4% to 18.2%.</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162"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Ongoing macroeconomic softness has impacted and is expected to continue to impact consumer spending and demand. As anticipated, this resulted in a decline in new in-ground residential pool installations in the first nine months of 2024. Within our in-ground pool product line, fiberglass pools continue to show strength relative to packaged pools.</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the completion of previously announced projects such as our recent multi-year capital plan to invest in our facilities, technology and systems. Notably, this involves continued investment in our sales, marketing, engineering and research and development efforts that are designed to accelerate conversion to fiberglass pool products and ongoing digital transformation programs.</w:t>
      </w:r>
    </w:p>
    <w:p>
      <w:pPr>
        <w:spacing w:after="0" w:line="18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As previously disclosed, we have responded to economic uncertainty by implementing cost reduction programs and lean manufacturing initiatives that structurally reduce our cost basis, while maintaining capacity.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Latham’s financial model has changed structurally, which has increased our underlying earnings capabilities amid an industry recovery. And we are increasing our investments in sales and marketing and product development initiatives to ensure that we capture an incremental share of in-ground pool sales once volumes rebound.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Strategic transactions continue to be part of our growth strategy. On August 2, 2024, we completed a stock acquisition (the “Coverstar Central Acquisition”) of Coverstar Central, our exclusive dealer of automatic safety covers in 29 states – mainly in the center of the U.S. Coverstar Central has been our trusted partner since 2006, and this acquisition represents a valuable strategic opportunity that we expect to benefit from in multiple ways. First, the vertical integration of our automatic safety cover product line in the acquired geographies is expected to increase margins. Second, as one company with a fully integrated sales and marketing strategy, we expect to accelerate the sales growth of this product line. Finally, we see opportunities to leverage Coverstar Central’s long-standing relationships with pool builders in its markets to increase the awareness of, and conversion to, fiberglass pools. We believe the Coverstar Central Acquisition will be immediately accretive to our net income, Adjusted EBITDA and Adjusted EBITDA margin for the fiscal year ending December 31, 2024 and enhance our gross margins in the long-term. The cash purchase price was $64.0 million, net of cash acquired. The transaction was fully funded with cash on hand.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aluminum,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method that compares the cost of cumulative work-in-process to date to the most current estimates for the entire cost of the performance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1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gross profit is primarily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16"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loss (gain) on sale and disposal of property and equipment, (v) restructuring charges, (vi) stock-based compensation expense, (vii) unrealized (gains) losses on foreign currency transactions, (viii) strategic initiative costs, (ix) acquisition and integration related costs, (x) the Odessa fire and other such unusual events and (xi) other.</w:t>
      </w:r>
    </w:p>
    <w:p>
      <w:pPr>
        <w:spacing w:after="0" w:line="197"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September 28, 2024 Compared to Fiscal Quarter Ended September 30, 2023</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September 28, 2024 and September 30, 2023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112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100.0 %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160,778</w:t>
            </w:r>
          </w:p>
        </w:tc>
        <w:tc>
          <w:tcPr>
            <w:tcW w:w="96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101,807</w:t>
            </w: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112,633</w:t>
            </w:r>
          </w:p>
        </w:tc>
        <w:tc>
          <w:tcPr>
            <w:tcW w:w="7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48,145</w:t>
            </w:r>
          </w:p>
        </w:tc>
        <w:tc>
          <w:tcPr>
            <w:tcW w:w="1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720" w:type="dxa"/>
            <w:vAlign w:val="bottom"/>
            <w:tcBorders>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720" w:type="dxa"/>
            <w:vAlign w:val="bottom"/>
            <w:tcBorders>
              <w:right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60" w:type="dxa"/>
            <w:vAlign w:val="bottom"/>
          </w:tcPr>
          <w:p>
            <w:pPr>
              <w:spacing w:after="0"/>
              <w:rPr>
                <w:sz w:val="19"/>
                <w:szCs w:val="19"/>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60" w:type="dxa"/>
            <w:vAlign w:val="bottom"/>
            <w:vMerge w:val="continue"/>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160" w:type="dxa"/>
            <w:vAlign w:val="bottom"/>
            <w:vMerge w:val="continue"/>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720" w:type="dxa"/>
            <w:vAlign w:val="bottom"/>
            <w:tcBorders>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720" w:type="dxa"/>
            <w:vAlign w:val="bottom"/>
            <w:tcBorders>
              <w:right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7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60" w:type="dxa"/>
            <w:vAlign w:val="bottom"/>
          </w:tcPr>
          <w:p>
            <w:pPr>
              <w:spacing w:after="0"/>
              <w:rPr>
                <w:sz w:val="19"/>
                <w:szCs w:val="1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720" w:type="dxa"/>
            <w:vAlign w:val="bottom"/>
            <w:tcBorders>
              <w:right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60" w:type="dxa"/>
            <w:vAlign w:val="bottom"/>
            <w:vMerge w:val="continue"/>
          </w:tcPr>
          <w:p>
            <w:pPr>
              <w:spacing w:after="0"/>
              <w:rPr>
                <w:sz w:val="19"/>
                <w:szCs w:val="1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12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3.9 %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96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tcPr>
          <w:p>
            <w:pPr>
              <w:ind w:left="1340"/>
              <w:spacing w:after="0" w:line="136" w:lineRule="exact"/>
              <w:rPr>
                <w:sz w:val="20"/>
                <w:szCs w:val="20"/>
                <w:color w:val="auto"/>
              </w:rPr>
            </w:pPr>
            <w:r>
              <w:rPr>
                <w:rFonts w:ascii="Times New Roman" w:cs="Times New Roman" w:eastAsia="Times New Roman" w:hAnsi="Times New Roman"/>
                <w:sz w:val="13"/>
                <w:szCs w:val="13"/>
                <w:color w:val="auto"/>
              </w:rPr>
              <w:t>(a)</w:t>
            </w:r>
          </w:p>
        </w:tc>
        <w:tc>
          <w:tcPr>
            <w:tcW w:w="220" w:type="dxa"/>
            <w:vAlign w:val="bottom"/>
            <w:vMerge w:val="continue"/>
          </w:tcPr>
          <w:p>
            <w:pPr>
              <w:spacing w:after="0" w:line="20" w:lineRule="exact"/>
              <w:rPr>
                <w:sz w:val="1"/>
                <w:szCs w:val="1"/>
                <w:color w:val="auto"/>
              </w:rPr>
            </w:pPr>
          </w:p>
        </w:tc>
        <w:tc>
          <w:tcPr>
            <w:tcW w:w="320" w:type="dxa"/>
            <w:vAlign w:val="bottom"/>
            <w:shd w:val="clear" w:color="auto" w:fill="000000"/>
          </w:tcPr>
          <w:p>
            <w:pPr>
              <w:jc w:val="right"/>
              <w:ind w:right="201"/>
              <w:spacing w:after="0"/>
              <w:rPr>
                <w:sz w:val="20"/>
                <w:szCs w:val="20"/>
                <w:color w:val="auto"/>
              </w:rPr>
            </w:pPr>
            <w:r>
              <w:rPr>
                <w:rFonts w:ascii="Times New Roman" w:cs="Times New Roman" w:eastAsia="Times New Roman" w:hAnsi="Times New Roman"/>
                <w:sz w:val="1"/>
                <w:szCs w:val="1"/>
                <w:color w:val="auto"/>
              </w:rPr>
              <w:t>$</w:t>
            </w:r>
          </w:p>
        </w:tc>
        <w:tc>
          <w:tcPr>
            <w:tcW w:w="8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
                <w:szCs w:val="1"/>
                <w:color w:val="auto"/>
              </w:rPr>
              <w:t>29,829</w:t>
            </w:r>
          </w:p>
        </w:tc>
        <w:tc>
          <w:tcPr>
            <w:tcW w:w="160" w:type="dxa"/>
            <w:vAlign w:val="bottom"/>
            <w:vMerge w:val="continue"/>
          </w:tcPr>
          <w:p>
            <w:pPr>
              <w:spacing w:after="0" w:line="20" w:lineRule="exact"/>
              <w:rPr>
                <w:sz w:val="1"/>
                <w:szCs w:val="1"/>
                <w:color w:val="auto"/>
              </w:rPr>
            </w:pPr>
          </w:p>
        </w:tc>
        <w:tc>
          <w:tcPr>
            <w:tcW w:w="560" w:type="dxa"/>
            <w:vAlign w:val="bottom"/>
            <w:tcBorders>
              <w:right w:val="single" w:sz="8" w:color="auto"/>
            </w:tcBorders>
            <w:shd w:val="clear" w:color="auto" w:fill="000000"/>
          </w:tcPr>
          <w:p>
            <w:pPr>
              <w:jc w:val="right"/>
              <w:ind w:right="1"/>
              <w:spacing w:after="0"/>
              <w:rPr>
                <w:sz w:val="20"/>
                <w:szCs w:val="20"/>
                <w:color w:val="auto"/>
              </w:rPr>
            </w:pPr>
            <w:r>
              <w:rPr>
                <w:rFonts w:ascii="Times New Roman" w:cs="Times New Roman" w:eastAsia="Times New Roman" w:hAnsi="Times New Roman"/>
                <w:sz w:val="1"/>
                <w:szCs w:val="1"/>
                <w:color w:val="auto"/>
              </w:rPr>
              <w:t>19.8</w:t>
            </w: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rPr>
                <w:sz w:val="20"/>
                <w:szCs w:val="20"/>
                <w:color w:val="auto"/>
              </w:rPr>
            </w:pPr>
            <w:r>
              <w:rPr>
                <w:rFonts w:ascii="Times New Roman" w:cs="Times New Roman" w:eastAsia="Times New Roman" w:hAnsi="Times New Roman"/>
                <w:sz w:val="1"/>
                <w:szCs w:val="1"/>
                <w:color w:val="auto"/>
              </w:rPr>
              <w:t>$</w:t>
            </w:r>
          </w:p>
        </w:tc>
        <w:tc>
          <w:tcPr>
            <w:tcW w:w="104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
                <w:szCs w:val="1"/>
                <w:color w:val="auto"/>
              </w:rPr>
              <w:t>36,083</w:t>
            </w:r>
          </w:p>
        </w:tc>
        <w:tc>
          <w:tcPr>
            <w:tcW w:w="160" w:type="dxa"/>
            <w:vAlign w:val="bottom"/>
            <w:vMerge w:val="continue"/>
          </w:tcPr>
          <w:p>
            <w:pPr>
              <w:spacing w:after="0" w:line="20" w:lineRule="exact"/>
              <w:rPr>
                <w:sz w:val="1"/>
                <w:szCs w:val="1"/>
                <w:color w:val="auto"/>
              </w:rPr>
            </w:pPr>
          </w:p>
        </w:tc>
        <w:tc>
          <w:tcPr>
            <w:tcW w:w="560" w:type="dxa"/>
            <w:vAlign w:val="bottom"/>
            <w:tcBorders>
              <w:right w:val="single" w:sz="8" w:color="auto"/>
            </w:tcBorders>
            <w:shd w:val="clear" w:color="auto" w:fill="000000"/>
          </w:tcPr>
          <w:p>
            <w:pPr>
              <w:jc w:val="right"/>
              <w:ind w:right="5"/>
              <w:spacing w:after="0"/>
              <w:rPr>
                <w:sz w:val="20"/>
                <w:szCs w:val="20"/>
                <w:color w:val="auto"/>
              </w:rPr>
            </w:pPr>
            <w:r>
              <w:rPr>
                <w:rFonts w:ascii="Times New Roman" w:cs="Times New Roman" w:eastAsia="Times New Roman" w:hAnsi="Times New Roman"/>
                <w:sz w:val="1"/>
                <w:szCs w:val="1"/>
                <w:color w:val="auto"/>
              </w:rPr>
              <w:t>22.4</w:t>
            </w:r>
          </w:p>
        </w:tc>
        <w:tc>
          <w:tcPr>
            <w:tcW w:w="240" w:type="dxa"/>
            <w:vAlign w:val="bottom"/>
          </w:tcPr>
          <w:p>
            <w:pPr>
              <w:spacing w:after="0" w:line="20" w:lineRule="exact"/>
              <w:rPr>
                <w:sz w:val="1"/>
                <w:szCs w:val="1"/>
                <w:color w:val="auto"/>
              </w:rPr>
            </w:pPr>
          </w:p>
        </w:tc>
        <w:tc>
          <w:tcPr>
            <w:tcW w:w="1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66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
                <w:szCs w:val="1"/>
                <w:color w:val="auto"/>
              </w:rPr>
              <w:t>(6,254)</w:t>
            </w:r>
          </w:p>
        </w:tc>
        <w:tc>
          <w:tcPr>
            <w:tcW w:w="160" w:type="dxa"/>
            <w:vAlign w:val="bottom"/>
          </w:tcPr>
          <w:p>
            <w:pPr>
              <w:spacing w:after="0" w:line="20" w:lineRule="exact"/>
              <w:rPr>
                <w:sz w:val="1"/>
                <w:szCs w:val="1"/>
                <w:color w:val="auto"/>
              </w:rPr>
            </w:pPr>
          </w:p>
        </w:tc>
        <w:tc>
          <w:tcPr>
            <w:tcW w:w="9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
                <w:szCs w:val="1"/>
                <w:color w:val="auto"/>
              </w:rPr>
              <w:t>(2.6)</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3400" w:type="dxa"/>
            <w:vAlign w:val="bottom"/>
            <w:gridSpan w:val="2"/>
          </w:tcPr>
          <w:p>
            <w:pPr>
              <w:spacing w:after="0" w:line="95" w:lineRule="exact"/>
              <w:rPr>
                <w:sz w:val="20"/>
                <w:szCs w:val="20"/>
                <w:color w:val="auto"/>
              </w:rPr>
            </w:pPr>
            <w:r>
              <w:rPr>
                <w:rFonts w:ascii="Times New Roman" w:cs="Times New Roman" w:eastAsia="Times New Roman" w:hAnsi="Times New Roman"/>
                <w:sz w:val="10"/>
                <w:szCs w:val="10"/>
                <w:color w:val="auto"/>
              </w:rPr>
              <w:t>Adjusted EBITDA</w:t>
            </w: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7" w:lineRule="exact"/>
        <w:rPr>
          <w:sz w:val="20"/>
          <w:szCs w:val="20"/>
          <w:color w:val="auto"/>
        </w:rPr>
      </w:pPr>
    </w:p>
    <w:p>
      <w:pPr>
        <w:ind w:right="60" w:firstLine="332"/>
        <w:spacing w:after="0" w:line="282"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(loss),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Net sales were $150.5 million for the fiscal quarter ended September 28, 2024, compared to $160.8 million for the fiscal quarter ended September 30, 2023. The $10.3 million, or 6.4%, decrease in net sales was because of a $9.5 million decrease in sales volume and a $0.8 million decrease from lower pricing. The sales volume decrease was primarily driven by continued soft industry conditions and a challenging macroeconomic environment. The decrease in net sales of $10.3 million across our product lines consisted of a decrease $8.1 million for in-ground swimming pools and $2.5 million for liners, partially offset by a $0.3 million increase for covers aided by the Coverstar Central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Cost of sales was $101.8 million for the fiscal quarter ended September 28, 2024, compared to $112.6 million for the fiscal quarter ended September 30, 2023. Gross margin increased by 2.5%, to 32.4% of net sales for the fiscal quarter ended September 28, 2024, compared to 29.9% of net sales for the fiscal quarter ended September 30, 2023. The $10.8 million, or 9.6%, decrease in cost of sales was primarily the result of the decrease in sales volume which in turn was partially offset by the impact of production efficiencies resulting from lean manufacturing and value engineering programs and lower material costs. The 2.5% increase in gross margin was primarily driven by the impact of production efficiencies resulting from lean manufacturing and value engineering programs and procurement improvements that resulted in lower material costs and the acquisition of Coverstar Central.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was $28.3 million for the fiscal quarter ended September 28, 2024, compared to $23.4 million for the fiscal quarter ended September 30, 2023. The $4.9 million, or 20.9%, increase in selling, general, and administrative expense was primarily driven by increased spending on sales and marketing to further strengthen our position ahead of a market turnaround, performance-based compensation and the acquisition of Coverstar Central, partially offset by a $0.4 million decrease in non-cash stock-based compensation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was $7.0 million for the fiscal quarter ended September 28, 2024, compared to $6.6 million for the fiscal quarter ended September 30, 2023. The $0.4 million, or 5.2%, increase in amortization was driven by the acquisition of Coverstar Central.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1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$9.2 million for the fiscal quarter ended September 28, 2024, compared to $6.0 million for the fiscal quarter ended September 30, 2023. The $3.2 million, or 53.1%, increase in interest expense, net was primarily the result of the change in the fair value of our interest rate swap, compared to the fiscal quarter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Other income, net was $ (0.7) million for the fiscal quarter ended September 28, 2024, compared to other expense, net of $1.0 million for fiscal quarter ended September 30, 2023. The $1.7 million increase in other income, net was primarily driven by a favorable change in net foreign currency transaction gains and losses associated with our international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$0.9 million for the fiscal quarter ended September 28, 2024, compared to $1.8 million for the fiscal quarter ended September 30, 2023, due to the financial performance of Premier Pools &amp; Spa.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Income tax benefit was less than $(0.1) million for the fiscal quarter ended September 28, 2024, compared to income tax expense of $6.7 million for the fiscal quarter ended September 30, 2023. Our effective tax rate was (0.7)% for the fiscal quarter ended September 28, 2024, compared to 52.1% for the fiscal quarter ended September 30, 2023. The difference between the U.S. federal statutory income tax rate and our effective income tax rate for both the fiscal quarters ended September 28, 2024 and September 30, 2023 was primarily attributable to the impacts of stock-based compensation expense and foreign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Net income was $5.9 million for the fiscal quarter ended September 28, 2024, compared to $6.2 million for the fiscal quarter ended September 30, 2023. The $0.3 million, or 4.2%, decrease in net income was primarily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Net income margin was 3.9% for the fiscal quarter ended September 28, 2024, compared to 3.8% for the fiscal quarter ended September 30, 2023. The 0.1% increase in net income margin was driven by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Adjusted EBITDA was $29.8 million for the fiscal quarter ended September 28, 2024, compared to $36.1 million for the fiscal quarter ended September 30, 2023. The $6.3 million, or 17.3%, decrease in Adjusted EBITDA was primarily because of the decrease in cost of sales and an increase in selling, general and administrative expenses, partially offset by the decrease in net sales, as well as the other factors described above.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7"/>
          <w:szCs w:val="17"/>
          <w:color w:val="auto"/>
        </w:rPr>
        <w:t>Adjusted EBITDA margin was 19.8% for the fiscal quarter ended September 28, 2024, compared to 22.4% for the fiscal quarter ended September 30, 2023. The 2.6% decrease in Adjusted EBITDA margin was primarily because of a $6.3 million decrease in Adjusted EBITDA, compared to the fiscal quarter ended September 30, 2023, which were impacted by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40"/>
          </w:cols>
          <w:pgMar w:left="980" w:top="661" w:right="1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Fiscal Quarters Ended September 28, 2024 Compared to Three Fiscal Quarters Ended September 30, 2023</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fiscal quarters ended September 28, 2024 and September 30,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of Net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6"/>
              </w:rPr>
              <w:t>% of Net</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Change in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475,625</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(54,378)</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288,948</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343,877</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132,299</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131,748</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1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86,697</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25,149</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1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8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76,598</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78,115</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380" w:firstLine="8"/>
        <w:spacing w:after="0" w:line="266"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(loss), the most directly comparable GAAP measure, and for information regarding our use of Adjusted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Net sales were $421.2 million for the three fiscal quarters ended September 28, 2024, compared to $475.6 million for the three fiscal quarters ended September 30, 2023. The $54.4 million, or 11.4%, decrease in net sales was because of a $51.7 million decrease in sales volume and a $2.7 million decrease from lower pricing. The net sales decrease was primarily driven by continued macroeconomic weakness and consisted of a decrease of $36.5 million for in-ground swimming pools, $9.1 million for liners and $8.8 million for covers.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16" w:lineRule="exact"/>
        <w:rPr>
          <w:sz w:val="20"/>
          <w:szCs w:val="20"/>
          <w:color w:val="auto"/>
        </w:rPr>
      </w:pPr>
    </w:p>
    <w:p>
      <w:pPr>
        <w:ind w:right="280" w:firstLine="324"/>
        <w:spacing w:after="0" w:line="257" w:lineRule="auto"/>
        <w:rPr>
          <w:sz w:val="20"/>
          <w:szCs w:val="20"/>
          <w:color w:val="auto"/>
        </w:rPr>
      </w:pPr>
      <w:r>
        <w:rPr>
          <w:rFonts w:ascii="Times New Roman" w:cs="Times New Roman" w:eastAsia="Times New Roman" w:hAnsi="Times New Roman"/>
          <w:sz w:val="18"/>
          <w:szCs w:val="18"/>
          <w:color w:val="auto"/>
        </w:rPr>
        <w:t>Cost of sales was $288.9 million for the three fiscal quarters ended September 28, 2024, compared to $343.9 million for the three fiscal quarters ended September 30, 2023. Gross margin increased by 3.7%, to 31.4% of net sales for the three fiscal quarters ended September 28, 2024, compared to 27.7% of net sales for the three fiscal quarters ended September 30, 2023. The $55.0 million, or</w:t>
      </w:r>
    </w:p>
    <w:p>
      <w:pPr>
        <w:spacing w:after="0" w:line="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16.0%, decrease in cost of sales was primarily the result of the decrease in sales volume, the impact of production efficiencies resulting from lean manufacturing and value engineering programs and lower material costs, partially offset by the acquisition of Coverstar Central. The 3.7% increase in gross margin was primarily driven by the impact of previously announced restructuring programs, the impact of production efficiencies from lean manufacturing and value engineering programs, cost control, material deflation in line with expectations and supplier optimization. Deflation and supplier optimization partially offset the price decrease mentioned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was $81.2 million for the three fiscal quarters ended September 28, 2024, compared to $86.7 million for the three fiscal quarters ended September 30, 2023. The $5.5 million, or 6.4%, decrease in selling, general,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administrative expense was primarily driven by a $9.8 million decrease in non-cash stock-based compensation expense, as well as our cost containment initiatives and restructuring programs, partially offset by an increase in performance-based compensation and increased spending on sales and marketing to further strengthen our position ahead of a market turnaround.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Amortization was $19.8 million for the three fiscal quarters ended September 28, 2024, compared to $19.9 million for the three fiscal quarters ended September 30, 2023. The $0.1 million, or 0.4%, decrease in amortization was driven by certain definite-lived intangible assets becoming fully amortized during the fiscal year ended December 31, 2023 partially offset by the acquisition of Coverstar Central.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right="200"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was $20.2 million for the three fiscal quarters ended September 28, 2024, compared to $21.3 million for the three fiscal quarters ended September 30, 2023. The $1.1 million, or 5.3%, decrease in interest expense, net was primarily the result of the change in the fair value of our interest rate swap, compared to the three fiscal quarters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expense, net was $1.7 million for the three fiscal quarters ended September 28, 2024, compared to $0.2 million for the three fiscal quarters ended September 30, 2023. The $1.5 million increase in other expense, net was primarily driven by an unfavorable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1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$2.8 million for the three fiscal quarters ended September 28, 2024, compared to $2.5 million for the three fiscal quarters ended September 30, 2023, due to the financial performance of Premier Pools &amp; Spa.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Income tax expense was $0.9 million for the three fiscal quarters ended September 28, 2024, compared to income tax expense of $8.6 million for the three fiscal quarters ended September 30, 2023. Our effective tax rate was 7.6% for the three fiscal quarters ended September 28, 2024, compared to 140.7% for the three fiscal quarters ended September 30, 2023. The difference between the U.S. federal statutory income tax rate and our effective income tax rate for both the three fiscal quarters ended September 28, 2024 and September 30, 2023 was primarily attributable to the impacts of stock-based compensation expense and foreign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Net income was $11.3 million for the three fiscal quarters ended September 28, 2024, compared to $2.5 million of net loss for the three fiscal quarters ended September 30, 2023. The $13.8 million, or 552.4%, increase in net income was primarily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Margin</w:t>
      </w:r>
    </w:p>
    <w:p>
      <w:pPr>
        <w:spacing w:after="0" w:line="229"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color w:val="auto"/>
        </w:rPr>
        <w:t>Net income margin was 2.7% for the three fiscal quarters ended September 28, 2024, compared to net loss margin of 0.5% for the three fiscal quarters ended September 30, 2023. The 3.2% increase in net income margin was driven by a $13.8 million increase in net income, compared to the three fiscal quarters ended September 30, 2023 because of the factors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was $76.6 million for the three fiscal quarters ended September 28, 2024, compared to $78.1 million for the three fiscal quarters ended September 30, 2023. The $1.5 million, or 1.9%, decrease in Adjusted EBITDA was primarily because of the decrease in net sales, partially offset by the decrease in cost resulting from lean manufacturing and value engineering programs, as well as the other factors described above.</w:t>
      </w:r>
    </w:p>
    <w:p>
      <w:pPr>
        <w:sectPr>
          <w:pgSz w:w="11900" w:h="16838" w:orient="portrait"/>
          <w:cols w:equalWidth="0" w:num="1">
            <w:col w:w="9900"/>
          </w:cols>
          <w:pgMar w:left="980" w:top="661"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Adjusted EBITDA margin was 18.2% for the three fiscal quarters ended September 28, 2024, compared to 16.4% for the three fiscal quarters ended September 30, 2023. The 1.8% increase in Adjusted EBITDA margin was primarily because of a decrease in cost of sales and selling, general and administrative expenses, compared to the three fiscal quarters ended September 30, 2023, which was impacted by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the Odessa fire and other such unusual events and (xi) other.</w:t>
      </w:r>
    </w:p>
    <w:p>
      <w:pPr>
        <w:spacing w:after="0" w:line="194"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00" w:right="32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(benefit) expense,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62"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our net income (loss) to Adjusted EBITDA for the periods presented and the calculation of Adjusted EBITDA margin:</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gridSpan w:val="2"/>
            <w:vMerge w:val="continue"/>
          </w:tcPr>
          <w:p>
            <w:pPr>
              <w:spacing w:after="0"/>
              <w:rPr>
                <w:sz w:val="14"/>
                <w:szCs w:val="14"/>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2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and disposal of property and equipment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6"/>
                <w:szCs w:val="26"/>
                <w:color w:val="auto"/>
                <w:vertAlign w:val="superscript"/>
              </w:rPr>
              <w:t>(a)</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6"/>
                <w:szCs w:val="26"/>
                <w:color w:val="auto"/>
                <w:vertAlign w:val="superscript"/>
              </w:rPr>
              <w:t>(b)</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Unrealized (gains) losses on foreign currency</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spacing w:after="0" w:line="242" w:lineRule="exact"/>
              <w:rPr>
                <w:sz w:val="20"/>
                <w:szCs w:val="20"/>
                <w:color w:val="auto"/>
              </w:rPr>
            </w:pPr>
            <w:r>
              <w:rPr>
                <w:rFonts w:ascii="Times New Roman" w:cs="Times New Roman" w:eastAsia="Times New Roman" w:hAnsi="Times New Roman"/>
                <w:sz w:val="18"/>
                <w:szCs w:val="18"/>
                <w:color w:val="auto"/>
              </w:rPr>
              <w:t xml:space="preserve">transactions </w:t>
            </w:r>
            <w:r>
              <w:rPr>
                <w:rFonts w:ascii="Times New Roman" w:cs="Times New Roman" w:eastAsia="Times New Roman" w:hAnsi="Times New Roman"/>
                <w:sz w:val="26"/>
                <w:szCs w:val="26"/>
                <w:color w:val="auto"/>
                <w:vertAlign w:val="superscript"/>
              </w:rPr>
              <w:t>(c)</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6"/>
                <w:szCs w:val="26"/>
                <w:color w:val="auto"/>
                <w:vertAlign w:val="superscript"/>
              </w:rPr>
              <w:t>(d)</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6"/>
                <w:szCs w:val="26"/>
                <w:color w:val="auto"/>
                <w:vertAlign w:val="superscript"/>
              </w:rPr>
              <w:t>(e)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Odessa fire</w:t>
            </w:r>
            <w:r>
              <w:rPr>
                <w:rFonts w:ascii="Times New Roman" w:cs="Times New Roman" w:eastAsia="Times New Roman" w:hAnsi="Times New Roman"/>
                <w:sz w:val="26"/>
                <w:szCs w:val="26"/>
                <w:color w:val="auto"/>
                <w:vertAlign w:val="superscript"/>
              </w:rPr>
              <w:t>(f)</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6"/>
                <w:szCs w:val="26"/>
                <w:color w:val="auto"/>
                <w:vertAlign w:val="superscript"/>
              </w:rPr>
              <w:t>(g)</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150,496</w:t>
            </w:r>
          </w:p>
        </w:tc>
        <w:tc>
          <w:tcPr>
            <w:tcW w:w="2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540" w:type="dxa"/>
            <w:vAlign w:val="bottom"/>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160,778</w:t>
            </w:r>
          </w:p>
        </w:tc>
        <w:tc>
          <w:tcPr>
            <w:tcW w:w="2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421,247</w:t>
            </w:r>
          </w:p>
        </w:tc>
        <w:tc>
          <w:tcPr>
            <w:tcW w:w="2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475,625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19.8 %</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8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200" w:firstLine="8"/>
        <w:spacing w:after="0" w:line="257"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associated with our international subsidiaries.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260" w:hanging="252"/>
        <w:spacing w:after="0" w:line="236"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and insurance recoveries related to a production facility fire in Odessa, Texas.</w:t>
      </w:r>
    </w:p>
    <w:p>
      <w:pPr>
        <w:spacing w:after="0" w:line="7" w:lineRule="exact"/>
        <w:rPr>
          <w:rFonts w:ascii="Times New Roman" w:cs="Times New Roman" w:eastAsia="Times New Roman" w:hAnsi="Times New Roman"/>
          <w:sz w:val="18"/>
          <w:szCs w:val="18"/>
          <w:color w:val="auto"/>
        </w:rPr>
      </w:pPr>
    </w:p>
    <w:p>
      <w:pPr>
        <w:ind w:right="320"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w:t>
      </w:r>
    </w:p>
    <w:p>
      <w:pPr>
        <w:spacing w:after="0" w:line="187" w:lineRule="exact"/>
        <w:rPr>
          <w:sz w:val="20"/>
          <w:szCs w:val="20"/>
          <w:color w:val="auto"/>
        </w:rPr>
      </w:pPr>
    </w:p>
    <w:p>
      <w:pPr>
        <w:jc w:val="both"/>
        <w:ind w:right="20" w:firstLine="324"/>
        <w:spacing w:after="0" w:line="252" w:lineRule="auto"/>
        <w:rPr>
          <w:sz w:val="20"/>
          <w:szCs w:val="20"/>
          <w:color w:val="auto"/>
        </w:rPr>
      </w:pPr>
      <w:r>
        <w:rPr>
          <w:rFonts w:ascii="Times New Roman" w:cs="Times New Roman" w:eastAsia="Times New Roman" w:hAnsi="Times New Roman"/>
          <w:sz w:val="18"/>
          <w:szCs w:val="18"/>
          <w:color w:val="auto"/>
        </w:rPr>
        <w:t>As of September 28, 2024, we had $59.9 million of cash, $282.8 million of outstanding indebtedness and an additional $75.0 million of borrowing availability under our Revolving Credit Facility. On August 2, 2024, we completed the Coverstar Central Acquisition. The cash purchase price was $64.0 million, net of cash acquired. The Coverstar Central Acquisition was fully funded with cash on hand.</w:t>
      </w:r>
    </w:p>
    <w:p>
      <w:pPr>
        <w:spacing w:after="0" w:line="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While our existing cash balances and net cash provided by operating activities have generally been sufficient to fund our general corporate and working capital needs, our use of significant existing cash on hand to fund the Coverstar Central Acquisition may require us in the future to utilize a portion of our borrowing availability under our Revolving Credit Facility.</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investments in lean manufacturing and value engineering, including production capacity, storage, and delivery equipment. We are in the midst of a multi-year capital plan to invest in our facilities, technology, and systems.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entered into an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 On such date, proceeds under the Credit Agreement were used to repay and replace $294.0 million under, and terminate, the previous credit agreement and for general corporate purposes.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28, 2024, we were in compliance with all covenants under the Revolving Credit Facility and the Term Loan.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1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7"/>
          <w:szCs w:val="17"/>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The Revolving Credit Facility is not subject to amortization.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also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September 28, 2024, we had no outstanding borrowings under the Revolving Credit Facility and $75.0 million was available for future borrowing.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of our wholly owned subsidiaries that are party to that certain security agreement, which was executed in connection with the Credit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28, 2024, we had $282.8 million of outstanding borrowings under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(the “Repurchase Program”), which authorizes us to repurchase up to $100 million of our shares of common stock by May 2025.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We did not repurchase any shares of our common stock during the fiscal quarter ended September 28, 2024. As of September 28, 2024, $77.0 million remained available for share repurchases pursuant to our 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87"/>
        </w:trPr>
        <w:tc>
          <w:tcPr>
            <w:tcW w:w="4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60" w:type="dxa"/>
            <w:vAlign w:val="bottom"/>
          </w:tcPr>
          <w:p>
            <w:pPr>
              <w:spacing w:after="0"/>
              <w:rPr>
                <w:sz w:val="16"/>
                <w:szCs w:val="16"/>
                <w:color w:val="auto"/>
              </w:rPr>
            </w:pPr>
          </w:p>
        </w:tc>
      </w:tr>
      <w:tr>
        <w:trPr>
          <w:trHeight w:val="200"/>
        </w:trPr>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88,123</w:t>
            </w:r>
          </w:p>
        </w:tc>
        <w:tc>
          <w:tcPr>
            <w:tcW w:w="60" w:type="dxa"/>
            <w:vAlign w:val="bottom"/>
            <w:shd w:val="clear" w:color="auto" w:fill="CCEEFF"/>
          </w:tcPr>
          <w:p>
            <w:pPr>
              <w:spacing w:after="0"/>
              <w:rPr>
                <w:sz w:val="20"/>
                <w:szCs w:val="20"/>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(28,273)</w:t>
            </w:r>
          </w:p>
        </w:tc>
        <w:tc>
          <w:tcPr>
            <w:tcW w:w="60" w:type="dxa"/>
            <w:vAlign w:val="bottom"/>
          </w:tcPr>
          <w:p>
            <w:pPr>
              <w:spacing w:after="0"/>
              <w:rPr>
                <w:sz w:val="19"/>
                <w:szCs w:val="19"/>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6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60" w:type="dxa"/>
            <w:vAlign w:val="bottom"/>
            <w:tcBorders>
              <w:bottom w:val="single" w:sz="8" w:color="CCEEFF"/>
            </w:tcBorders>
          </w:tcPr>
          <w:p>
            <w:pPr>
              <w:spacing w:after="0"/>
              <w:rPr>
                <w:sz w:val="19"/>
                <w:szCs w:val="19"/>
                <w:color w:val="auto"/>
              </w:rPr>
            </w:pPr>
          </w:p>
        </w:tc>
      </w:tr>
      <w:tr>
        <w:trPr>
          <w:trHeight w:val="223"/>
        </w:trPr>
        <w:tc>
          <w:tcPr>
            <w:tcW w:w="4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(42,901)</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three fiscal quarters ended September 28, 2024, operating activities provided $55.2 million of cash. Net income, after adjustments for non-cash items, provided cash of $60.3 million. Cash provided by operating activities was further driven by changes in our operating assets and liabilities, which used $5.2 million. Net cash used by changes in our operating assets and liabilities for the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three fiscal quarters ended September 28, 2024 consisted primarily of a $35.6 million increase in trade receivables, a $6.6 million increase in income tax receivable, a $2.3 million increase in prepaid expenses and other current assets and a $0.6 million increase in other long-term liabilities, partially offset by a $25.5 million decrease in inventories, a $10.4 million increase in accounts payable, a $3.4 million increase in accrued expenses and other current liabilities, and a $0.6 million decrease in other assets. The change in trade receivables was primarily driven by the timing of net sales, the change in inventories was driven by efforts to meet a reduced demand outlook while maintaining lead times and service levels and the changes in accounts payable were primarily driven by volume of purchases and timing of payments.</w:t>
      </w:r>
    </w:p>
    <w:p>
      <w:pPr>
        <w:spacing w:after="0" w:line="187"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During the three fiscal quarters ended September 30, 2023, operating activities provided $88.1 million of cash. Net loss, after adjustments for non-cash items, provided cash of $56.0 million. Cash provided by operating activities was further driven by changes in our operating assets and liabilities, which provided $32.1 million. Net cash provided by changes in our operating assets and liabilities for the three fiscal quarters ended September 30, 2023 consisted primarily of a $61.7 million decrease in inventories, a $3.0 million increase in other long-term liabilities and a $2.1 million increase in accounts payable partially offset by a $28.7 million increase in trade receivables, a $4.3 million increase in other assets, a $1.5 million increase in income tax receivable, a $0.3 million increase in prepaid expenses and other current assets and a $0.2 million decrease in accrued expenses and other current liabilities. The change in trade receivables was primarily driven by the timing of net sales, and the decrease in inventories was primarily driven by efforts to meet demand outlook while maintaining lead times and service levels. The changes in accrued expenses and other current liabilities and accounts payable were primarily driven by volume of purchases and timing of payments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three fiscal quarters ended September 28, 2024, investing activities used $77.9 million of cash, consisting of our acquisition of Coverstar Central for cash consideration of $64.0 million, net of cash acquired, and purchases of property and equipment for $13.9 million. The purchase of property and equipment was primarily to expand capacity for production and diversify offerings, especially for fiberglass pools, the majority of which relates to finishing up carryover projects from the prior fiscal year.</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the three fiscal quarters ended September 30, 2023, investing activities used $28.3 million of cash, consisting of purchases of property and equipment for $28.3 million. The purchase of property and equipment was primarily to expand capacity for production, especially for fiberglass pools.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fiscal quarters ended September 28, 2024, financing activities used $20.2 million of cash, primarily consisting of repayments on long-term debt borrowings of $19.6 million and repayments of finance lease obligations of $0.6 million.</w:t>
      </w:r>
    </w:p>
    <w:p>
      <w:pPr>
        <w:spacing w:after="0" w:line="162"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8"/>
          <w:szCs w:val="18"/>
          <w:color w:val="auto"/>
        </w:rPr>
        <w:t>During the three fiscal quarters ended September 30, 2023, financing activities used $12.9 million of cash, primarily consisting of repayments on revolving credit facilities of $48.0 million, repayments on long-term debt borrowings of $12.4 million, and repayments of finance lease obligations of $0.4 million, partially offset by borrowings on revolving credit facilities of $48.0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three fiscal quarters ended September 28, 2024 from those described under the heading “Management’s Discussion and Analysis of Financial Condition and Results of Operations—Contractual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below and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evaluate goodwill for impairment at least annually, or more frequently when events or changes in circumstances indicate that the carrying value may not be recoverable. We have selected the first day of the fourth fiscal quarter to perform our annual goodwill impairment testing.</w:t>
      </w:r>
    </w:p>
    <w:p>
      <w:pPr>
        <w:spacing w:after="0" w:line="183"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spacing w:after="0" w:line="15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maximum goodwill impairment is the carrying value of the goodwill.</w:t>
      </w:r>
    </w:p>
    <w:p>
      <w:pPr>
        <w:spacing w:after="0" w:line="17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qualitative factors we assessed as part of our annual impairment testing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Based on the results of the quantitative assessment performed for our one reporting unit, we determined that goodwill was not impaired at October 1, 2023. However, if factors exist that could indicate an impairment in the future, including a sustained decrease in our stock price, we may be required to record impairment charges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condensed consolidated financial statements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7"/>
          <w:szCs w:val="17"/>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Changes in these rates may have an impact on future cash flow and earnings. We manage these risks through normal operating and financing activities.</w:t>
      </w:r>
    </w:p>
    <w:p>
      <w:pPr>
        <w:spacing w:after="0" w:line="181"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fiscal quarters ended September 28, 2024,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entered into an additional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w:t>
      </w:r>
    </w:p>
    <w:p>
      <w:pPr>
        <w:spacing w:after="0" w:line="18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September 28, 2024, would cause an increase or decrease to annual interest expense, net of approximately $1.3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28, 2024. Based upon their evaluation, our Chief Executive Officer and Chief Financial Officer concluded that our disclosure controls and procedures were effective at a reasonable assurance level as of September 28,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 new enterprise resource planning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spacing w:after="0" w:line="17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00"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our operations and businesses,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fiscal quarter ended September 28, 2024. However, the results of any current or future litigation cannot be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predicted with certainty and, regardless of the outcome, we may incur significant costs and experience a diversion of management resources as a result of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and other subsequent reports we file or furnish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 dispositions, joint ventures or investments we may undertake. Any of these known or emerging factors may materially adversely affect our business, financial condition, and operating results, as well as the trading price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which authorizes us to repurchase up to $100.0 million of our shares of common stock by May 2025.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September 28, 2024, $77.0 million remained available for share repurchases pursuant to the repurchase program. We did not repurchase any shares of our common stock during the fiscal quarter ended September 28,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fiscal quarter ended September 28, 2024, none of the Company’s directors or Section 16 officers adopted or terminated</w:t>
      </w:r>
    </w:p>
    <w:p>
      <w:pPr>
        <w:spacing w:after="0" w:line="27" w:lineRule="exact"/>
        <w:rPr>
          <w:sz w:val="20"/>
          <w:szCs w:val="20"/>
          <w:color w:val="auto"/>
        </w:rPr>
      </w:pPr>
    </w:p>
    <w:p>
      <w:pPr>
        <w:ind w:right="320" w:firstLine="8"/>
        <w:spacing w:after="0" w:line="292"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vMerge w:val="continue"/>
          </w:tcPr>
          <w:p>
            <w:pPr>
              <w:spacing w:after="0"/>
              <w:rPr>
                <w:sz w:val="14"/>
                <w:szCs w:val="14"/>
                <w:color w:val="auto"/>
              </w:rPr>
            </w:pPr>
          </w:p>
        </w:tc>
        <w:tc>
          <w:tcPr>
            <w:tcW w:w="8760" w:type="dxa"/>
            <w:vAlign w:val="bottom"/>
            <w:gridSpan w:val="10"/>
          </w:tcPr>
          <w:p>
            <w:pPr>
              <w:spacing w:after="0" w:line="169"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Certificate of Incorporation of Latham Group, Inc. (incorporated by reference to Exhibit 3.1 to</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Latham Group, Inc.’s Quarterly Report on Form 10-Q filed with the SEC on June 3, 2021 (File No. 001-40358))</w:t>
              </w:r>
            </w:hyperlink>
          </w:p>
        </w:tc>
        <w:tc>
          <w:tcPr>
            <w:tcW w:w="420" w:type="dxa"/>
            <w:vAlign w:val="bottom"/>
            <w:tcBorders>
              <w:top w:val="single" w:sz="8" w:color="0000EE"/>
            </w:tcBorders>
          </w:tcPr>
          <w:p>
            <w:pPr>
              <w:spacing w:after="0"/>
              <w:rPr>
                <w:sz w:val="18"/>
                <w:szCs w:val="18"/>
                <w:color w:val="auto"/>
              </w:rPr>
            </w:pPr>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Amended and Restated Bylaws of Latham Group, Inc. (incorporated by reference to Exhibit 3.2 to Latham Group, Inc.’s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Quarterly Report on Form 10-Q filed with the SEC on June 3, 2021 (File No. 001-40358))</w:t>
              </w:r>
            </w:hyperlink>
          </w:p>
        </w:tc>
        <w:tc>
          <w:tcPr>
            <w:tcW w:w="22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Certification of CEO, pursuant to SEC Rule 13a-14(a) and 15d-14(a)</w:t>
            </w:r>
          </w:p>
        </w:tc>
        <w:tc>
          <w:tcPr>
            <w:tcW w:w="3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CFO, pursuant to SEC Rule 13a-14(a) and 15d-14(a)</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6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 Sarbanes-Oxley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Act of 2002</w:t>
            </w:r>
          </w:p>
        </w:tc>
        <w:tc>
          <w:tcPr>
            <w:tcW w:w="79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by the CFO, pursuant to 18 U.S.C. Section 1350, as adopted pursuant to Section 906 of the Sarbanes-Oxley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Act of 2002</w:t>
            </w:r>
          </w:p>
        </w:tc>
        <w:tc>
          <w:tcPr>
            <w:tcW w:w="7820" w:type="dxa"/>
            <w:vAlign w:val="bottom"/>
            <w:tcBorders>
              <w:top w:val="single" w:sz="8" w:color="0000EE"/>
            </w:tcBorders>
            <w:gridSpan w:val="7"/>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274320</wp:posOffset>
            </wp:positionV>
            <wp:extent cx="1568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20" w:hanging="1151"/>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1220" w:hanging="1151"/>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40"/>
          </w:cols>
          <w:pgMar w:left="920" w:top="661" w:right="9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2024</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Oliver C. Gloe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1" w:right="1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November 6,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8"/>
              </w:rPr>
              <w:t>/s/ Scott M. Rajeski</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Chief Executive Officer and President</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9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November 6,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9"/>
              </w:rPr>
              <w:t>/s/ Oliver C. Gloe</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Chief Financial Officer</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September 28, 2024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Scott M. Rajeski,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November 6,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 Scott M. Rajeski</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Executive Officer and President</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September 28, 2024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November 6,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/s/ Oliver C. Gloe</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Financial Officer</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2"/>
    </w:lvl>
  </w:abstractNum>
  <w:abstractNum w:abstractNumId="3">
    <w:nsid w:val="1F16E9E8"/>
    <w:multiLevelType w:val="hybridMultilevel"/>
    <w:lvl w:ilvl="0">
      <w:lvlJc w:val="left"/>
      <w:lvlText w:val="%1"/>
      <w:numFmt w:val="decimal"/>
      <w:start w:val="1"/>
    </w:lvl>
    <w:lvl w:ilvl="1">
      <w:lvlJc w:val="left"/>
      <w:lvlText w:val="(%2)"/>
      <w:numFmt w:val="decimal"/>
      <w:start w:val="1"/>
    </w:lvl>
  </w:abstractNum>
  <w:abstractNum w:abstractNumId="4">
    <w:nsid w:val="1190CDE7"/>
    <w:multiLevelType w:val="hybridMultilevel"/>
    <w:lvl w:ilvl="0">
      <w:lvlJc w:val="left"/>
      <w:lvlText w:val="%1."/>
      <w:numFmt w:val="decimal"/>
      <w:start w:val="14"/>
    </w:lvl>
    <w:lvl w:ilvl="1">
      <w:lvlJc w:val="left"/>
      <w:lvlText w:val="%2"/>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9" Type="http://schemas.openxmlformats.org/officeDocument/2006/relationships/hyperlink" Target="https://www.sec.gov/Archives/edgar/data/1833197/000110465921076404/tm2117455d1_ex3-1.htm" TargetMode="External"/><Relationship Id="rId60" Type="http://schemas.openxmlformats.org/officeDocument/2006/relationships/hyperlink" Target="https://www.sec.gov/Archives/edgar/data/1833197/000110465921076404/tm211745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2024-11-06T06:49:42Z</dcterms:created>
  <dcterms:modified xsi:type="dcterms:W3CDTF">2024-11-06T06:49:42Z</dcterms:modified>
</cp:coreProperties>
</file>