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157480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u w:val="single" w:color="auto"/>
          <w:color w:val="auto"/>
        </w:rPr>
        <w:t>April 3, 2021</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ind w:left="620" w:hanging="612"/>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9" w:lineRule="exact"/>
        <w:rPr>
          <w:sz w:val="24"/>
          <w:szCs w:val="24"/>
          <w:color w:val="auto"/>
        </w:rPr>
      </w:pPr>
    </w:p>
    <w:p>
      <w:pPr>
        <w:spacing w:after="0"/>
        <w:tabs>
          <w:tab w:leader="none" w:pos="23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1391920</wp:posOffset>
            </wp:positionH>
            <wp:positionV relativeFrom="paragraph">
              <wp:posOffset>-10160</wp:posOffset>
            </wp:positionV>
            <wp:extent cx="857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-10160</wp:posOffset>
            </wp:positionV>
            <wp:extent cx="857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001-40358</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LATHAM GROUP, Inc.</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480" w:type="dxa"/>
            <w:vAlign w:val="bottom"/>
            <w:gridSpan w:val="4"/>
          </w:tcPr>
          <w:p>
            <w:pPr>
              <w:jc w:val="center"/>
              <w:ind w:left="3670"/>
              <w:spacing w:after="0"/>
              <w:rPr>
                <w:sz w:val="20"/>
                <w:szCs w:val="20"/>
                <w:color w:val="auto"/>
              </w:rPr>
            </w:pPr>
            <w:r>
              <w:rPr>
                <w:rFonts w:ascii="Arial" w:cs="Arial" w:eastAsia="Arial" w:hAnsi="Arial"/>
                <w:sz w:val="18"/>
                <w:szCs w:val="18"/>
                <w:color w:val="auto"/>
                <w:w w:val="90"/>
              </w:rPr>
              <w:t>(Exact name of registrant as specified in its charter)</w:t>
            </w:r>
          </w:p>
        </w:tc>
        <w:tc>
          <w:tcPr>
            <w:tcW w:w="3760" w:type="dxa"/>
            <w:vAlign w:val="bottom"/>
          </w:tcPr>
          <w:p>
            <w:pPr>
              <w:spacing w:after="0"/>
              <w:rPr>
                <w:sz w:val="20"/>
                <w:szCs w:val="20"/>
                <w:color w:val="auto"/>
              </w:rPr>
            </w:pPr>
          </w:p>
        </w:tc>
      </w:tr>
      <w:tr>
        <w:trPr>
          <w:trHeight w:val="432"/>
        </w:trPr>
        <w:tc>
          <w:tcPr>
            <w:tcW w:w="4800" w:type="dxa"/>
            <w:vAlign w:val="bottom"/>
            <w:tcBorders>
              <w:bottom w:val="single" w:sz="8" w:color="auto"/>
            </w:tcBorders>
          </w:tcPr>
          <w:p>
            <w:pPr>
              <w:jc w:val="center"/>
              <w:ind w:left="1050"/>
              <w:spacing w:after="0"/>
              <w:rPr>
                <w:sz w:val="20"/>
                <w:szCs w:val="20"/>
                <w:color w:val="auto"/>
              </w:rPr>
            </w:pPr>
            <w:r>
              <w:rPr>
                <w:rFonts w:ascii="Arial" w:cs="Arial" w:eastAsia="Arial" w:hAnsi="Arial"/>
                <w:sz w:val="18"/>
                <w:szCs w:val="18"/>
                <w:b w:val="1"/>
                <w:bCs w:val="1"/>
                <w:color w:val="auto"/>
                <w:w w:val="93"/>
              </w:rPr>
              <w:t>Delaware</w:t>
            </w:r>
          </w:p>
        </w:tc>
        <w:tc>
          <w:tcPr>
            <w:tcW w:w="114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jc w:val="right"/>
              <w:ind w:right="1910"/>
              <w:spacing w:after="0"/>
              <w:rPr>
                <w:sz w:val="20"/>
                <w:szCs w:val="20"/>
                <w:color w:val="auto"/>
              </w:rPr>
            </w:pPr>
            <w:r>
              <w:rPr>
                <w:rFonts w:ascii="Arial" w:cs="Arial" w:eastAsia="Arial" w:hAnsi="Arial"/>
                <w:sz w:val="18"/>
                <w:szCs w:val="18"/>
                <w:b w:val="1"/>
                <w:bCs w:val="1"/>
                <w:color w:val="auto"/>
              </w:rPr>
              <w:t>83-2797583</w:t>
            </w:r>
          </w:p>
        </w:tc>
      </w:tr>
      <w:tr>
        <w:trPr>
          <w:trHeight w:val="195"/>
        </w:trPr>
        <w:tc>
          <w:tcPr>
            <w:tcW w:w="4800" w:type="dxa"/>
            <w:vAlign w:val="bottom"/>
          </w:tcPr>
          <w:p>
            <w:pPr>
              <w:jc w:val="center"/>
              <w:ind w:left="1050"/>
              <w:spacing w:after="0" w:line="195" w:lineRule="exact"/>
              <w:rPr>
                <w:sz w:val="20"/>
                <w:szCs w:val="20"/>
                <w:color w:val="auto"/>
              </w:rPr>
            </w:pPr>
            <w:r>
              <w:rPr>
                <w:rFonts w:ascii="Arial" w:cs="Arial" w:eastAsia="Arial" w:hAnsi="Arial"/>
                <w:sz w:val="18"/>
                <w:szCs w:val="18"/>
                <w:color w:val="auto"/>
                <w:w w:val="93"/>
              </w:rPr>
              <w:t>(State or other jurisdiction of</w:t>
            </w: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760" w:type="dxa"/>
            <w:vAlign w:val="bottom"/>
          </w:tcPr>
          <w:p>
            <w:pPr>
              <w:ind w:left="20"/>
              <w:spacing w:after="0" w:line="195" w:lineRule="exact"/>
              <w:rPr>
                <w:sz w:val="20"/>
                <w:szCs w:val="20"/>
                <w:color w:val="auto"/>
              </w:rPr>
            </w:pPr>
            <w:r>
              <w:rPr>
                <w:rFonts w:ascii="Arial" w:cs="Arial" w:eastAsia="Arial" w:hAnsi="Arial"/>
                <w:sz w:val="18"/>
                <w:szCs w:val="18"/>
                <w:color w:val="auto"/>
              </w:rPr>
              <w:t>(I.R.S. Employer Identification No.)</w:t>
            </w:r>
          </w:p>
        </w:tc>
      </w:tr>
      <w:tr>
        <w:trPr>
          <w:trHeight w:val="230"/>
        </w:trPr>
        <w:tc>
          <w:tcPr>
            <w:tcW w:w="4800" w:type="dxa"/>
            <w:vAlign w:val="bottom"/>
          </w:tcPr>
          <w:p>
            <w:pPr>
              <w:jc w:val="center"/>
              <w:ind w:left="1050"/>
              <w:spacing w:after="0"/>
              <w:rPr>
                <w:sz w:val="20"/>
                <w:szCs w:val="20"/>
                <w:color w:val="auto"/>
              </w:rPr>
            </w:pPr>
            <w:r>
              <w:rPr>
                <w:rFonts w:ascii="Arial" w:cs="Arial" w:eastAsia="Arial" w:hAnsi="Arial"/>
                <w:sz w:val="18"/>
                <w:szCs w:val="18"/>
                <w:color w:val="auto"/>
                <w:w w:val="93"/>
              </w:rPr>
              <w:t>incorporation or organization)</w:t>
            </w: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432"/>
        </w:trPr>
        <w:tc>
          <w:tcPr>
            <w:tcW w:w="4800" w:type="dxa"/>
            <w:vAlign w:val="bottom"/>
            <w:tcBorders>
              <w:bottom w:val="single" w:sz="8" w:color="auto"/>
            </w:tcBorders>
          </w:tcPr>
          <w:p>
            <w:pPr>
              <w:jc w:val="center"/>
              <w:ind w:left="1050"/>
              <w:spacing w:after="0"/>
              <w:rPr>
                <w:sz w:val="20"/>
                <w:szCs w:val="20"/>
                <w:color w:val="auto"/>
              </w:rPr>
            </w:pPr>
            <w:r>
              <w:rPr>
                <w:rFonts w:ascii="Arial" w:cs="Arial" w:eastAsia="Arial" w:hAnsi="Arial"/>
                <w:sz w:val="18"/>
                <w:szCs w:val="18"/>
                <w:b w:val="1"/>
                <w:bCs w:val="1"/>
                <w:color w:val="auto"/>
                <w:w w:val="93"/>
              </w:rPr>
              <w:t>787 Watervliet Shaker Road, Latham, NY</w:t>
            </w:r>
          </w:p>
        </w:tc>
        <w:tc>
          <w:tcPr>
            <w:tcW w:w="114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jc w:val="right"/>
              <w:ind w:right="2130"/>
              <w:spacing w:after="0"/>
              <w:rPr>
                <w:sz w:val="20"/>
                <w:szCs w:val="20"/>
                <w:color w:val="auto"/>
              </w:rPr>
            </w:pPr>
            <w:r>
              <w:rPr>
                <w:rFonts w:ascii="Arial" w:cs="Arial" w:eastAsia="Arial" w:hAnsi="Arial"/>
                <w:sz w:val="18"/>
                <w:szCs w:val="18"/>
                <w:b w:val="1"/>
                <w:bCs w:val="1"/>
                <w:color w:val="auto"/>
              </w:rPr>
              <w:t>12110</w:t>
            </w:r>
          </w:p>
        </w:tc>
      </w:tr>
      <w:tr>
        <w:trPr>
          <w:trHeight w:val="224"/>
        </w:trPr>
        <w:tc>
          <w:tcPr>
            <w:tcW w:w="4800" w:type="dxa"/>
            <w:vAlign w:val="bottom"/>
          </w:tcPr>
          <w:p>
            <w:pPr>
              <w:jc w:val="center"/>
              <w:ind w:left="1050"/>
              <w:spacing w:after="0"/>
              <w:rPr>
                <w:sz w:val="20"/>
                <w:szCs w:val="20"/>
                <w:color w:val="auto"/>
              </w:rPr>
            </w:pPr>
            <w:r>
              <w:rPr>
                <w:rFonts w:ascii="Arial" w:cs="Arial" w:eastAsia="Arial" w:hAnsi="Arial"/>
                <w:sz w:val="18"/>
                <w:szCs w:val="18"/>
                <w:color w:val="auto"/>
                <w:w w:val="92"/>
              </w:rPr>
              <w:t>(Address of principal executive offices)</w:t>
            </w: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760" w:type="dxa"/>
            <w:vAlign w:val="bottom"/>
          </w:tcPr>
          <w:p>
            <w:pPr>
              <w:ind w:left="920"/>
              <w:spacing w:after="0"/>
              <w:rPr>
                <w:sz w:val="20"/>
                <w:szCs w:val="20"/>
                <w:color w:val="auto"/>
              </w:rPr>
            </w:pPr>
            <w:r>
              <w:rPr>
                <w:rFonts w:ascii="Arial" w:cs="Arial" w:eastAsia="Arial" w:hAnsi="Arial"/>
                <w:sz w:val="18"/>
                <w:szCs w:val="18"/>
                <w:color w:val="auto"/>
              </w:rPr>
              <w:t>(Zip Code)</w:t>
            </w:r>
          </w:p>
        </w:tc>
      </w:tr>
      <w:tr>
        <w:trPr>
          <w:trHeight w:val="403"/>
        </w:trPr>
        <w:tc>
          <w:tcPr>
            <w:tcW w:w="4800" w:type="dxa"/>
            <w:vAlign w:val="bottom"/>
          </w:tcPr>
          <w:p>
            <w:pPr>
              <w:spacing w:after="0"/>
              <w:rPr>
                <w:sz w:val="24"/>
                <w:szCs w:val="24"/>
                <w:color w:val="auto"/>
              </w:rPr>
            </w:pP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(800) 833-3800</w:t>
            </w:r>
          </w:p>
        </w:tc>
        <w:tc>
          <w:tcPr>
            <w:tcW w:w="11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30"/>
        </w:trPr>
        <w:tc>
          <w:tcPr>
            <w:tcW w:w="11240" w:type="dxa"/>
            <w:vAlign w:val="bottom"/>
            <w:gridSpan w:val="5"/>
          </w:tcPr>
          <w:p>
            <w:pPr>
              <w:jc w:val="center"/>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418"/>
        </w:trPr>
        <w:tc>
          <w:tcPr>
            <w:tcW w:w="4800" w:type="dxa"/>
            <w:vAlign w:val="bottom"/>
          </w:tcPr>
          <w:p>
            <w:pPr>
              <w:spacing w:after="0"/>
              <w:rPr>
                <w:sz w:val="24"/>
                <w:szCs w:val="24"/>
                <w:color w:val="auto"/>
              </w:rPr>
            </w:pPr>
          </w:p>
        </w:tc>
        <w:tc>
          <w:tcPr>
            <w:tcW w:w="268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rPr>
              <w:t>N/A</w:t>
            </w:r>
          </w:p>
        </w:tc>
        <w:tc>
          <w:tcPr>
            <w:tcW w:w="3760" w:type="dxa"/>
            <w:vAlign w:val="bottom"/>
          </w:tcPr>
          <w:p>
            <w:pPr>
              <w:spacing w:after="0"/>
              <w:rPr>
                <w:sz w:val="24"/>
                <w:szCs w:val="24"/>
                <w:color w:val="auto"/>
              </w:rPr>
            </w:pPr>
          </w:p>
        </w:tc>
      </w:tr>
      <w:tr>
        <w:trPr>
          <w:trHeight w:val="230"/>
        </w:trPr>
        <w:tc>
          <w:tcPr>
            <w:tcW w:w="11240" w:type="dxa"/>
            <w:vAlign w:val="bottom"/>
            <w:gridSpan w:val="5"/>
          </w:tcPr>
          <w:p>
            <w:pPr>
              <w:jc w:val="center"/>
              <w:spacing w:after="0"/>
              <w:rPr>
                <w:sz w:val="20"/>
                <w:szCs w:val="20"/>
                <w:color w:val="auto"/>
              </w:rPr>
            </w:pPr>
            <w:r>
              <w:rPr>
                <w:rFonts w:ascii="Arial" w:cs="Arial" w:eastAsia="Arial" w:hAnsi="Arial"/>
                <w:sz w:val="18"/>
                <w:szCs w:val="18"/>
                <w:color w:val="auto"/>
                <w:w w:val="90"/>
              </w:rPr>
              <w:t>(Former name, former address and former fiscal year, if changed since last report)</w:t>
            </w:r>
          </w:p>
        </w:tc>
      </w:tr>
      <w:tr>
        <w:trPr>
          <w:trHeight w:val="432"/>
        </w:trPr>
        <w:tc>
          <w:tcPr>
            <w:tcW w:w="480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432"/>
        </w:trPr>
        <w:tc>
          <w:tcPr>
            <w:tcW w:w="480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color w:val="auto"/>
                <w:w w:val="90"/>
              </w:rPr>
              <w:t>Title of each class</w:t>
            </w:r>
          </w:p>
        </w:tc>
        <w:tc>
          <w:tcPr>
            <w:tcW w:w="2680" w:type="dxa"/>
            <w:vAlign w:val="bottom"/>
            <w:tcBorders>
              <w:bottom w:val="single" w:sz="8" w:color="auto"/>
            </w:tcBorders>
            <w:gridSpan w:val="3"/>
          </w:tcPr>
          <w:p>
            <w:pPr>
              <w:jc w:val="center"/>
              <w:ind w:right="920"/>
              <w:spacing w:after="0"/>
              <w:rPr>
                <w:sz w:val="20"/>
                <w:szCs w:val="20"/>
                <w:color w:val="auto"/>
              </w:rPr>
            </w:pPr>
            <w:r>
              <w:rPr>
                <w:rFonts w:ascii="Arial" w:cs="Arial" w:eastAsia="Arial" w:hAnsi="Arial"/>
                <w:sz w:val="18"/>
                <w:szCs w:val="18"/>
                <w:color w:val="auto"/>
                <w:w w:val="92"/>
              </w:rPr>
              <w:t>Trading Symbol(s)</w:t>
            </w:r>
          </w:p>
        </w:tc>
        <w:tc>
          <w:tcPr>
            <w:tcW w:w="37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Name of each exchange on which registered</w:t>
            </w:r>
          </w:p>
        </w:tc>
      </w:tr>
      <w:tr>
        <w:trPr>
          <w:trHeight w:val="228"/>
        </w:trPr>
        <w:tc>
          <w:tcPr>
            <w:tcW w:w="4800" w:type="dxa"/>
            <w:vAlign w:val="bottom"/>
          </w:tcPr>
          <w:p>
            <w:pPr>
              <w:jc w:val="center"/>
              <w:ind w:right="310"/>
              <w:spacing w:after="0"/>
              <w:rPr>
                <w:sz w:val="20"/>
                <w:szCs w:val="20"/>
                <w:color w:val="auto"/>
              </w:rPr>
            </w:pPr>
            <w:r>
              <w:rPr>
                <w:rFonts w:ascii="Arial" w:cs="Arial" w:eastAsia="Arial" w:hAnsi="Arial"/>
                <w:sz w:val="18"/>
                <w:szCs w:val="18"/>
                <w:b w:val="1"/>
                <w:bCs w:val="1"/>
                <w:color w:val="auto"/>
                <w:w w:val="88"/>
              </w:rPr>
              <w:t>Class A common stock, par value $0.0001 per share</w:t>
            </w:r>
          </w:p>
        </w:tc>
        <w:tc>
          <w:tcPr>
            <w:tcW w:w="268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rPr>
              <w:t>SWIM</w:t>
            </w:r>
          </w:p>
        </w:tc>
        <w:tc>
          <w:tcPr>
            <w:tcW w:w="3760" w:type="dxa"/>
            <w:vAlign w:val="bottom"/>
          </w:tcPr>
          <w:p>
            <w:pPr>
              <w:ind w:left="400"/>
              <w:spacing w:after="0"/>
              <w:rPr>
                <w:sz w:val="20"/>
                <w:szCs w:val="20"/>
                <w:color w:val="auto"/>
              </w:rPr>
            </w:pPr>
            <w:r>
              <w:rPr>
                <w:rFonts w:ascii="Arial" w:cs="Arial" w:eastAsia="Arial" w:hAnsi="Arial"/>
                <w:sz w:val="18"/>
                <w:szCs w:val="18"/>
                <w:b w:val="1"/>
                <w:bCs w:val="1"/>
                <w:color w:val="auto"/>
              </w:rPr>
              <w:t>The Nasdaq Stock Market LLC</w:t>
            </w:r>
          </w:p>
        </w:tc>
      </w:tr>
    </w:tbl>
    <w:p>
      <w:pPr>
        <w:spacing w:after="0" w:line="183"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84" w:lineRule="exact"/>
        <w:rPr>
          <w:sz w:val="24"/>
          <w:szCs w:val="24"/>
          <w:color w:val="auto"/>
        </w:rPr>
      </w:pPr>
    </w:p>
    <w:p>
      <w:pPr>
        <w:ind w:right="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tcPr>
          <w:p>
            <w:pPr>
              <w:spacing w:after="0" w:line="207" w:lineRule="exact"/>
              <w:rPr>
                <w:sz w:val="20"/>
                <w:szCs w:val="20"/>
                <w:color w:val="auto"/>
              </w:rPr>
            </w:pPr>
            <w:r>
              <w:rPr>
                <w:rFonts w:ascii="Arial" w:cs="Arial" w:eastAsia="Arial" w:hAnsi="Arial"/>
                <w:sz w:val="18"/>
                <w:szCs w:val="18"/>
                <w:color w:val="auto"/>
                <w:w w:val="99"/>
              </w:rPr>
              <w:t xml:space="preserve">Large accelerated filers  </w:t>
            </w: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Accelerated filers  </w:t>
            </w: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Non-accelerated filers  </w:t>
            </w: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Smaller reporting companies  </w:t>
            </w:r>
            <w:r>
              <w:rPr>
                <w:rFonts w:ascii="MS PGothic" w:cs="MS PGothic" w:eastAsia="MS PGothic" w:hAnsi="MS PGothic"/>
                <w:sz w:val="18"/>
                <w:szCs w:val="18"/>
                <w:color w:val="auto"/>
                <w:w w:val="99"/>
              </w:rPr>
              <w:t>☐</w:t>
            </w:r>
          </w:p>
        </w:tc>
        <w:tc>
          <w:tcPr>
            <w:tcW w:w="1840" w:type="dxa"/>
            <w:vAlign w:val="bottom"/>
          </w:tcPr>
          <w:p>
            <w:pPr>
              <w:ind w:left="100"/>
              <w:spacing w:after="0"/>
              <w:rPr>
                <w:sz w:val="20"/>
                <w:szCs w:val="20"/>
                <w:color w:val="auto"/>
              </w:rPr>
            </w:pPr>
            <w:r>
              <w:rPr>
                <w:rFonts w:ascii="Arial" w:cs="Arial" w:eastAsia="Arial" w:hAnsi="Arial"/>
                <w:sz w:val="18"/>
                <w:szCs w:val="18"/>
                <w:color w:val="auto"/>
              </w:rPr>
              <w:t>Emerging growth</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8580" w:type="dxa"/>
            <w:vAlign w:val="bottom"/>
          </w:tcPr>
          <w:p>
            <w:pPr>
              <w:spacing w:after="0"/>
              <w:rPr>
                <w:sz w:val="20"/>
                <w:szCs w:val="20"/>
                <w:color w:val="auto"/>
              </w:rPr>
            </w:pPr>
          </w:p>
        </w:tc>
        <w:tc>
          <w:tcPr>
            <w:tcW w:w="1840" w:type="dxa"/>
            <w:vAlign w:val="bottom"/>
          </w:tcPr>
          <w:p>
            <w:pPr>
              <w:ind w:left="100"/>
              <w:spacing w:after="0"/>
              <w:rPr>
                <w:sz w:val="20"/>
                <w:szCs w:val="20"/>
                <w:color w:val="auto"/>
              </w:rPr>
            </w:pPr>
            <w:r>
              <w:rPr>
                <w:rFonts w:ascii="Arial" w:cs="Arial" w:eastAsia="Arial" w:hAnsi="Arial"/>
                <w:sz w:val="18"/>
                <w:szCs w:val="18"/>
                <w:color w:val="auto"/>
              </w:rPr>
              <w:t>companies</w:t>
            </w:r>
          </w:p>
        </w:tc>
        <w:tc>
          <w:tcPr>
            <w:tcW w:w="640" w:type="dxa"/>
            <w:vAlign w:val="bottom"/>
          </w:tcPr>
          <w:p>
            <w:pPr>
              <w:spacing w:after="0"/>
              <w:rPr>
                <w:sz w:val="20"/>
                <w:szCs w:val="20"/>
                <w:color w:val="auto"/>
              </w:rPr>
            </w:pPr>
          </w:p>
        </w:tc>
      </w:tr>
    </w:tbl>
    <w:p>
      <w:pPr>
        <w:spacing w:after="0" w:line="133"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emerging growth companies, indicate by check mark if the registrants have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registrants are shell companies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June 1, 2021, 120,409,271 shares of the registrant’s common stock, $0.0001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920" w:type="dxa"/>
            <w:vAlign w:val="bottom"/>
            <w:gridSpan w:val="4"/>
          </w:tcPr>
          <w:p>
            <w:pPr>
              <w:jc w:val="center"/>
              <w:ind w:right="1200"/>
              <w:spacing w:after="0"/>
              <w:rPr>
                <w:sz w:val="20"/>
                <w:szCs w:val="20"/>
                <w:color w:val="auto"/>
              </w:rPr>
            </w:pPr>
            <w:r>
              <w:rPr>
                <w:rFonts w:ascii="Arial" w:cs="Arial" w:eastAsia="Arial" w:hAnsi="Arial"/>
                <w:sz w:val="18"/>
                <w:szCs w:val="18"/>
                <w:b w:val="1"/>
                <w:bCs w:val="1"/>
                <w:color w:val="auto"/>
                <w:w w:val="98"/>
              </w:rPr>
              <w:t>TABLE OF CONTENTS</w:t>
            </w: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326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5920" w:type="dxa"/>
            <w:vAlign w:val="bottom"/>
            <w:tcBorders>
              <w:bottom w:val="single" w:sz="8" w:color="CCEEFF"/>
            </w:tcBorders>
            <w:gridSpan w:val="4"/>
            <w:shd w:val="clear" w:color="auto" w:fill="CCEEFF"/>
          </w:tcPr>
          <w:p>
            <w:pPr>
              <w:spacing w:after="0"/>
              <w:rPr>
                <w:sz w:val="17"/>
                <w:szCs w:val="17"/>
                <w:color w:val="auto"/>
              </w:rPr>
            </w:pPr>
          </w:p>
        </w:tc>
        <w:tc>
          <w:tcPr>
            <w:tcW w:w="186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100" w:type="dxa"/>
            <w:vAlign w:val="bottom"/>
            <w:tcBorders>
              <w:bottom w:val="single" w:sz="8" w:color="CCEEFF"/>
            </w:tcBorders>
            <w:shd w:val="clear" w:color="auto" w:fill="CCEEFF"/>
          </w:tcPr>
          <w:p>
            <w:pPr>
              <w:spacing w:after="0"/>
              <w:rPr>
                <w:sz w:val="17"/>
                <w:szCs w:val="17"/>
                <w:color w:val="auto"/>
              </w:rPr>
            </w:pPr>
          </w:p>
        </w:tc>
      </w:tr>
      <w:tr>
        <w:trPr>
          <w:trHeight w:val="176"/>
        </w:trPr>
        <w:tc>
          <w:tcPr>
            <w:tcW w:w="9180" w:type="dxa"/>
            <w:vAlign w:val="bottom"/>
            <w:gridSpan w:val="12"/>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Item 1. Financial Statements</w:t>
              </w:r>
            </w:hyperlink>
          </w:p>
        </w:tc>
        <w:tc>
          <w:tcPr>
            <w:tcW w:w="2060" w:type="dxa"/>
            <w:vAlign w:val="bottom"/>
            <w:gridSpan w:val="4"/>
          </w:tcPr>
          <w:p>
            <w:pPr>
              <w:jc w:val="right"/>
              <w:ind w:right="10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9180" w:type="dxa"/>
            <w:vAlign w:val="bottom"/>
            <w:gridSpan w:val="12"/>
            <w:shd w:val="clear" w:color="auto" w:fill="CCEEFF"/>
          </w:tcPr>
          <w:p>
            <w:pPr>
              <w:spacing w:after="0" w:line="17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Item 2. Management’s Discussion and Analysis of Financial Condition and Results of Operations</w:t>
              </w:r>
            </w:hyperlink>
          </w:p>
        </w:tc>
        <w:tc>
          <w:tcPr>
            <w:tcW w:w="206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23</w:t>
              </w:r>
            </w:hyperlink>
          </w:p>
        </w:tc>
      </w:tr>
      <w:tr>
        <w:trPr>
          <w:trHeight w:val="21"/>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9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160" w:type="dxa"/>
            <w:vAlign w:val="bottom"/>
            <w:tcBorders>
              <w:top w:val="single" w:sz="8" w:color="0000EE"/>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80" w:type="dxa"/>
            <w:vAlign w:val="bottom"/>
          </w:tcPr>
          <w:p>
            <w:pPr>
              <w:spacing w:after="0" w:line="176" w:lineRule="exact"/>
              <w:rPr>
                <w:rFonts w:ascii="Arial" w:cs="Arial" w:eastAsia="Arial" w:hAnsi="Arial"/>
                <w:sz w:val="18"/>
                <w:szCs w:val="18"/>
                <w:b w:val="1"/>
                <w:bCs w:val="1"/>
                <w:color w:val="0000EE"/>
                <w:w w:val="98"/>
              </w:rPr>
            </w:pPr>
            <w:hyperlink w:anchor="page33">
              <w:r>
                <w:rPr>
                  <w:rFonts w:ascii="Arial" w:cs="Arial" w:eastAsia="Arial" w:hAnsi="Arial"/>
                  <w:sz w:val="18"/>
                  <w:szCs w:val="18"/>
                  <w:b w:val="1"/>
                  <w:bCs w:val="1"/>
                  <w:color w:val="0000EE"/>
                  <w:w w:val="98"/>
                </w:rPr>
                <w:t>Item 3.</w:t>
              </w:r>
            </w:hyperlink>
          </w:p>
        </w:tc>
        <w:tc>
          <w:tcPr>
            <w:tcW w:w="6840" w:type="dxa"/>
            <w:vAlign w:val="bottom"/>
            <w:gridSpan w:val="10"/>
          </w:tcPr>
          <w:p>
            <w:pPr>
              <w:ind w:left="20"/>
              <w:spacing w:after="0" w:line="176"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Quantitative and Qualitative Disclosures About Market Risk</w:t>
              </w:r>
            </w:hyperlink>
          </w:p>
        </w:tc>
        <w:tc>
          <w:tcPr>
            <w:tcW w:w="1760" w:type="dxa"/>
            <w:vAlign w:val="bottom"/>
          </w:tcPr>
          <w:p>
            <w:pPr>
              <w:spacing w:after="0"/>
              <w:rPr>
                <w:sz w:val="15"/>
                <w:szCs w:val="15"/>
                <w:color w:val="auto"/>
              </w:rPr>
            </w:pPr>
          </w:p>
        </w:tc>
        <w:tc>
          <w:tcPr>
            <w:tcW w:w="2060" w:type="dxa"/>
            <w:vAlign w:val="bottom"/>
            <w:gridSpan w:val="4"/>
          </w:tcPr>
          <w:p>
            <w:pPr>
              <w:jc w:val="right"/>
              <w:ind w:right="10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32</w:t>
              </w:r>
            </w:hyperlink>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9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580" w:type="dxa"/>
            <w:vAlign w:val="bottom"/>
            <w:shd w:val="clear" w:color="auto" w:fill="CCEEFF"/>
          </w:tcPr>
          <w:p>
            <w:pPr>
              <w:spacing w:after="0" w:line="176" w:lineRule="exact"/>
              <w:rPr>
                <w:rFonts w:ascii="Arial" w:cs="Arial" w:eastAsia="Arial" w:hAnsi="Arial"/>
                <w:sz w:val="18"/>
                <w:szCs w:val="18"/>
                <w:b w:val="1"/>
                <w:bCs w:val="1"/>
                <w:color w:val="0000EE"/>
                <w:w w:val="98"/>
              </w:rPr>
            </w:pPr>
            <w:hyperlink w:anchor="page34">
              <w:r>
                <w:rPr>
                  <w:rFonts w:ascii="Arial" w:cs="Arial" w:eastAsia="Arial" w:hAnsi="Arial"/>
                  <w:sz w:val="18"/>
                  <w:szCs w:val="18"/>
                  <w:b w:val="1"/>
                  <w:bCs w:val="1"/>
                  <w:color w:val="0000EE"/>
                  <w:w w:val="98"/>
                </w:rPr>
                <w:t>Item 4.</w:t>
              </w:r>
            </w:hyperlink>
          </w:p>
        </w:tc>
        <w:tc>
          <w:tcPr>
            <w:tcW w:w="8600" w:type="dxa"/>
            <w:vAlign w:val="bottom"/>
            <w:gridSpan w:val="11"/>
            <w:shd w:val="clear" w:color="auto" w:fill="CCEEFF"/>
          </w:tcPr>
          <w:p>
            <w:pPr>
              <w:ind w:left="20"/>
              <w:spacing w:after="0" w:line="176"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Controls and Procedures</w:t>
              </w:r>
            </w:hyperlink>
          </w:p>
        </w:tc>
        <w:tc>
          <w:tcPr>
            <w:tcW w:w="206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r>
      <w:tr>
        <w:trPr>
          <w:trHeight w:val="20"/>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180" w:type="dxa"/>
            <w:vAlign w:val="bottom"/>
            <w:gridSpan w:val="12"/>
          </w:tcPr>
          <w:p>
            <w:pPr>
              <w:spacing w:after="0" w:line="176"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PART II — OTHER INFORMATION</w:t>
              </w:r>
            </w:hyperlink>
          </w:p>
        </w:tc>
        <w:tc>
          <w:tcPr>
            <w:tcW w:w="2060" w:type="dxa"/>
            <w:vAlign w:val="bottom"/>
            <w:gridSpan w:val="4"/>
          </w:tcPr>
          <w:p>
            <w:pPr>
              <w:jc w:val="right"/>
              <w:ind w:right="10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1700" w:type="dxa"/>
            <w:vAlign w:val="bottom"/>
            <w:gridSpan w:val="4"/>
            <w:shd w:val="clear" w:color="auto" w:fill="CCEEFF"/>
          </w:tcPr>
          <w:p>
            <w:pPr>
              <w:spacing w:after="0" w:line="176" w:lineRule="exact"/>
              <w:rPr>
                <w:rFonts w:ascii="Arial" w:cs="Arial" w:eastAsia="Arial" w:hAnsi="Arial"/>
                <w:sz w:val="18"/>
                <w:szCs w:val="18"/>
                <w:b w:val="1"/>
                <w:bCs w:val="1"/>
                <w:color w:val="0000EE"/>
                <w:w w:val="91"/>
              </w:rPr>
            </w:pPr>
            <w:hyperlink w:anchor="page35">
              <w:r>
                <w:rPr>
                  <w:rFonts w:ascii="Arial" w:cs="Arial" w:eastAsia="Arial" w:hAnsi="Arial"/>
                  <w:sz w:val="18"/>
                  <w:szCs w:val="18"/>
                  <w:b w:val="1"/>
                  <w:bCs w:val="1"/>
                  <w:color w:val="0000EE"/>
                  <w:w w:val="91"/>
                </w:rPr>
                <w:t>Item 1A. Risk Factors</w:t>
              </w:r>
            </w:hyperlink>
          </w:p>
        </w:tc>
        <w:tc>
          <w:tcPr>
            <w:tcW w:w="7480" w:type="dxa"/>
            <w:vAlign w:val="bottom"/>
            <w:gridSpan w:val="8"/>
            <w:shd w:val="clear" w:color="auto" w:fill="CCEEFF"/>
          </w:tcPr>
          <w:p>
            <w:pPr>
              <w:spacing w:after="0"/>
              <w:rPr>
                <w:sz w:val="15"/>
                <w:szCs w:val="15"/>
                <w:color w:val="auto"/>
              </w:rPr>
            </w:pPr>
          </w:p>
        </w:tc>
        <w:tc>
          <w:tcPr>
            <w:tcW w:w="206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r>
      <w:tr>
        <w:trPr>
          <w:trHeight w:val="21"/>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80" w:type="dxa"/>
            <w:vAlign w:val="bottom"/>
          </w:tcPr>
          <w:p>
            <w:pPr>
              <w:spacing w:after="0" w:line="176" w:lineRule="exact"/>
              <w:rPr>
                <w:rFonts w:ascii="Arial" w:cs="Arial" w:eastAsia="Arial" w:hAnsi="Arial"/>
                <w:sz w:val="18"/>
                <w:szCs w:val="18"/>
                <w:b w:val="1"/>
                <w:bCs w:val="1"/>
                <w:color w:val="0000EE"/>
                <w:w w:val="98"/>
              </w:rPr>
            </w:pPr>
            <w:hyperlink w:anchor="page35">
              <w:r>
                <w:rPr>
                  <w:rFonts w:ascii="Arial" w:cs="Arial" w:eastAsia="Arial" w:hAnsi="Arial"/>
                  <w:sz w:val="18"/>
                  <w:szCs w:val="18"/>
                  <w:b w:val="1"/>
                  <w:bCs w:val="1"/>
                  <w:color w:val="0000EE"/>
                  <w:w w:val="98"/>
                </w:rPr>
                <w:t>Item 2.</w:t>
              </w:r>
            </w:hyperlink>
          </w:p>
        </w:tc>
        <w:tc>
          <w:tcPr>
            <w:tcW w:w="8600" w:type="dxa"/>
            <w:vAlign w:val="bottom"/>
            <w:gridSpan w:val="11"/>
          </w:tcPr>
          <w:p>
            <w:pPr>
              <w:ind w:left="20"/>
              <w:spacing w:after="0" w:line="176"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Unregistered Sales of Equity Securities and Use of Proceeds</w:t>
              </w:r>
            </w:hyperlink>
          </w:p>
        </w:tc>
        <w:tc>
          <w:tcPr>
            <w:tcW w:w="2060" w:type="dxa"/>
            <w:vAlign w:val="bottom"/>
            <w:gridSpan w:val="4"/>
          </w:tcPr>
          <w:p>
            <w:pPr>
              <w:jc w:val="right"/>
              <w:ind w:right="10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9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580" w:type="dxa"/>
            <w:vAlign w:val="bottom"/>
            <w:shd w:val="clear" w:color="auto" w:fill="CCEEFF"/>
          </w:tcPr>
          <w:p>
            <w:pPr>
              <w:spacing w:after="0" w:line="176" w:lineRule="exact"/>
              <w:rPr>
                <w:rFonts w:ascii="Arial" w:cs="Arial" w:eastAsia="Arial" w:hAnsi="Arial"/>
                <w:sz w:val="18"/>
                <w:szCs w:val="18"/>
                <w:b w:val="1"/>
                <w:bCs w:val="1"/>
                <w:color w:val="0000EE"/>
                <w:w w:val="98"/>
              </w:rPr>
            </w:pPr>
            <w:hyperlink w:anchor="page36">
              <w:r>
                <w:rPr>
                  <w:rFonts w:ascii="Arial" w:cs="Arial" w:eastAsia="Arial" w:hAnsi="Arial"/>
                  <w:sz w:val="18"/>
                  <w:szCs w:val="18"/>
                  <w:b w:val="1"/>
                  <w:bCs w:val="1"/>
                  <w:color w:val="0000EE"/>
                  <w:w w:val="98"/>
                </w:rPr>
                <w:t>Item 6.</w:t>
              </w:r>
            </w:hyperlink>
          </w:p>
        </w:tc>
        <w:tc>
          <w:tcPr>
            <w:tcW w:w="660" w:type="dxa"/>
            <w:vAlign w:val="bottom"/>
            <w:gridSpan w:val="2"/>
            <w:shd w:val="clear" w:color="auto" w:fill="CCEEFF"/>
          </w:tcPr>
          <w:p>
            <w:pPr>
              <w:ind w:left="20"/>
              <w:spacing w:after="0" w:line="176" w:lineRule="exact"/>
              <w:rPr>
                <w:rFonts w:ascii="Arial" w:cs="Arial" w:eastAsia="Arial" w:hAnsi="Arial"/>
                <w:sz w:val="18"/>
                <w:szCs w:val="18"/>
                <w:b w:val="1"/>
                <w:bCs w:val="1"/>
                <w:color w:val="0000EE"/>
                <w:w w:val="88"/>
              </w:rPr>
            </w:pPr>
            <w:hyperlink w:anchor="page36">
              <w:r>
                <w:rPr>
                  <w:rFonts w:ascii="Arial" w:cs="Arial" w:eastAsia="Arial" w:hAnsi="Arial"/>
                  <w:sz w:val="18"/>
                  <w:szCs w:val="18"/>
                  <w:b w:val="1"/>
                  <w:bCs w:val="1"/>
                  <w:color w:val="0000EE"/>
                  <w:w w:val="88"/>
                </w:rPr>
                <w:t>Exhibits</w:t>
              </w:r>
            </w:hyperlink>
          </w:p>
        </w:tc>
        <w:tc>
          <w:tcPr>
            <w:tcW w:w="7940" w:type="dxa"/>
            <w:vAlign w:val="bottom"/>
            <w:gridSpan w:val="9"/>
            <w:shd w:val="clear" w:color="auto" w:fill="CCEEFF"/>
          </w:tcPr>
          <w:p>
            <w:pPr>
              <w:spacing w:after="0"/>
              <w:rPr>
                <w:sz w:val="15"/>
                <w:szCs w:val="15"/>
                <w:color w:val="auto"/>
              </w:rPr>
            </w:pPr>
          </w:p>
        </w:tc>
        <w:tc>
          <w:tcPr>
            <w:tcW w:w="206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r>
      <w:tr>
        <w:trPr>
          <w:trHeight w:val="21"/>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240" w:type="dxa"/>
            <w:vAlign w:val="bottom"/>
            <w:gridSpan w:val="3"/>
          </w:tcPr>
          <w:p>
            <w:pPr>
              <w:spacing w:after="0" w:line="17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SIGNATURES</w:t>
              </w:r>
            </w:hyperlink>
          </w:p>
        </w:tc>
        <w:tc>
          <w:tcPr>
            <w:tcW w:w="7940" w:type="dxa"/>
            <w:vAlign w:val="bottom"/>
            <w:gridSpan w:val="9"/>
          </w:tcPr>
          <w:p>
            <w:pPr>
              <w:spacing w:after="0"/>
              <w:rPr>
                <w:sz w:val="15"/>
                <w:szCs w:val="15"/>
                <w:color w:val="auto"/>
              </w:rPr>
            </w:pPr>
          </w:p>
        </w:tc>
        <w:tc>
          <w:tcPr>
            <w:tcW w:w="2060" w:type="dxa"/>
            <w:vAlign w:val="bottom"/>
            <w:gridSpan w:val="4"/>
          </w:tcPr>
          <w:p>
            <w:pPr>
              <w:jc w:val="right"/>
              <w:ind w:right="100"/>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r>
      <w:tr>
        <w:trPr>
          <w:trHeight w:val="669"/>
        </w:trPr>
        <w:tc>
          <w:tcPr>
            <w:tcW w:w="580" w:type="dxa"/>
            <w:vAlign w:val="bottom"/>
            <w:tcBorders>
              <w:top w:val="single" w:sz="8" w:color="0000EE"/>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6260" w:type="dxa"/>
            <w:vAlign w:val="bottom"/>
            <w:tcBorders>
              <w:bottom w:val="single" w:sz="8" w:color="auto"/>
            </w:tcBorders>
            <w:gridSpan w:val="9"/>
          </w:tcPr>
          <w:p>
            <w:pPr>
              <w:jc w:val="right"/>
              <w:ind w:right="1740"/>
              <w:spacing w:after="0"/>
              <w:rPr>
                <w:sz w:val="20"/>
                <w:szCs w:val="20"/>
                <w:color w:val="auto"/>
              </w:rPr>
            </w:pPr>
            <w:r>
              <w:rPr>
                <w:rFonts w:ascii="Arial" w:cs="Arial" w:eastAsia="Arial" w:hAnsi="Arial"/>
                <w:sz w:val="18"/>
                <w:szCs w:val="18"/>
                <w:color w:val="auto"/>
              </w:rPr>
              <w:t>2</w:t>
            </w:r>
          </w:p>
        </w:tc>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Condensed Consolidated Financial Statements (Unaudited)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40" w:type="dxa"/>
            <w:vAlign w:val="bottom"/>
            <w:gridSpan w:val="7"/>
            <w:shd w:val="clear" w:color="auto" w:fill="CCEEFF"/>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5900" w:type="dxa"/>
            <w:vAlign w:val="bottom"/>
            <w:gridSpan w:val="2"/>
            <w:shd w:val="clear" w:color="auto" w:fill="CCEEFF"/>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40" w:type="dxa"/>
            <w:vAlign w:val="bottom"/>
            <w:gridSpan w:val="7"/>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w:t>
              </w:r>
            </w:hyperlink>
          </w:p>
        </w:tc>
        <w:tc>
          <w:tcPr>
            <w:tcW w:w="5900" w:type="dxa"/>
            <w:vAlign w:val="bottom"/>
            <w:gridSpan w:val="2"/>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100" w:type="dxa"/>
            <w:vAlign w:val="bottom"/>
            <w:gridSpan w:val="6"/>
            <w:shd w:val="clear" w:color="auto" w:fill="CCEEFF"/>
          </w:tcPr>
          <w:p>
            <w:pPr>
              <w:spacing w:after="0" w:line="17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Income (Loss)</w:t>
              </w:r>
            </w:hyperlink>
          </w:p>
        </w:tc>
        <w:tc>
          <w:tcPr>
            <w:tcW w:w="240" w:type="dxa"/>
            <w:vAlign w:val="bottom"/>
            <w:shd w:val="clear" w:color="auto" w:fill="CCEEFF"/>
          </w:tcPr>
          <w:p>
            <w:pPr>
              <w:spacing w:after="0"/>
              <w:rPr>
                <w:sz w:val="15"/>
                <w:szCs w:val="15"/>
                <w:color w:val="auto"/>
              </w:rPr>
            </w:pPr>
          </w:p>
        </w:tc>
        <w:tc>
          <w:tcPr>
            <w:tcW w:w="5900" w:type="dxa"/>
            <w:vAlign w:val="bottom"/>
            <w:gridSpan w:val="2"/>
            <w:shd w:val="clear" w:color="auto" w:fill="CCEEFF"/>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9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100" w:type="dxa"/>
            <w:vAlign w:val="bottom"/>
            <w:gridSpan w:val="6"/>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Stockholders’ Equity</w:t>
              </w:r>
            </w:hyperlink>
          </w:p>
        </w:tc>
        <w:tc>
          <w:tcPr>
            <w:tcW w:w="240" w:type="dxa"/>
            <w:vAlign w:val="bottom"/>
          </w:tcPr>
          <w:p>
            <w:pPr>
              <w:spacing w:after="0"/>
              <w:rPr>
                <w:sz w:val="15"/>
                <w:szCs w:val="15"/>
                <w:color w:val="auto"/>
              </w:rPr>
            </w:pPr>
          </w:p>
        </w:tc>
        <w:tc>
          <w:tcPr>
            <w:tcW w:w="5900" w:type="dxa"/>
            <w:vAlign w:val="bottom"/>
            <w:gridSpan w:val="2"/>
          </w:tcPr>
          <w:p>
            <w:pPr>
              <w:jc w:val="right"/>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9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340" w:type="dxa"/>
            <w:vAlign w:val="bottom"/>
            <w:gridSpan w:val="7"/>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w:t>
              </w:r>
            </w:hyperlink>
          </w:p>
        </w:tc>
        <w:tc>
          <w:tcPr>
            <w:tcW w:w="5900" w:type="dxa"/>
            <w:vAlign w:val="bottom"/>
            <w:gridSpan w:val="2"/>
            <w:shd w:val="clear" w:color="auto" w:fill="CCEEFF"/>
          </w:tcPr>
          <w:p>
            <w:pPr>
              <w:jc w:val="right"/>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9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40" w:type="dxa"/>
            <w:vAlign w:val="bottom"/>
            <w:gridSpan w:val="7"/>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5900" w:type="dxa"/>
            <w:vAlign w:val="bottom"/>
            <w:gridSpan w:val="2"/>
          </w:tcPr>
          <w:p>
            <w:pPr>
              <w:jc w:val="right"/>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9</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68"/>
        </w:trPr>
        <w:tc>
          <w:tcPr>
            <w:tcW w:w="294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jc w:val="right"/>
              <w:ind w:right="5390"/>
              <w:spacing w:after="0"/>
              <w:rPr>
                <w:sz w:val="20"/>
                <w:szCs w:val="20"/>
                <w:color w:val="auto"/>
              </w:rPr>
            </w:pPr>
            <w:r>
              <w:rPr>
                <w:rFonts w:ascii="Arial" w:cs="Arial" w:eastAsia="Arial" w:hAnsi="Arial"/>
                <w:sz w:val="18"/>
                <w:szCs w:val="18"/>
                <w:color w:val="auto"/>
              </w:rPr>
              <w:t>3</w:t>
            </w: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April 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8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3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19,945</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59,310</w:t>
            </w:r>
          </w:p>
        </w:tc>
        <w:tc>
          <w:tcPr>
            <w:tcW w:w="0" w:type="dxa"/>
            <w:vAlign w:val="bottom"/>
          </w:tcPr>
          <w:p>
            <w:pPr>
              <w:spacing w:after="0"/>
              <w:rPr>
                <w:sz w:val="1"/>
                <w:szCs w:val="1"/>
                <w:color w:val="auto"/>
              </w:rPr>
            </w:pPr>
          </w:p>
        </w:tc>
      </w:tr>
      <w:tr>
        <w:trPr>
          <w:trHeight w:val="216"/>
        </w:trPr>
        <w:tc>
          <w:tcPr>
            <w:tcW w:w="8300" w:type="dxa"/>
            <w:vAlign w:val="bottom"/>
          </w:tcPr>
          <w:p>
            <w:pPr>
              <w:ind w:left="180"/>
              <w:spacing w:after="0"/>
              <w:rPr>
                <w:sz w:val="20"/>
                <w:szCs w:val="20"/>
                <w:color w:val="auto"/>
              </w:rPr>
            </w:pPr>
            <w:r>
              <w:rPr>
                <w:rFonts w:ascii="Arial" w:cs="Arial" w:eastAsia="Arial" w:hAnsi="Arial"/>
                <w:sz w:val="18"/>
                <w:szCs w:val="18"/>
                <w:color w:val="auto"/>
              </w:rPr>
              <w:t>Trade receivables, net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92,960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32,758</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74,131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64,818</w:t>
            </w:r>
          </w:p>
        </w:tc>
        <w:tc>
          <w:tcPr>
            <w:tcW w:w="0" w:type="dxa"/>
            <w:vAlign w:val="bottom"/>
          </w:tcPr>
          <w:p>
            <w:pPr>
              <w:spacing w:after="0"/>
              <w:rPr>
                <w:sz w:val="1"/>
                <w:szCs w:val="1"/>
                <w:color w:val="auto"/>
              </w:rPr>
            </w:pPr>
          </w:p>
        </w:tc>
      </w:tr>
      <w:tr>
        <w:trPr>
          <w:trHeight w:val="216"/>
        </w:trPr>
        <w:tc>
          <w:tcPr>
            <w:tcW w:w="8300" w:type="dxa"/>
            <w:vAlign w:val="bottom"/>
          </w:tcPr>
          <w:p>
            <w:pPr>
              <w:ind w:left="180"/>
              <w:spacing w:after="0"/>
              <w:rPr>
                <w:sz w:val="20"/>
                <w:szCs w:val="20"/>
                <w:color w:val="auto"/>
              </w:rPr>
            </w:pPr>
            <w:r>
              <w:rPr>
                <w:rFonts w:ascii="Arial" w:cs="Arial" w:eastAsia="Arial" w:hAnsi="Arial"/>
                <w:sz w:val="18"/>
                <w:szCs w:val="18"/>
                <w:color w:val="auto"/>
              </w:rPr>
              <w:t>Income tax receivable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2,107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4,377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6,063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30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194,828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167,326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50,605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47,357</w:t>
            </w:r>
          </w:p>
        </w:tc>
        <w:tc>
          <w:tcPr>
            <w:tcW w:w="0" w:type="dxa"/>
            <w:vAlign w:val="bottom"/>
          </w:tcPr>
          <w:p>
            <w:pPr>
              <w:spacing w:after="0"/>
              <w:rPr>
                <w:sz w:val="1"/>
                <w:szCs w:val="1"/>
                <w:color w:val="auto"/>
              </w:rPr>
            </w:pPr>
          </w:p>
        </w:tc>
      </w:tr>
      <w:tr>
        <w:trPr>
          <w:trHeight w:val="216"/>
        </w:trPr>
        <w:tc>
          <w:tcPr>
            <w:tcW w:w="8300" w:type="dxa"/>
            <w:vAlign w:val="bottom"/>
          </w:tcPr>
          <w:p>
            <w:pPr>
              <w:ind w:left="20"/>
              <w:spacing w:after="0"/>
              <w:rPr>
                <w:sz w:val="20"/>
                <w:szCs w:val="20"/>
                <w:color w:val="auto"/>
              </w:rPr>
            </w:pPr>
            <w:r>
              <w:rPr>
                <w:rFonts w:ascii="Arial" w:cs="Arial" w:eastAsia="Arial" w:hAnsi="Arial"/>
                <w:sz w:val="18"/>
                <w:szCs w:val="18"/>
                <w:color w:val="auto"/>
              </w:rPr>
              <w:t>Equity method investment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25,460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25,384</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8300" w:type="dxa"/>
            <w:vAlign w:val="bottom"/>
          </w:tcPr>
          <w:p>
            <w:pPr>
              <w:ind w:left="20"/>
              <w:spacing w:after="0"/>
              <w:rPr>
                <w:sz w:val="20"/>
                <w:szCs w:val="20"/>
                <w:color w:val="auto"/>
              </w:rPr>
            </w:pPr>
            <w:r>
              <w:rPr>
                <w:rFonts w:ascii="Arial" w:cs="Arial" w:eastAsia="Arial" w:hAnsi="Arial"/>
                <w:sz w:val="18"/>
                <w:szCs w:val="18"/>
                <w:color w:val="auto"/>
              </w:rPr>
              <w:t>Deferred offering costs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4,684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115,610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115,750</w:t>
            </w:r>
          </w:p>
        </w:tc>
        <w:tc>
          <w:tcPr>
            <w:tcW w:w="0" w:type="dxa"/>
            <w:vAlign w:val="bottom"/>
          </w:tcPr>
          <w:p>
            <w:pPr>
              <w:spacing w:after="0"/>
              <w:rPr>
                <w:sz w:val="1"/>
                <w:szCs w:val="1"/>
                <w:color w:val="auto"/>
              </w:rPr>
            </w:pPr>
          </w:p>
        </w:tc>
      </w:tr>
      <w:tr>
        <w:trPr>
          <w:trHeight w:val="229"/>
        </w:trPr>
        <w:tc>
          <w:tcPr>
            <w:tcW w:w="830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283,617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289,473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675,149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646,676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39,977</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29,789</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 related party</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8300" w:type="dxa"/>
            <w:vAlign w:val="bottom"/>
          </w:tcPr>
          <w:p>
            <w:pPr>
              <w:ind w:left="180"/>
              <w:spacing w:after="0"/>
              <w:rPr>
                <w:sz w:val="20"/>
                <w:szCs w:val="20"/>
                <w:color w:val="auto"/>
              </w:rPr>
            </w:pPr>
            <w:r>
              <w:rPr>
                <w:rFonts w:ascii="Arial" w:cs="Arial" w:eastAsia="Arial" w:hAnsi="Arial"/>
                <w:sz w:val="18"/>
                <w:szCs w:val="18"/>
                <w:color w:val="auto"/>
              </w:rPr>
              <w:t>Current maturities of long-term debt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23,047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13,042</w:t>
            </w: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49,679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50,606</w:t>
            </w:r>
          </w:p>
        </w:tc>
        <w:tc>
          <w:tcPr>
            <w:tcW w:w="0" w:type="dxa"/>
            <w:vAlign w:val="bottom"/>
          </w:tcPr>
          <w:p>
            <w:pPr>
              <w:spacing w:after="0"/>
              <w:rPr>
                <w:sz w:val="1"/>
                <w:szCs w:val="1"/>
                <w:color w:val="auto"/>
              </w:rPr>
            </w:pPr>
          </w:p>
        </w:tc>
      </w:tr>
      <w:tr>
        <w:trPr>
          <w:trHeight w:val="210"/>
        </w:trPr>
        <w:tc>
          <w:tcPr>
            <w:tcW w:w="830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113,703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93,937</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 of discount and current portion</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382,917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208,454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20"/>
              <w:spacing w:after="0"/>
              <w:rPr>
                <w:sz w:val="20"/>
                <w:szCs w:val="20"/>
                <w:color w:val="auto"/>
              </w:rPr>
            </w:pPr>
            <w:r>
              <w:rPr>
                <w:rFonts w:ascii="Arial" w:cs="Arial" w:eastAsia="Arial" w:hAnsi="Arial"/>
                <w:sz w:val="18"/>
                <w:szCs w:val="18"/>
                <w:color w:val="auto"/>
              </w:rPr>
              <w:t>Related party note payable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64,938</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liabilities, net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55,472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55,193</w:t>
            </w:r>
          </w:p>
        </w:tc>
        <w:tc>
          <w:tcPr>
            <w:tcW w:w="0" w:type="dxa"/>
            <w:vAlign w:val="bottom"/>
          </w:tcPr>
          <w:p>
            <w:pPr>
              <w:spacing w:after="0"/>
              <w:rPr>
                <w:sz w:val="1"/>
                <w:szCs w:val="1"/>
                <w:color w:val="auto"/>
              </w:rPr>
            </w:pPr>
          </w:p>
        </w:tc>
      </w:tr>
      <w:tr>
        <w:trPr>
          <w:trHeight w:val="216"/>
        </w:trPr>
        <w:tc>
          <w:tcPr>
            <w:tcW w:w="8300" w:type="dxa"/>
            <w:vAlign w:val="bottom"/>
          </w:tcPr>
          <w:p>
            <w:pPr>
              <w:ind w:left="20"/>
              <w:spacing w:after="0"/>
              <w:rPr>
                <w:sz w:val="20"/>
                <w:szCs w:val="20"/>
                <w:color w:val="auto"/>
              </w:rPr>
            </w:pPr>
            <w:r>
              <w:rPr>
                <w:rFonts w:ascii="Arial" w:cs="Arial" w:eastAsia="Arial" w:hAnsi="Arial"/>
                <w:sz w:val="18"/>
                <w:szCs w:val="18"/>
                <w:color w:val="auto"/>
              </w:rPr>
              <w:t>Liability for uncertain tax positions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5,562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5,540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3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559,715</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430,005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Common stock, $0.0001 par value; 500,000,000 shares authorized as of April 3, 2021 and December 31, 2020;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109,673,709 shares issued and outstanding as of April 3, 2021 and December 31, 2020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91,943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200,541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22,298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13,765</w:t>
            </w:r>
          </w:p>
        </w:tc>
        <w:tc>
          <w:tcPr>
            <w:tcW w:w="0" w:type="dxa"/>
            <w:vAlign w:val="bottom"/>
          </w:tcPr>
          <w:p>
            <w:pPr>
              <w:spacing w:after="0"/>
              <w:rPr>
                <w:sz w:val="1"/>
                <w:szCs w:val="1"/>
                <w:color w:val="auto"/>
              </w:rPr>
            </w:pP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1,182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2,354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3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115,434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216,671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00" w:type="dxa"/>
            <w:vAlign w:val="bottom"/>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675,149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646,676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Condensed Consolidated Statements of Operations</w:t>
      </w:r>
    </w:p>
    <w:p>
      <w:pPr>
        <w:spacing w:after="0" w:line="4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180"/>
          </w:cols>
          <w:pgMar w:left="340" w:top="904"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Cost of sales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Amortization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Income (loss) from operations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Other expense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Other expense (income), net</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Total other expense (income), net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Earnings from equity method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Income tax (benefit)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40005</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Net income (loss) per share attributable to common stockholders: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Weighted-average common shares outstanding – basic and diluted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Fiscal Quarter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w w:val="94"/>
              </w:rPr>
              <w:t>April 3, 2021</w:t>
            </w:r>
          </w:p>
        </w:tc>
        <w:tc>
          <w:tcPr>
            <w:tcW w:w="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3"/>
              </w:rPr>
              <w:t>March 28, 2020</w:t>
            </w:r>
          </w:p>
        </w:tc>
        <w:tc>
          <w:tcPr>
            <w:tcW w:w="6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148,746</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51,134</w:t>
            </w: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96,306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3"/>
          </w:tcPr>
          <w:p>
            <w:pPr>
              <w:jc w:val="right"/>
              <w:ind w:right="1"/>
              <w:spacing w:after="0"/>
              <w:rPr>
                <w:sz w:val="20"/>
                <w:szCs w:val="20"/>
                <w:color w:val="auto"/>
              </w:rPr>
            </w:pPr>
            <w:r>
              <w:rPr>
                <w:rFonts w:ascii="Arial" w:cs="Arial" w:eastAsia="Arial" w:hAnsi="Arial"/>
                <w:sz w:val="18"/>
                <w:szCs w:val="18"/>
                <w:color w:val="auto"/>
              </w:rPr>
              <w:t>41,035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52,440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gridSpan w:val="3"/>
          </w:tcPr>
          <w:p>
            <w:pPr>
              <w:jc w:val="right"/>
              <w:ind w:right="1"/>
              <w:spacing w:after="0"/>
              <w:rPr>
                <w:sz w:val="20"/>
                <w:szCs w:val="20"/>
                <w:color w:val="auto"/>
              </w:rPr>
            </w:pPr>
            <w:r>
              <w:rPr>
                <w:rFonts w:ascii="Arial" w:cs="Arial" w:eastAsia="Arial" w:hAnsi="Arial"/>
                <w:sz w:val="18"/>
                <w:szCs w:val="18"/>
                <w:color w:val="auto"/>
              </w:rPr>
              <w:t>10,099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27,172</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jc w:val="right"/>
              <w:ind w:right="1"/>
              <w:spacing w:after="0"/>
              <w:rPr>
                <w:sz w:val="20"/>
                <w:szCs w:val="20"/>
                <w:color w:val="auto"/>
              </w:rPr>
            </w:pPr>
            <w:r>
              <w:rPr>
                <w:rFonts w:ascii="Arial" w:cs="Arial" w:eastAsia="Arial" w:hAnsi="Arial"/>
                <w:sz w:val="18"/>
                <w:szCs w:val="18"/>
                <w:color w:val="auto"/>
              </w:rPr>
              <w:t>15,432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5,595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4,063</w:t>
            </w:r>
          </w:p>
        </w:tc>
        <w:tc>
          <w:tcPr>
            <w:tcW w:w="40" w:type="dxa"/>
            <w:vAlign w:val="bottom"/>
            <w:gridSpan w:val="2"/>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19,673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(9,396</w:t>
            </w:r>
          </w:p>
        </w:tc>
        <w:tc>
          <w:tcPr>
            <w:tcW w:w="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9,056</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5,333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(555)</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3,741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8,501</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9,074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rPr>
              <w:t>244</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11,416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(18,470)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2,883</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(3,019)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8,533</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(15,451</w:t>
            </w:r>
          </w:p>
        </w:tc>
        <w:tc>
          <w:tcPr>
            <w:tcW w:w="40" w:type="dxa"/>
            <w:vAlign w:val="bottom"/>
            <w:gridSpan w:val="2"/>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0.08</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109,673,709</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109,673,709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600" w:space="720"/>
            <w:col w:w="2860"/>
          </w:cols>
          <w:pgMar w:left="340" w:top="904" w:right="379" w:bottom="1440" w:gutter="0" w:footer="0" w:header="0"/>
          <w:type w:val="continuous"/>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40" w:top="904" w:right="37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gridSpan w:val="6"/>
          </w:tcPr>
          <w:p>
            <w:pPr>
              <w:jc w:val="right"/>
              <w:ind w:right="601"/>
              <w:spacing w:after="0"/>
              <w:rPr>
                <w:sz w:val="20"/>
                <w:szCs w:val="20"/>
                <w:color w:val="auto"/>
              </w:rPr>
            </w:pPr>
            <w:r>
              <w:rPr>
                <w:rFonts w:ascii="Arial" w:cs="Arial" w:eastAsia="Arial" w:hAnsi="Arial"/>
                <w:sz w:val="18"/>
                <w:szCs w:val="18"/>
                <w:b w:val="1"/>
                <w:bCs w:val="1"/>
                <w:color w:val="auto"/>
              </w:rPr>
              <w:t>Fiscal Quarter Ended</w:t>
            </w:r>
          </w:p>
        </w:tc>
      </w:tr>
      <w:tr>
        <w:trPr>
          <w:trHeight w:val="218"/>
        </w:trPr>
        <w:tc>
          <w:tcPr>
            <w:tcW w:w="58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right"/>
              <w:ind w:right="441"/>
              <w:spacing w:after="0"/>
              <w:rPr>
                <w:sz w:val="20"/>
                <w:szCs w:val="20"/>
                <w:color w:val="auto"/>
              </w:rPr>
            </w:pPr>
            <w:r>
              <w:rPr>
                <w:rFonts w:ascii="Arial" w:cs="Arial" w:eastAsia="Arial" w:hAnsi="Arial"/>
                <w:sz w:val="18"/>
                <w:szCs w:val="18"/>
                <w:b w:val="1"/>
                <w:bCs w:val="1"/>
                <w:color w:val="auto"/>
              </w:rPr>
              <w:t>April 3,</w:t>
            </w: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March 28,</w:t>
            </w:r>
          </w:p>
        </w:tc>
        <w:tc>
          <w:tcPr>
            <w:tcW w:w="100" w:type="dxa"/>
            <w:vAlign w:val="bottom"/>
          </w:tcPr>
          <w:p>
            <w:pPr>
              <w:spacing w:after="0"/>
              <w:rPr>
                <w:sz w:val="18"/>
                <w:szCs w:val="18"/>
                <w:color w:val="auto"/>
              </w:rPr>
            </w:pPr>
          </w:p>
        </w:tc>
      </w:tr>
      <w:tr>
        <w:trPr>
          <w:trHeight w:val="234"/>
        </w:trPr>
        <w:tc>
          <w:tcPr>
            <w:tcW w:w="5860" w:type="dxa"/>
            <w:vAlign w:val="bottom"/>
            <w:tcBorders>
              <w:bottom w:val="single" w:sz="8" w:color="CCEEFF"/>
            </w:tcBorders>
          </w:tcPr>
          <w:p>
            <w:pPr>
              <w:spacing w:after="0"/>
              <w:rPr>
                <w:sz w:val="20"/>
                <w:szCs w:val="20"/>
                <w:color w:val="auto"/>
              </w:rPr>
            </w:pPr>
          </w:p>
        </w:tc>
        <w:tc>
          <w:tcPr>
            <w:tcW w:w="24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(15,451)</w:t>
            </w: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(1,938)</w:t>
            </w:r>
          </w:p>
        </w:tc>
      </w:tr>
      <w:tr>
        <w:trPr>
          <w:trHeight w:val="210"/>
        </w:trPr>
        <w:tc>
          <w:tcPr>
            <w:tcW w:w="5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other comprehensive loss, net of tax</w:t>
            </w:r>
          </w:p>
        </w:tc>
        <w:tc>
          <w:tcPr>
            <w:tcW w:w="24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(1,938</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5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Comprehensive income (loss)</w:t>
            </w:r>
          </w:p>
        </w:tc>
        <w:tc>
          <w:tcPr>
            <w:tcW w:w="24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8,126</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8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b w:val="1"/>
          <w:bCs w:val="1"/>
          <w:color w:val="auto"/>
        </w:rPr>
        <w:t xml:space="preserve">Balances at December 31, 2019 </w:t>
      </w:r>
      <w:r>
        <w:rPr>
          <w:rFonts w:ascii="Arial" w:cs="Arial" w:eastAsia="Arial" w:hAnsi="Arial"/>
          <w:sz w:val="18"/>
          <w:szCs w:val="18"/>
          <w:color w:val="auto"/>
        </w:rPr>
        <w:t>Net loss</w:t>
      </w:r>
    </w:p>
    <w:p>
      <w:pPr>
        <w:spacing w:after="0" w:line="250" w:lineRule="auto"/>
        <w:rPr>
          <w:sz w:val="20"/>
          <w:szCs w:val="20"/>
          <w:color w:val="auto"/>
        </w:rPr>
      </w:pPr>
      <w:r>
        <w:rPr>
          <w:rFonts w:ascii="Arial" w:cs="Arial" w:eastAsia="Arial" w:hAnsi="Arial"/>
          <w:sz w:val="18"/>
          <w:szCs w:val="18"/>
          <w:color w:val="auto"/>
        </w:rPr>
        <w:t>Foreign currency translation adjustments Distributions to parent</w:t>
      </w:r>
    </w:p>
    <w:p>
      <w:pPr>
        <w:spacing w:after="0" w:line="1" w:lineRule="exact"/>
        <w:rPr>
          <w:sz w:val="20"/>
          <w:szCs w:val="20"/>
          <w:color w:val="auto"/>
        </w:rPr>
      </w:pPr>
    </w:p>
    <w:p>
      <w:pPr>
        <w:ind w:right="400"/>
        <w:spacing w:after="0" w:line="379" w:lineRule="auto"/>
        <w:rPr>
          <w:sz w:val="20"/>
          <w:szCs w:val="20"/>
          <w:color w:val="auto"/>
        </w:rPr>
      </w:pPr>
      <w:r>
        <w:rPr>
          <w:rFonts w:ascii="Arial" w:cs="Arial" w:eastAsia="Arial" w:hAnsi="Arial"/>
          <w:sz w:val="15"/>
          <w:szCs w:val="15"/>
          <w:color w:val="auto"/>
        </w:rPr>
        <w:t xml:space="preserve">Stock-based compensation expense </w:t>
      </w:r>
      <w:r>
        <w:rPr>
          <w:rFonts w:ascii="Arial" w:cs="Arial" w:eastAsia="Arial" w:hAnsi="Arial"/>
          <w:sz w:val="15"/>
          <w:szCs w:val="15"/>
          <w:b w:val="1"/>
          <w:bCs w:val="1"/>
          <w:color w:val="auto"/>
        </w:rPr>
        <w:t>Balances at March 28, 2020</w:t>
      </w:r>
    </w:p>
    <w:p>
      <w:pPr>
        <w:spacing w:after="0" w:line="20" w:lineRule="exact"/>
        <w:rPr>
          <w:sz w:val="20"/>
          <w:szCs w:val="20"/>
          <w:color w:val="auto"/>
        </w:rPr>
      </w:pPr>
      <w:r>
        <w:rPr>
          <w:sz w:val="20"/>
          <w:szCs w:val="20"/>
          <w:color w:val="auto"/>
        </w:rPr>
        <w:br w:type="column"/>
      </w:r>
    </w:p>
    <w:p>
      <w:pPr>
        <w:jc w:val="center"/>
        <w:ind w:right="3240"/>
        <w:spacing w:after="0"/>
        <w:rPr>
          <w:sz w:val="20"/>
          <w:szCs w:val="20"/>
          <w:color w:val="auto"/>
        </w:rPr>
      </w:pPr>
      <w:r>
        <w:rPr>
          <w:rFonts w:ascii="Arial" w:cs="Arial" w:eastAsia="Arial" w:hAnsi="Arial"/>
          <w:sz w:val="18"/>
          <w:szCs w:val="18"/>
          <w:b w:val="1"/>
          <w:bCs w:val="1"/>
          <w:color w:val="auto"/>
        </w:rPr>
        <w:t>Latham Group, Inc.</w:t>
      </w:r>
    </w:p>
    <w:p>
      <w:pPr>
        <w:spacing w:after="0" w:line="225" w:lineRule="exact"/>
        <w:rPr>
          <w:sz w:val="20"/>
          <w:szCs w:val="20"/>
          <w:color w:val="auto"/>
        </w:rPr>
      </w:pPr>
    </w:p>
    <w:p>
      <w:pPr>
        <w:jc w:val="center"/>
        <w:ind w:left="20" w:right="3220"/>
        <w:spacing w:after="0" w:line="266" w:lineRule="auto"/>
        <w:rPr>
          <w:sz w:val="20"/>
          <w:szCs w:val="20"/>
          <w:color w:val="auto"/>
        </w:rPr>
      </w:pPr>
      <w:r>
        <w:rPr>
          <w:rFonts w:ascii="Arial" w:cs="Arial" w:eastAsia="Arial" w:hAnsi="Arial"/>
          <w:sz w:val="18"/>
          <w:szCs w:val="18"/>
          <w:b w:val="1"/>
          <w:bCs w:val="1"/>
          <w:color w:val="auto"/>
        </w:rPr>
        <w:t>Condensed Consolidated Statements of Stockholders’ Equity (in thousands, except share amounts) (unaudited)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92"/>
              </w:rPr>
              <w:t>Retained</w:t>
            </w:r>
          </w:p>
        </w:tc>
        <w:tc>
          <w:tcPr>
            <w:tcW w:w="140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118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90"/>
              </w:rPr>
              <w:t>Earnings</w:t>
            </w:r>
          </w:p>
        </w:tc>
        <w:tc>
          <w:tcPr>
            <w:tcW w:w="220" w:type="dxa"/>
            <w:vAlign w:val="bottom"/>
          </w:tcPr>
          <w:p>
            <w:pPr>
              <w:spacing w:after="0"/>
              <w:rPr>
                <w:sz w:val="18"/>
                <w:szCs w:val="18"/>
                <w:color w:val="auto"/>
              </w:rPr>
            </w:pPr>
          </w:p>
        </w:tc>
        <w:tc>
          <w:tcPr>
            <w:tcW w:w="1180" w:type="dxa"/>
            <w:vAlign w:val="bottom"/>
            <w:gridSpan w:val="2"/>
          </w:tcPr>
          <w:p>
            <w:pPr>
              <w:jc w:val="center"/>
              <w:ind w:right="361"/>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18"/>
                <w:szCs w:val="18"/>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Paid-in</w:t>
            </w:r>
          </w:p>
        </w:tc>
        <w:tc>
          <w:tcPr>
            <w:tcW w:w="1320" w:type="dxa"/>
            <w:vAlign w:val="bottom"/>
            <w:gridSpan w:val="3"/>
          </w:tcPr>
          <w:p>
            <w:pPr>
              <w:jc w:val="center"/>
              <w:ind w:right="121"/>
              <w:spacing w:after="0"/>
              <w:rPr>
                <w:sz w:val="20"/>
                <w:szCs w:val="20"/>
                <w:color w:val="auto"/>
              </w:rPr>
            </w:pPr>
            <w:r>
              <w:rPr>
                <w:rFonts w:ascii="Arial" w:cs="Arial" w:eastAsia="Arial" w:hAnsi="Arial"/>
                <w:sz w:val="18"/>
                <w:szCs w:val="18"/>
                <w:b w:val="1"/>
                <w:bCs w:val="1"/>
                <w:color w:val="auto"/>
                <w:w w:val="90"/>
              </w:rPr>
              <w:t>(Accumulated</w:t>
            </w:r>
          </w:p>
        </w:tc>
        <w:tc>
          <w:tcPr>
            <w:tcW w:w="1400" w:type="dxa"/>
            <w:vAlign w:val="bottom"/>
            <w:gridSpan w:val="3"/>
          </w:tcPr>
          <w:p>
            <w:pPr>
              <w:jc w:val="center"/>
              <w:ind w:right="121"/>
              <w:spacing w:after="0"/>
              <w:rPr>
                <w:sz w:val="20"/>
                <w:szCs w:val="20"/>
                <w:color w:val="auto"/>
              </w:rPr>
            </w:pPr>
            <w:r>
              <w:rPr>
                <w:rFonts w:ascii="Arial" w:cs="Arial" w:eastAsia="Arial" w:hAnsi="Arial"/>
                <w:sz w:val="18"/>
                <w:szCs w:val="18"/>
                <w:b w:val="1"/>
                <w:bCs w:val="1"/>
                <w:color w:val="auto"/>
                <w:w w:val="88"/>
              </w:rPr>
              <w:t>Comprehensive</w:t>
            </w:r>
          </w:p>
        </w:tc>
        <w:tc>
          <w:tcPr>
            <w:tcW w:w="118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4"/>
        </w:trPr>
        <w:tc>
          <w:tcPr>
            <w:tcW w:w="1380" w:type="dxa"/>
            <w:vAlign w:val="bottom"/>
            <w:gridSpan w:val="2"/>
          </w:tcPr>
          <w:p>
            <w:pPr>
              <w:ind w:left="30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140" w:type="dxa"/>
            <w:vAlign w:val="bottom"/>
          </w:tcPr>
          <w:p>
            <w:pPr>
              <w:spacing w:after="0"/>
              <w:rPr>
                <w:sz w:val="20"/>
                <w:szCs w:val="20"/>
                <w:color w:val="auto"/>
              </w:rPr>
            </w:pPr>
          </w:p>
        </w:tc>
        <w:tc>
          <w:tcPr>
            <w:tcW w:w="118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94"/>
              </w:rPr>
              <w:t>Deficit)</w:t>
            </w:r>
          </w:p>
        </w:tc>
        <w:tc>
          <w:tcPr>
            <w:tcW w:w="1400" w:type="dxa"/>
            <w:vAlign w:val="bottom"/>
            <w:gridSpan w:val="3"/>
          </w:tcPr>
          <w:p>
            <w:pPr>
              <w:jc w:val="center"/>
              <w:ind w:right="121"/>
              <w:spacing w:after="0"/>
              <w:rPr>
                <w:sz w:val="20"/>
                <w:szCs w:val="20"/>
                <w:color w:val="auto"/>
              </w:rPr>
            </w:pPr>
            <w:r>
              <w:rPr>
                <w:rFonts w:ascii="Arial" w:cs="Arial" w:eastAsia="Arial" w:hAnsi="Arial"/>
                <w:sz w:val="18"/>
                <w:szCs w:val="18"/>
                <w:b w:val="1"/>
                <w:bCs w:val="1"/>
                <w:color w:val="auto"/>
                <w:w w:val="88"/>
              </w:rPr>
              <w:t>Income (Loss)</w:t>
            </w:r>
          </w:p>
        </w:tc>
        <w:tc>
          <w:tcPr>
            <w:tcW w:w="200" w:type="dxa"/>
            <w:vAlign w:val="bottom"/>
          </w:tcPr>
          <w:p>
            <w:pPr>
              <w:spacing w:after="0"/>
              <w:rPr>
                <w:sz w:val="20"/>
                <w:szCs w:val="20"/>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195"/>
        </w:trPr>
        <w:tc>
          <w:tcPr>
            <w:tcW w:w="1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109,673,709</w:t>
            </w:r>
          </w:p>
        </w:tc>
        <w:tc>
          <w:tcPr>
            <w:tcW w:w="260" w:type="dxa"/>
            <w:vAlign w:val="bottom"/>
          </w:tcPr>
          <w:p>
            <w:pPr>
              <w:spacing w:after="0"/>
              <w:rPr>
                <w:sz w:val="16"/>
                <w:szCs w:val="16"/>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11</w:t>
            </w:r>
          </w:p>
        </w:tc>
        <w:tc>
          <w:tcPr>
            <w:tcW w:w="2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196,473</w:t>
            </w:r>
          </w:p>
        </w:tc>
        <w:tc>
          <w:tcPr>
            <w:tcW w:w="2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(2,218)</w:t>
            </w:r>
          </w:p>
        </w:tc>
        <w:tc>
          <w:tcPr>
            <w:tcW w:w="220" w:type="dxa"/>
            <w:vAlign w:val="bottom"/>
          </w:tcPr>
          <w:p>
            <w:pPr>
              <w:spacing w:after="0"/>
              <w:rPr>
                <w:sz w:val="16"/>
                <w:szCs w:val="16"/>
                <w:color w:val="auto"/>
              </w:rPr>
            </w:pPr>
          </w:p>
        </w:tc>
        <w:tc>
          <w:tcPr>
            <w:tcW w:w="22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(471)</w:t>
            </w:r>
          </w:p>
        </w:tc>
        <w:tc>
          <w:tcPr>
            <w:tcW w:w="220" w:type="dxa"/>
            <w:vAlign w:val="bottom"/>
          </w:tcPr>
          <w:p>
            <w:pPr>
              <w:spacing w:after="0"/>
              <w:rPr>
                <w:sz w:val="16"/>
                <w:szCs w:val="16"/>
                <w:color w:val="auto"/>
              </w:rPr>
            </w:pPr>
          </w:p>
        </w:tc>
        <w:tc>
          <w:tcPr>
            <w:tcW w:w="20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193,795</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(15,451)</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(15,451)</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(1,938)</w:t>
            </w:r>
          </w:p>
        </w:tc>
        <w:tc>
          <w:tcPr>
            <w:tcW w:w="2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224</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20"/>
                <w:szCs w:val="20"/>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23"/>
        </w:trPr>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109,673,709</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196,297</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(17,669</w:t>
            </w:r>
          </w:p>
        </w:tc>
        <w:tc>
          <w:tcPr>
            <w:tcW w:w="220" w:type="dxa"/>
            <w:vAlign w:val="bottom"/>
            <w:vMerge w:val="continue"/>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(2,409</w:t>
            </w:r>
          </w:p>
        </w:tc>
        <w:tc>
          <w:tcPr>
            <w:tcW w:w="220" w:type="dxa"/>
            <w:vAlign w:val="bottom"/>
            <w:vMerge w:val="continue"/>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176,230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-882015</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-599440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-325120</wp:posOffset>
            </wp:positionV>
            <wp:extent cx="713232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-16510</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2960" w:space="320"/>
            <w:col w:w="7920"/>
          </w:cols>
          <w:pgMar w:left="320" w:top="904" w:right="379" w:bottom="1440" w:gutter="0" w:footer="0" w:header="0"/>
        </w:sectPr>
      </w:pPr>
    </w:p>
    <w:p>
      <w:pPr>
        <w:ind w:right="580"/>
        <w:spacing w:after="0" w:line="261" w:lineRule="auto"/>
        <w:rPr>
          <w:sz w:val="20"/>
          <w:szCs w:val="20"/>
          <w:color w:val="auto"/>
        </w:rPr>
      </w:pPr>
      <w:r>
        <w:rPr>
          <w:rFonts w:ascii="Arial" w:cs="Arial" w:eastAsia="Arial" w:hAnsi="Arial"/>
          <w:sz w:val="18"/>
          <w:szCs w:val="18"/>
          <w:b w:val="1"/>
          <w:bCs w:val="1"/>
          <w:color w:val="auto"/>
        </w:rPr>
        <w:t xml:space="preserve">Balances at December 31, 2020 </w:t>
      </w:r>
      <w:r>
        <w:rPr>
          <w:rFonts w:ascii="Arial" w:cs="Arial" w:eastAsia="Arial" w:hAnsi="Arial"/>
          <w:sz w:val="18"/>
          <w:szCs w:val="18"/>
          <w:color w:val="auto"/>
        </w:rPr>
        <w:t>Net income</w:t>
      </w:r>
    </w:p>
    <w:p>
      <w:pPr>
        <w:spacing w:after="0"/>
        <w:rPr>
          <w:sz w:val="20"/>
          <w:szCs w:val="20"/>
          <w:color w:val="auto"/>
        </w:rPr>
      </w:pPr>
      <w:r>
        <w:rPr>
          <w:rFonts w:ascii="Arial" w:cs="Arial" w:eastAsia="Arial" w:hAnsi="Arial"/>
          <w:sz w:val="16"/>
          <w:szCs w:val="16"/>
          <w:color w:val="auto"/>
        </w:rPr>
        <w:t>Foreign currency translation adjustments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Dividend ($1.00 per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Distributions to parent</w:t>
      </w:r>
    </w:p>
    <w:p>
      <w:pPr>
        <w:spacing w:after="0" w:line="9" w:lineRule="exact"/>
        <w:rPr>
          <w:sz w:val="20"/>
          <w:szCs w:val="20"/>
          <w:color w:val="auto"/>
        </w:rPr>
      </w:pPr>
    </w:p>
    <w:p>
      <w:pPr>
        <w:ind w:right="400"/>
        <w:spacing w:after="0" w:line="341" w:lineRule="auto"/>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16"/>
          <w:szCs w:val="16"/>
          <w:b w:val="1"/>
          <w:bCs w:val="1"/>
          <w:color w:val="auto"/>
        </w:rPr>
        <w:t>Balances at April 3, 2021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ind w:left="220"/>
              <w:spacing w:after="0"/>
              <w:rPr>
                <w:sz w:val="20"/>
                <w:szCs w:val="20"/>
                <w:color w:val="auto"/>
              </w:rPr>
            </w:pPr>
            <w:r>
              <w:rPr>
                <w:rFonts w:ascii="Arial" w:cs="Arial" w:eastAsia="Arial" w:hAnsi="Arial"/>
                <w:sz w:val="18"/>
                <w:szCs w:val="18"/>
                <w:color w:val="auto"/>
              </w:rPr>
              <w:t>109,673,709</w:t>
            </w: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200,541</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13,765</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2,354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216,671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8,533</w:t>
            </w: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8,533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(1,172)</w:t>
            </w:r>
          </w:p>
        </w:tc>
        <w:tc>
          <w:tcPr>
            <w:tcW w:w="2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(1,172)</w:t>
            </w:r>
          </w:p>
        </w:tc>
      </w:tr>
      <w:tr>
        <w:trPr>
          <w:trHeight w:val="216"/>
        </w:trPr>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(110,033)</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(110,033)</w:t>
            </w:r>
          </w:p>
        </w:tc>
      </w:tr>
      <w:tr>
        <w:trPr>
          <w:trHeight w:val="230"/>
        </w:trPr>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1,464</w:t>
            </w: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11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87"/>
              </w:rPr>
              <w:t>109,673,709</w:t>
            </w:r>
          </w:p>
        </w:tc>
        <w:tc>
          <w:tcPr>
            <w:tcW w:w="2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91,943</w:t>
            </w: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22,298</w:t>
            </w:r>
          </w:p>
        </w:tc>
        <w:tc>
          <w:tcPr>
            <w:tcW w:w="2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115,434</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-873760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-599440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-325120</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2960" w:space="320"/>
            <w:col w:w="7920"/>
          </w:cols>
          <w:pgMar w:left="320" w:top="904" w:right="3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8020" w:type="dxa"/>
            <w:vAlign w:val="bottom"/>
          </w:tcPr>
          <w:p>
            <w:pPr>
              <w:jc w:val="center"/>
              <w:ind w:left="3150"/>
              <w:spacing w:after="0"/>
              <w:rPr>
                <w:sz w:val="20"/>
                <w:szCs w:val="20"/>
                <w:color w:val="auto"/>
              </w:rPr>
            </w:pPr>
            <w:r>
              <w:rPr>
                <w:rFonts w:ascii="Arial" w:cs="Arial" w:eastAsia="Arial" w:hAnsi="Arial"/>
                <w:sz w:val="18"/>
                <w:szCs w:val="18"/>
                <w:b w:val="1"/>
                <w:bCs w:val="1"/>
                <w:color w:val="auto"/>
                <w:w w:val="93"/>
              </w:rPr>
              <w:t>Latham Group, Inc.</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020" w:type="dxa"/>
            <w:vAlign w:val="bottom"/>
          </w:tcPr>
          <w:p>
            <w:pPr>
              <w:jc w:val="center"/>
              <w:ind w:left="3130"/>
              <w:spacing w:after="0"/>
              <w:rPr>
                <w:sz w:val="20"/>
                <w:szCs w:val="20"/>
                <w:color w:val="auto"/>
              </w:rPr>
            </w:pPr>
            <w:r>
              <w:rPr>
                <w:rFonts w:ascii="Arial" w:cs="Arial" w:eastAsia="Arial" w:hAnsi="Arial"/>
                <w:sz w:val="18"/>
                <w:szCs w:val="18"/>
                <w:b w:val="1"/>
                <w:bCs w:val="1"/>
                <w:color w:val="auto"/>
                <w:w w:val="87"/>
              </w:rPr>
              <w:t>Condensed Consolidated Statements of Cash Flows</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020" w:type="dxa"/>
            <w:vAlign w:val="bottom"/>
          </w:tcPr>
          <w:p>
            <w:pPr>
              <w:jc w:val="center"/>
              <w:ind w:left="3150"/>
              <w:spacing w:after="0"/>
              <w:rPr>
                <w:sz w:val="20"/>
                <w:szCs w:val="20"/>
                <w:color w:val="auto"/>
              </w:rPr>
            </w:pPr>
            <w:r>
              <w:rPr>
                <w:rFonts w:ascii="Arial" w:cs="Arial" w:eastAsia="Arial" w:hAnsi="Arial"/>
                <w:sz w:val="18"/>
                <w:szCs w:val="18"/>
                <w:b w:val="1"/>
                <w:bCs w:val="1"/>
                <w:color w:val="auto"/>
                <w:w w:val="88"/>
              </w:rPr>
              <w:t>(in thousands)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20" w:type="dxa"/>
            <w:vAlign w:val="bottom"/>
          </w:tcPr>
          <w:p>
            <w:pPr>
              <w:jc w:val="center"/>
              <w:ind w:left="3150"/>
              <w:spacing w:after="0"/>
              <w:rPr>
                <w:sz w:val="20"/>
                <w:szCs w:val="20"/>
                <w:color w:val="auto"/>
              </w:rPr>
            </w:pPr>
            <w:r>
              <w:rPr>
                <w:rFonts w:ascii="Arial" w:cs="Arial" w:eastAsia="Arial" w:hAnsi="Arial"/>
                <w:sz w:val="18"/>
                <w:szCs w:val="18"/>
                <w:b w:val="1"/>
                <w:bCs w:val="1"/>
                <w:color w:val="auto"/>
                <w:w w:val="91"/>
              </w:rPr>
              <w:t>(unaudited)</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8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gridSpan w:val="6"/>
          </w:tcPr>
          <w:p>
            <w:pPr>
              <w:jc w:val="right"/>
              <w:ind w:right="541"/>
              <w:spacing w:after="0"/>
              <w:rPr>
                <w:sz w:val="20"/>
                <w:szCs w:val="20"/>
                <w:color w:val="auto"/>
              </w:rPr>
            </w:pPr>
            <w:r>
              <w:rPr>
                <w:rFonts w:ascii="Arial" w:cs="Arial" w:eastAsia="Arial" w:hAnsi="Arial"/>
                <w:sz w:val="18"/>
                <w:szCs w:val="18"/>
                <w:b w:val="1"/>
                <w:bCs w:val="1"/>
                <w:color w:val="auto"/>
              </w:rPr>
              <w:t>Fiscal Quarter Ended</w:t>
            </w:r>
          </w:p>
        </w:tc>
      </w:tr>
      <w:tr>
        <w:trPr>
          <w:trHeight w:val="218"/>
        </w:trPr>
        <w:tc>
          <w:tcPr>
            <w:tcW w:w="8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right"/>
              <w:ind w:right="381"/>
              <w:spacing w:after="0"/>
              <w:rPr>
                <w:sz w:val="20"/>
                <w:szCs w:val="20"/>
                <w:color w:val="auto"/>
              </w:rPr>
            </w:pPr>
            <w:r>
              <w:rPr>
                <w:rFonts w:ascii="Arial" w:cs="Arial" w:eastAsia="Arial" w:hAnsi="Arial"/>
                <w:sz w:val="18"/>
                <w:szCs w:val="18"/>
                <w:b w:val="1"/>
                <w:bCs w:val="1"/>
                <w:color w:val="auto"/>
              </w:rPr>
              <w:t>April 3,</w:t>
            </w: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March 28,</w:t>
            </w:r>
          </w:p>
        </w:tc>
        <w:tc>
          <w:tcPr>
            <w:tcW w:w="100" w:type="dxa"/>
            <w:vAlign w:val="bottom"/>
          </w:tcPr>
          <w:p>
            <w:pPr>
              <w:spacing w:after="0"/>
              <w:rPr>
                <w:sz w:val="18"/>
                <w:szCs w:val="18"/>
                <w:color w:val="auto"/>
              </w:rPr>
            </w:pPr>
          </w:p>
        </w:tc>
      </w:tr>
      <w:tr>
        <w:trPr>
          <w:trHeight w:val="234"/>
        </w:trPr>
        <w:tc>
          <w:tcPr>
            <w:tcW w:w="802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Net income (loss)</w:t>
            </w:r>
          </w:p>
        </w:tc>
        <w:tc>
          <w:tcPr>
            <w:tcW w:w="6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8,533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(15,451)</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7,900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5,755</w:t>
            </w:r>
          </w:p>
        </w:tc>
      </w:tr>
      <w:tr>
        <w:trPr>
          <w:trHeight w:val="21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deferred financing costs and debt discount</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2,804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912</w:t>
            </w:r>
          </w:p>
        </w:tc>
      </w:tr>
      <w:tr>
        <w:trPr>
          <w:trHeight w:val="216"/>
        </w:trPr>
        <w:tc>
          <w:tcPr>
            <w:tcW w:w="802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1,464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224</w:t>
            </w:r>
          </w:p>
        </w:tc>
      </w:tr>
      <w:tr>
        <w:trPr>
          <w:trHeight w:val="21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non-cash</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739</w:t>
            </w:r>
          </w:p>
        </w:tc>
      </w:tr>
      <w:tr>
        <w:trPr>
          <w:trHeight w:val="216"/>
        </w:trPr>
        <w:tc>
          <w:tcPr>
            <w:tcW w:w="8020" w:type="dxa"/>
            <w:vAlign w:val="bottom"/>
          </w:tcPr>
          <w:p>
            <w:pPr>
              <w:ind w:left="180"/>
              <w:spacing w:after="0"/>
              <w:rPr>
                <w:sz w:val="20"/>
                <w:szCs w:val="20"/>
                <w:color w:val="auto"/>
              </w:rPr>
            </w:pPr>
            <w:r>
              <w:rPr>
                <w:rFonts w:ascii="Arial" w:cs="Arial" w:eastAsia="Arial" w:hAnsi="Arial"/>
                <w:sz w:val="18"/>
                <w:szCs w:val="18"/>
                <w:color w:val="auto"/>
              </w:rPr>
              <w:t>Earnings from equity method investment</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 received from equity method investment</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receivables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(60,963)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(13,322)</w:t>
            </w:r>
          </w:p>
        </w:tc>
      </w:tr>
      <w:tr>
        <w:trPr>
          <w:trHeight w:val="216"/>
        </w:trPr>
        <w:tc>
          <w:tcPr>
            <w:tcW w:w="802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
              <w:spacing w:after="0"/>
              <w:rPr>
                <w:sz w:val="20"/>
                <w:szCs w:val="20"/>
                <w:color w:val="auto"/>
              </w:rPr>
            </w:pPr>
            <w:r>
              <w:rPr>
                <w:rFonts w:ascii="Arial" w:cs="Arial" w:eastAsia="Arial" w:hAnsi="Arial"/>
                <w:sz w:val="18"/>
                <w:szCs w:val="18"/>
                <w:color w:val="auto"/>
              </w:rPr>
              <w:t>(9,238)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(10,914)</w:t>
            </w:r>
          </w:p>
        </w:tc>
      </w:tr>
      <w:tr>
        <w:trPr>
          <w:trHeight w:val="21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784</w:t>
            </w:r>
          </w:p>
        </w:tc>
      </w:tr>
      <w:tr>
        <w:trPr>
          <w:trHeight w:val="216"/>
        </w:trPr>
        <w:tc>
          <w:tcPr>
            <w:tcW w:w="8020" w:type="dxa"/>
            <w:vAlign w:val="bottom"/>
          </w:tcPr>
          <w:p>
            <w:pPr>
              <w:ind w:left="180"/>
              <w:spacing w:after="0"/>
              <w:rPr>
                <w:sz w:val="20"/>
                <w:szCs w:val="20"/>
                <w:color w:val="auto"/>
              </w:rPr>
            </w:pPr>
            <w:r>
              <w:rPr>
                <w:rFonts w:ascii="Arial" w:cs="Arial" w:eastAsia="Arial" w:hAnsi="Arial"/>
                <w:sz w:val="18"/>
                <w:szCs w:val="18"/>
                <w:color w:val="auto"/>
              </w:rPr>
              <w:t>Income tax receivable</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
              <w:spacing w:after="0"/>
              <w:rPr>
                <w:sz w:val="20"/>
                <w:szCs w:val="20"/>
                <w:color w:val="auto"/>
              </w:rPr>
            </w:pPr>
            <w:r>
              <w:rPr>
                <w:rFonts w:ascii="Arial" w:cs="Arial" w:eastAsia="Arial" w:hAnsi="Arial"/>
                <w:sz w:val="18"/>
                <w:szCs w:val="18"/>
                <w:color w:val="auto"/>
              </w:rPr>
              <w:t>(2,107)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(2,866)</w:t>
            </w:r>
          </w:p>
        </w:tc>
      </w:tr>
      <w:tr>
        <w:trPr>
          <w:trHeight w:val="21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8,642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9,468</w:t>
            </w:r>
          </w:p>
        </w:tc>
      </w:tr>
      <w:tr>
        <w:trPr>
          <w:trHeight w:val="216"/>
        </w:trPr>
        <w:tc>
          <w:tcPr>
            <w:tcW w:w="802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
              <w:spacing w:after="0"/>
              <w:rPr>
                <w:sz w:val="20"/>
                <w:szCs w:val="20"/>
                <w:color w:val="auto"/>
              </w:rPr>
            </w:pPr>
            <w:r>
              <w:rPr>
                <w:rFonts w:ascii="Arial" w:cs="Arial" w:eastAsia="Arial" w:hAnsi="Arial"/>
                <w:sz w:val="18"/>
                <w:szCs w:val="18"/>
                <w:color w:val="auto"/>
              </w:rPr>
              <w:t>(4,074)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(1,652)</w:t>
            </w: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long-term liabilities</w:t>
            </w: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4,545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35</w:t>
            </w:r>
          </w:p>
        </w:tc>
      </w:tr>
      <w:tr>
        <w:trPr>
          <w:trHeight w:val="210"/>
        </w:trPr>
        <w:tc>
          <w:tcPr>
            <w:tcW w:w="8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used in operating activities</w:t>
            </w:r>
          </w:p>
        </w:tc>
        <w:tc>
          <w:tcPr>
            <w:tcW w:w="4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(41,018</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(26,288</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
              <w:spacing w:after="0"/>
              <w:rPr>
                <w:sz w:val="20"/>
                <w:szCs w:val="20"/>
                <w:color w:val="auto"/>
              </w:rPr>
            </w:pPr>
            <w:r>
              <w:rPr>
                <w:rFonts w:ascii="Arial" w:cs="Arial" w:eastAsia="Arial" w:hAnsi="Arial"/>
                <w:sz w:val="18"/>
                <w:szCs w:val="18"/>
                <w:color w:val="auto"/>
              </w:rPr>
              <w:t>(4,608)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(2,790)</w:t>
            </w:r>
          </w:p>
        </w:tc>
      </w:tr>
      <w:tr>
        <w:trPr>
          <w:trHeight w:val="229"/>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sale of property and equipment</w:t>
            </w: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w:t>
            </w:r>
          </w:p>
        </w:tc>
      </w:tr>
      <w:tr>
        <w:trPr>
          <w:trHeight w:val="210"/>
        </w:trPr>
        <w:tc>
          <w:tcPr>
            <w:tcW w:w="8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(4,608</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Proceeds from borrowings on the term loan</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172,813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Payments on term loan borrowings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(5,762)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Proceeds from borrowings on the revolving credit facility</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16,000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5,000</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fees paid</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(1,250)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Distributions to parent</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(400)</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Payment of related party note payable</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(64,938)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Dividend to parent</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
              <w:spacing w:after="0"/>
              <w:rPr>
                <w:sz w:val="20"/>
                <w:szCs w:val="20"/>
                <w:color w:val="auto"/>
              </w:rPr>
            </w:pPr>
            <w:r>
              <w:rPr>
                <w:rFonts w:ascii="Arial" w:cs="Arial" w:eastAsia="Arial" w:hAnsi="Arial"/>
                <w:sz w:val="18"/>
                <w:szCs w:val="18"/>
                <w:color w:val="auto"/>
              </w:rPr>
              <w:t>(110,033)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Payments of initial public offering costs</w:t>
            </w: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(747)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0"/>
        </w:trPr>
        <w:tc>
          <w:tcPr>
            <w:tcW w:w="8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4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4,600</w:t>
            </w:r>
          </w:p>
        </w:tc>
        <w:tc>
          <w:tcPr>
            <w:tcW w:w="100" w:type="dxa"/>
            <w:vAlign w:val="bottom"/>
            <w:tcBorders>
              <w:bottom w:val="single" w:sz="8" w:color="CCEEFF"/>
            </w:tcBorders>
          </w:tcPr>
          <w:p>
            <w:pPr>
              <w:spacing w:after="0"/>
              <w:rPr>
                <w:sz w:val="18"/>
                <w:szCs w:val="18"/>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4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8020" w:type="dxa"/>
            <w:vAlign w:val="bottom"/>
          </w:tcPr>
          <w:p>
            <w:pPr>
              <w:spacing w:after="0"/>
              <w:rPr>
                <w:sz w:val="20"/>
                <w:szCs w:val="20"/>
                <w:color w:val="auto"/>
              </w:rPr>
            </w:pPr>
            <w:r>
              <w:rPr>
                <w:rFonts w:ascii="Arial" w:cs="Arial" w:eastAsia="Arial" w:hAnsi="Arial"/>
                <w:sz w:val="18"/>
                <w:szCs w:val="18"/>
                <w:b w:val="1"/>
                <w:bCs w:val="1"/>
                <w:color w:val="auto"/>
              </w:rPr>
              <w:t>Net decrease in cash</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(39,365)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(26,171)</w:t>
            </w:r>
          </w:p>
        </w:tc>
        <w:tc>
          <w:tcPr>
            <w:tcW w:w="100" w:type="dxa"/>
            <w:vAlign w:val="bottom"/>
          </w:tcPr>
          <w:p>
            <w:pPr>
              <w:spacing w:after="0"/>
              <w:rPr>
                <w:sz w:val="18"/>
                <w:szCs w:val="18"/>
                <w:color w:val="auto"/>
              </w:rPr>
            </w:pPr>
          </w:p>
        </w:tc>
      </w:tr>
      <w:tr>
        <w:trPr>
          <w:trHeight w:val="229"/>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59,310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56,655</w:t>
            </w:r>
          </w:p>
        </w:tc>
      </w:tr>
      <w:tr>
        <w:trPr>
          <w:trHeight w:val="263"/>
        </w:trPr>
        <w:tc>
          <w:tcPr>
            <w:tcW w:w="8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at end of period</w:t>
            </w:r>
          </w:p>
        </w:tc>
        <w:tc>
          <w:tcPr>
            <w:tcW w:w="4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19,945</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30,484</w:t>
            </w:r>
          </w:p>
        </w:tc>
        <w:tc>
          <w:tcPr>
            <w:tcW w:w="100" w:type="dxa"/>
            <w:vAlign w:val="bottom"/>
            <w:tcBorders>
              <w:bottom w:val="single" w:sz="8" w:color="CCEEFF"/>
            </w:tcBorders>
          </w:tcPr>
          <w:p>
            <w:pPr>
              <w:spacing w:after="0"/>
              <w:rPr>
                <w:sz w:val="22"/>
                <w:szCs w:val="22"/>
                <w:color w:val="auto"/>
              </w:rPr>
            </w:pPr>
          </w:p>
        </w:tc>
      </w:tr>
      <w:tr>
        <w:trPr>
          <w:trHeight w:val="197"/>
        </w:trPr>
        <w:tc>
          <w:tcPr>
            <w:tcW w:w="8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cash flow information:</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Cash paid for interest</w:t>
            </w:r>
          </w:p>
        </w:tc>
        <w:tc>
          <w:tcPr>
            <w:tcW w:w="6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5,892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4,420</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 net</w:t>
            </w:r>
          </w:p>
        </w:tc>
        <w:tc>
          <w:tcPr>
            <w:tcW w:w="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63</w:t>
            </w:r>
          </w:p>
        </w:tc>
      </w:tr>
      <w:tr>
        <w:trPr>
          <w:trHeight w:val="216"/>
        </w:trPr>
        <w:tc>
          <w:tcPr>
            <w:tcW w:w="802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 included in accounts payable and accrued expenses</w:t>
            </w:r>
          </w:p>
        </w:tc>
        <w:tc>
          <w:tcPr>
            <w:tcW w:w="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1,144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269</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Capitalized internal-use software included in accounts payable – related party</w:t>
            </w:r>
          </w:p>
        </w:tc>
        <w:tc>
          <w:tcPr>
            <w:tcW w:w="6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500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 included in accrued expenses</w:t>
            </w:r>
          </w:p>
        </w:tc>
        <w:tc>
          <w:tcPr>
            <w:tcW w:w="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2,896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w:t>
      </w:r>
    </w:p>
    <w:p>
      <w:pPr>
        <w:spacing w:after="0" w:line="229"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Latham Group, Inc. (“the Company”) wholly owns Latham Pool Products, Inc. (“Latham Pool Products”) (together, “Latham”) and is a designer, manufacturer and marketer of in-ground residential swimming pools in North America, Australia and New Zealand. Latham offers a portfolio of pools and related products, including in-ground swimming pools, pool liners and pool covers.</w:t>
      </w:r>
    </w:p>
    <w:p>
      <w:pPr>
        <w:spacing w:after="0" w:line="184"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Latham Topco, Inc. was incorporated in the State of Delaware on December 6, 2018. Latham Topco, Inc. changed its name to Latham Group, Inc. on March 3, 2021. On December 18, 2018, an investment fund managed by affiliates of Pamplona Capital Management (the “Sponsor”), Wynnchurch Capital, L.P. and management acquired all of our outstanding equity interests through the newly formed entities (the “Acquisition”).</w:t>
      </w:r>
    </w:p>
    <w:p>
      <w:pPr>
        <w:spacing w:after="0" w:line="165"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On April 27, 2021, the Company completed its initial public offering (the “IPO”), pursuant to which it issued and sold 23,000,000 shares of common stock, inclusive of 3,000,000 shares sold by the Company pursuant to the full exercise of the underwriters’ option to purchase additional shares. The aggregate net proceeds received by the Company from the IPO were $400.1 million, after deducting underwriting discounts and commissions and other offering costs. The Company used the net proceeds to (i) pay down $152.7 million of the Amended Term Loan (as defined below) under the Credit Agreement (as defined below), (ii) repay the $16.0 million outstanding on the Revolving Credit Facility (as defined below), (iii) repurchase 12,264,438 shares of common stock from certain existing shareholders for $216.7 million and (iv) fund general corporate requirements, including working capital, for $14.7 million.</w:t>
      </w:r>
    </w:p>
    <w:p>
      <w:pPr>
        <w:spacing w:after="0" w:line="195"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Prior to the closing of the Company’s IPO, the Company’s parent entity, Latham Investment Holdings, LP (“Parent”) merged with and into Latham Group, Inc., with Latham Group, Inc. surviving the merger (the “Reorganization”). The purpose of the Reorganization was to reorganize the Company’s structure so that its existing investors would own only common stock rather than limited partnership interests in the Company’s Parent. In connection with the Reorganization, holders of Class A units of the Parent received shares of the Company’s common stock and Class B units of the Parent were exchanged for an economically equivalent number of restricted and unrestricted shares of the Company’s common stock. During the fiscal quarter ended July 3, 2021, the Company recorded a stock-based compensation charge of $49.5 million in connection with the Reorganization due to modifications made to the Class B units upon their exchange for common stock that provided accelerated vesting of certain time-vesting units and removed the performance vesting criteria on the performance-vesting units, which resulted in incremental fair value resulting from the replacement of Class B time-vesting units and performance-vesting units into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Pandemic</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Since the onset of the COVID-19 pandemic, the Company has been focused on protecting its employees’ health and safety, meeting its customers’ needs as they navigate an uncertain financial and operating environment, working closely with its suppliers to protect its ongoing business operations and rapidly adjusting its short-, medium- and long-term operational plans to proactively and effectively respond to the current and potential future public health crises.</w:t>
      </w:r>
    </w:p>
    <w:p>
      <w:pPr>
        <w:spacing w:after="0" w:line="18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Company continues to monitor the evolving COVID-19 pandemic and the impact on its business and financial results. We expect the impact of the pandemic on our business and financial results in 2021 will continue to vary by location and depend on numerous evolving factors that we are not able to accurately predict. These factors include the duration and scope of the pandemic, global economic conditions during and after the pandemic, governmental actions that have been taken (or may be taken in the future) in response to the pandemic and changes in customer and supplier behavior in response to the pandemic.</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firstLine="360"/>
        <w:spacing w:after="0" w:line="286" w:lineRule="auto"/>
        <w:rPr>
          <w:sz w:val="20"/>
          <w:szCs w:val="20"/>
          <w:color w:val="auto"/>
        </w:rPr>
      </w:pPr>
      <w:r>
        <w:rPr>
          <w:rFonts w:ascii="Arial" w:cs="Arial" w:eastAsia="Arial" w:hAnsi="Arial"/>
          <w:sz w:val="17"/>
          <w:szCs w:val="17"/>
          <w:color w:val="auto"/>
        </w:rPr>
        <w:t>The accompanying unaudited condensed consolidated financial statements and accompanying notes have been prepared in accordance with generally accepted accounting principles in the United States (“GAAP”). The Company’s unaudited condensed consolidated financial statements include the accounts of the Company and its subsidiaries. All intercompany balances and transactions have been eliminated in consolidation.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225" w:lineRule="exact"/>
        <w:rPr>
          <w:sz w:val="20"/>
          <w:szCs w:val="20"/>
          <w:color w:val="auto"/>
        </w:rPr>
      </w:pPr>
    </w:p>
    <w:p>
      <w:pPr>
        <w:ind w:right="40" w:firstLine="441"/>
        <w:spacing w:after="0" w:line="269" w:lineRule="auto"/>
        <w:rPr>
          <w:sz w:val="20"/>
          <w:szCs w:val="20"/>
          <w:color w:val="auto"/>
        </w:rPr>
      </w:pPr>
      <w:r>
        <w:rPr>
          <w:rFonts w:ascii="Arial" w:cs="Arial" w:eastAsia="Arial" w:hAnsi="Arial"/>
          <w:sz w:val="17"/>
          <w:szCs w:val="17"/>
          <w:color w:val="auto"/>
        </w:rPr>
        <w:t>The consolidated balance sheet at December 31, 2020 was derived from audited financial statements but does not include all disclosures required by GAAP. The accompanying unaudited condensed consolidated financial statements as of April 3, 2021 and for the fiscal quarters ended April 3, 2021 and March 28, 2020 have been prepared by the Company pursuant to the rules and regulations of the Securities and Exchange Commission (“SEC”) for interim financial statements. Certain information and footnote disclosures normally included in the financial statements prepared in accordance with GAAP have been condensed or omitted pursuant to such rules and regulations. These condensed consolidated financial statements should be read in conjunction with Latham Group, Inc.’s audited consolidated financial statements and the notes thereto for the year ended December 31, 2020 included in the Company’s Registration Statement on Form S-1, as amended, File No. 333-254930 on file with the SEC. In the opinion of management, all adjustments, consisting only of normal recurring adjustments necessary for a fair statement of the Company’s financial position as of April 3, 2021 and results of operations for the fiscal quarters ended April 3, 2021 and March 28, 2020 and cash flows for the fiscal quarters ended April 3, 2021 and March 28, 2020 have been made. The Company’s results of operations for the fiscal quarter ended April 3, 2021 are not necessarily indicative of the results of operations that may be expected for the year ending December 31, 2021.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The preparation of the Company’s condensed consolidated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 and expenses during the reporting period. Actual results could differ from those estimates. The Company bases its estimates on historical experience, known trends and other market-specific or other relevant factors that it believes to be reasonable under the circumstances. Estimates are evaluated on an ongoing basis and revised as there are changes in circumstances, facts and experience. Changes in estimates are recorded in the period in which they become known.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Although the Company generally has demand for its products throughout the year, its business is seasonal and weather is one of the principal external factors affecting the business. Historically, net sales and net income are highest during spring and summer, representing the peak months of swimming pool use, pool installation and remodeling and repair activities. Sales periods having severe weather may also affect net sales.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Refer to the Company’s final prospectus for the IPO filed pursuant to Rule 424(b)(4) under the Securities Act with the SEC on April 26, 2021 (“the Prospectus”) for a discussion of the Company’s accounting policies, as updated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25" w:lineRule="exact"/>
        <w:rPr>
          <w:sz w:val="20"/>
          <w:szCs w:val="20"/>
          <w:color w:val="auto"/>
        </w:rPr>
      </w:pPr>
    </w:p>
    <w:p>
      <w:pPr>
        <w:ind w:right="120" w:firstLine="360"/>
        <w:spacing w:after="0" w:line="290" w:lineRule="auto"/>
        <w:rPr>
          <w:sz w:val="20"/>
          <w:szCs w:val="20"/>
          <w:color w:val="auto"/>
        </w:rPr>
      </w:pPr>
      <w:r>
        <w:rPr>
          <w:rFonts w:ascii="Arial" w:cs="Arial" w:eastAsia="Arial" w:hAnsi="Arial"/>
          <w:sz w:val="16"/>
          <w:szCs w:val="16"/>
          <w:color w:val="auto"/>
        </w:rPr>
        <w:t>Investments and ownership interests in common stock or in-substance common stock are accounted for under the equity method accounting if the Company has the ability to exercise significant influence over the entity, but does not have a controlling financial interest. Under the equity method, investments are initially recognized at cost and adjusted to reflect the Company’s interest in net earnings, dividends received and other-than-temporary impairments. The Company records its interest in the net earnings of its equity method investee, along with adjustments for amortization of basis differences, investee capital transactions and other comprehensive income (loss), within earnings from equity method investment in the condensed consolidated statements of operations. Basis differences represent differences between the cost of the investment and the underlying equity in net assets of the investment and are generally amortized over the lives of the related assets that gave rise to the underlying basis differences. Profits or losses related to intra-entity sales with its equity method investee are eliminated until realized by the investor or investee.</w:t>
      </w:r>
    </w:p>
    <w:p>
      <w:pPr>
        <w:spacing w:after="0" w:line="165" w:lineRule="exact"/>
        <w:rPr>
          <w:sz w:val="20"/>
          <w:szCs w:val="20"/>
          <w:color w:val="auto"/>
        </w:rPr>
      </w:pPr>
    </w:p>
    <w:p>
      <w:pPr>
        <w:ind w:right="140" w:firstLine="360"/>
        <w:spacing w:after="0" w:line="296" w:lineRule="auto"/>
        <w:rPr>
          <w:sz w:val="20"/>
          <w:szCs w:val="20"/>
          <w:color w:val="auto"/>
        </w:rPr>
      </w:pPr>
      <w:r>
        <w:rPr>
          <w:rFonts w:ascii="Arial" w:cs="Arial" w:eastAsia="Arial" w:hAnsi="Arial"/>
          <w:sz w:val="16"/>
          <w:szCs w:val="16"/>
          <w:color w:val="auto"/>
        </w:rPr>
        <w:t>The Company records its proportionate share of earnings or losses of Premier Holdco, LLC (“Premier Pools &amp; Spas”) within earnings from equity method investment in the condensed consolidated statements of operations on a three-month lag. The Company recorded its interest in the net earnings of Premier Pools &amp; Spas of $0.2 million for the period from October 30, 2020 through December 31, 2020, which included a $0.1 million adjustment for the amortization of basis differences, within earnings from equity method investment in the condensed consolidated statements of operations during the fiscal quarter ended April 3, 2021. The Company also received a distribution of $0.2 million during the fiscal quarter ended April 3, 2021.</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right="100" w:firstLine="360"/>
        <w:spacing w:after="0" w:line="255" w:lineRule="auto"/>
        <w:rPr>
          <w:sz w:val="20"/>
          <w:szCs w:val="20"/>
          <w:color w:val="auto"/>
        </w:rPr>
      </w:pPr>
      <w:r>
        <w:rPr>
          <w:rFonts w:ascii="Arial" w:cs="Arial" w:eastAsia="Arial" w:hAnsi="Arial"/>
          <w:sz w:val="18"/>
          <w:szCs w:val="18"/>
          <w:color w:val="auto"/>
        </w:rPr>
        <w:t>For presentation in the condensed consolidated statements of cash flows, the Company utilizes the cumulative earnings approach for purposes of determining whether distributions should be classified as either a return on investment, which are be included in operating activities, or a return of investment, which would be included in investing activities. Under the cumulative earnings approach, the Company compares the distributions received to its cumulative equity-method earnings since inception. Any distributions received up to the amount of cumulative equity earnings are be considered a return on investment and classified in operating activities. Any excess distributions would be considered a return of investment and classified in investing activities.</w:t>
      </w:r>
    </w:p>
    <w:p>
      <w:pPr>
        <w:spacing w:after="0" w:line="192"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Equity method goodwill is not amortized or tested for impairment; instead the Company evaluates equity method investments for impairment when events or changes in circumstances indicate that the decline in value below the carrying amount of its equity method investment is determined to be other than temporary. In such a case, the decline in value below the carrying amount of its equity method investment is recognized in the condensed consolidated statements of operations in the period the impairment occurs.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The Company qualifies as “emerging growth company” as defined in the Jumpstart Our Business Startups Act of 2012 and has elected to “opt in” to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w:t>
      </w:r>
    </w:p>
    <w:p>
      <w:pPr>
        <w:spacing w:after="0" w:line="1" w:lineRule="exact"/>
        <w:rPr>
          <w:sz w:val="20"/>
          <w:szCs w:val="20"/>
          <w:color w:val="auto"/>
        </w:rPr>
      </w:pPr>
    </w:p>
    <w:p>
      <w:pPr>
        <w:ind w:right="100" w:firstLine="8"/>
        <w:spacing w:after="0" w:line="260" w:lineRule="auto"/>
        <w:tabs>
          <w:tab w:leader="none" w:pos="265"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longer qualifies as an emerging growth company. The Company may choose to early adopt any new or revised accounting standards whenever such early adoption is permitted for private companies.</w:t>
      </w:r>
    </w:p>
    <w:p>
      <w:pPr>
        <w:spacing w:after="0" w:line="18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February 2016, the FASB issued ASU 2016-02</w:t>
      </w:r>
      <w:r>
        <w:rPr>
          <w:rFonts w:ascii="Arial" w:cs="Arial" w:eastAsia="Arial" w:hAnsi="Arial"/>
          <w:sz w:val="16"/>
          <w:szCs w:val="16"/>
          <w:i w:val="1"/>
          <w:iCs w:val="1"/>
          <w:color w:val="auto"/>
        </w:rPr>
        <w:t>, Leases (Topic 842)</w:t>
      </w:r>
      <w:r>
        <w:rPr>
          <w:rFonts w:ascii="Arial" w:cs="Arial" w:eastAsia="Arial" w:hAnsi="Arial"/>
          <w:sz w:val="16"/>
          <w:szCs w:val="16"/>
          <w:color w:val="auto"/>
        </w:rPr>
        <w:t xml:space="preserve"> (“ASU 2016-02”),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In addition, a lessee is required to record (i) a right-of-use asset and a lease liability on its balance sheet for all leases with accounting lease terms of more than 12 months regardless of whether it is an operating or financing lease and (ii) lease expense in its consolidated statement of operations for operating leases and amortization and interest expense in its consolidated statement of operations for financing leases. Leases with a term of 12 months or less may be accounted for similar to prior guidance for operating leases today. In July 2018, the FASB issued </w:t>
      </w:r>
      <w:r>
        <w:rPr>
          <w:rFonts w:ascii="Arial" w:cs="Arial" w:eastAsia="Arial" w:hAnsi="Arial"/>
          <w:sz w:val="16"/>
          <w:szCs w:val="16"/>
          <w:i w:val="1"/>
          <w:iCs w:val="1"/>
          <w:color w:val="auto"/>
        </w:rPr>
        <w:t>ASU No. 2018-11, Leases (Topic 842)</w:t>
      </w:r>
      <w:r>
        <w:rPr>
          <w:rFonts w:ascii="Arial" w:cs="Arial" w:eastAsia="Arial" w:hAnsi="Arial"/>
          <w:sz w:val="16"/>
          <w:szCs w:val="16"/>
          <w:color w:val="auto"/>
        </w:rPr>
        <w:t>, which added an optional transition method that allows companies to adopt the standard as of the beginning of the year of adoption as opposed to the earliest comparative period presented. In November 2019, the FASB issued guidance delaying the effective date for all entities, except for public business entities. For nonpublic entities, this guidance is effective for annual periods beginning after December 15, 2020. In June 2020, the FASB issued additional guidance delaying the effective date for all entities, except for public business entities. For public entities, ASU 2016-02 was effective for annual periods beginning after December 15, 2018, including interim periods within those fiscal years. For nonpublic entities, this guidance is effective for annual periods beginning after December 15, 2021. Early adoption is permitted. The Company is currently evaluating the impact that the adoption of ASU 2016-02 will have on its consolidated financial statements.</w:t>
      </w:r>
    </w:p>
    <w:p>
      <w:pPr>
        <w:spacing w:after="0" w:line="16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 which requires the measurement and recognition of expected credit losses for financial assets held at amortized cost. ASU</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2016-13 replaces the existing incurred loss impairment model with an expected loss model. It also eliminates the concept of other-than-temporary impairment and requires credit losses related to available-for-sale debt securities to be recorded through an allowance for credit losses rather than as a reduction in the amortized cost basis of the securities. These changes will result in earlier recognition of credit losses. In November 2018, the FASB issued ASU 2018-19, </w:t>
      </w:r>
      <w:r>
        <w:rPr>
          <w:rFonts w:ascii="Arial" w:cs="Arial" w:eastAsia="Arial" w:hAnsi="Arial"/>
          <w:sz w:val="16"/>
          <w:szCs w:val="16"/>
          <w:i w:val="1"/>
          <w:iCs w:val="1"/>
          <w:color w:val="auto"/>
        </w:rPr>
        <w:t>Codification Improvements to Topic 326, Financial Instruments — Credit Losses</w:t>
      </w:r>
      <w:r>
        <w:rPr>
          <w:rFonts w:ascii="Arial" w:cs="Arial" w:eastAsia="Arial" w:hAnsi="Arial"/>
          <w:sz w:val="16"/>
          <w:szCs w:val="16"/>
          <w:color w:val="auto"/>
        </w:rPr>
        <w:t xml:space="preserve">, which narrowed the scope and changed the effective date for nonpublic entities for ASU 2016-13. The FASB subsequently issued supplemental guidance within ASU 2019-05, </w:t>
      </w:r>
      <w:r>
        <w:rPr>
          <w:rFonts w:ascii="Arial" w:cs="Arial" w:eastAsia="Arial" w:hAnsi="Arial"/>
          <w:sz w:val="16"/>
          <w:szCs w:val="16"/>
          <w:i w:val="1"/>
          <w:iCs w:val="1"/>
          <w:color w:val="auto"/>
        </w:rPr>
        <w:t>Financial Instruments — Credit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Losses (Topic 326): Targeted Transition Relief </w:t>
      </w:r>
      <w:r>
        <w:rPr>
          <w:rFonts w:ascii="Arial" w:cs="Arial" w:eastAsia="Arial" w:hAnsi="Arial"/>
          <w:sz w:val="16"/>
          <w:szCs w:val="16"/>
          <w:color w:val="auto"/>
        </w:rPr>
        <w:t>(“ASU 2019-05”). ASU 2019-05 provides an option to irrevocably elect the fair value option for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assets previously measured at amortized cost basis. For public entities that are SEC filers, excluding entities eligible to be smaller reporting companies, ASU 2016-13 is effective for annual periods beginning after December 15, 2019, including interim periods within those fiscal years. For all other entities, ASU 2016-13 is effective for annual periods beginning after December 15, 2022, including interim periods within those fiscal years. Early adoption is permitted. The Company is currently evaluating the impact that the adoption of ASU 2016-13 will have on its consolidated financial statements.</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ind w:right="160" w:firstLine="324"/>
        <w:spacing w:after="0" w:line="290" w:lineRule="auto"/>
        <w:rPr>
          <w:sz w:val="20"/>
          <w:szCs w:val="20"/>
          <w:color w:val="auto"/>
        </w:rPr>
      </w:pPr>
      <w:r>
        <w:rPr>
          <w:rFonts w:ascii="Arial" w:cs="Arial" w:eastAsia="Arial" w:hAnsi="Arial"/>
          <w:sz w:val="16"/>
          <w:szCs w:val="16"/>
          <w:color w:val="auto"/>
        </w:rPr>
        <w:t xml:space="preserve">In August 2017, the FASB issued ASU 2017-12, </w:t>
      </w:r>
      <w:r>
        <w:rPr>
          <w:rFonts w:ascii="Arial" w:cs="Arial" w:eastAsia="Arial" w:hAnsi="Arial"/>
          <w:sz w:val="16"/>
          <w:szCs w:val="16"/>
          <w:i w:val="1"/>
          <w:iCs w:val="1"/>
          <w:color w:val="auto"/>
        </w:rPr>
        <w:t>Derivatives and Hedging (Topic 815): Targeted Improvements to Accounting for Hedging Activities</w:t>
      </w:r>
      <w:r>
        <w:rPr>
          <w:rFonts w:ascii="Arial" w:cs="Arial" w:eastAsia="Arial" w:hAnsi="Arial"/>
          <w:sz w:val="16"/>
          <w:szCs w:val="16"/>
          <w:color w:val="auto"/>
        </w:rPr>
        <w:t xml:space="preserve"> (“ASU 2017-12”), which is intended to improve the financial reporting of hedging relationships to better portray the economic results of an entity’s risk management activities in its consolidated financial statements. In addition to that main objective, the amendments in the update make certain targeted improvements to simplify the application of the hedge accounting guidance in current GAAP. Additional updates to further clarify the guidance in ASU 2017-12 were issued by the FASB in October 2018 within ASU 2018-16. For public entities, the amendment is effective for fiscal years beginning after December 15, 2018, and interim periods within those fiscal years. For nonpublic entities, ASU 2017-12 is effective for fiscal years beginning after December 15, 2020 and interim periods beginning after December 15, 2021. Early application is permitted in any interim period after the issuance of the update. The Company is currently evaluating the impact that the adoption of ASU 2017-12 will have on its consolidated financial statements.</w:t>
      </w:r>
    </w:p>
    <w:p>
      <w:pPr>
        <w:spacing w:after="0" w:line="16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(“ASU 2019-12”), which is intended to simplify various aspects related to accounting for income taxes. ASU 2019-12 removes certain exceptions to the general principles in ASC 740 and also clarifies and amends existing guidance to improve consistent application. For public entities, ASU 2019-12 is effective for annual periods beginning after December 15, 2020, and interim periods within those reporting periods. For nonpublic companies, ASU 2019-12 is effective for annual periods beginning after December 15, 2021, and interim periods within those reporting periods. Early adoption is permitted. The Company is currently evaluating the impact that the adoption of ASU 2019-12 will have on its consolidated financial statements.</w:t>
      </w:r>
    </w:p>
    <w:p>
      <w:pPr>
        <w:spacing w:after="0" w:line="17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 xml:space="preserve">In January 2020, the FASB issued ASU 2020-01, </w:t>
      </w:r>
      <w:r>
        <w:rPr>
          <w:rFonts w:ascii="Arial" w:cs="Arial" w:eastAsia="Arial" w:hAnsi="Arial"/>
          <w:sz w:val="18"/>
          <w:szCs w:val="18"/>
          <w:i w:val="1"/>
          <w:iCs w:val="1"/>
          <w:color w:val="auto"/>
        </w:rPr>
        <w:t>Investments — Equity Securities (Topic 321), Investments — Equity Method and Joint Ventures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(Topic 323), and Derivatives and Hedging (Topic 815) </w:t>
      </w:r>
      <w:r>
        <w:rPr>
          <w:rFonts w:ascii="Arial" w:cs="Arial" w:eastAsia="Arial" w:hAnsi="Arial"/>
          <w:sz w:val="18"/>
          <w:szCs w:val="18"/>
          <w:color w:val="auto"/>
        </w:rPr>
        <w:t>(“ASU 2020-01”), which is intended to clarify the interaction of the accounting for equity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Topic 321 and investments accounted for under the equity method of accounting in Topic 323 and the accounting for certain forward contracts and purchased options accounted for under Topic 815. For public entities, ASU 2020-01 is effective for annual periods beginning after December 15, 2020, and interim periods within those reporting periods. For nonpublic companies, ASU 2020-01 is effective for annual periods beginning after December 15, 2021, and interim periods within those reporting periods. The Company is currently evaluating the impact that the adoption of ASU 2020-01 will have on its consolidated financial statements.</w:t>
      </w:r>
    </w:p>
    <w:p>
      <w:pPr>
        <w:spacing w:after="0" w:line="19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Facilitation of the Effects of Reference Rate Reform on Financial Reporting</w:t>
      </w:r>
      <w:r>
        <w:rPr>
          <w:rFonts w:ascii="Arial" w:cs="Arial" w:eastAsia="Arial" w:hAnsi="Arial"/>
          <w:sz w:val="18"/>
          <w:szCs w:val="18"/>
          <w:color w:val="auto"/>
        </w:rPr>
        <w:t xml:space="preserve"> which provides optional expedients and exceptions for applying GAAP to contracts, hedging relationships, and other transactions affected by the discontinuation of the London Interbank Offered Rate (“LIBOR”) or by another reference rate expected to be discontinued. This guidance is effective for all entities upon issuance on March 12, 2020 and may be applied through December 31, 2022. The expedients and exceptions in this guidance are optional, and the Company is evaluating the potential future financial statement impact of any such expedient or exception that it may elect to apply as the Company evaluates the effects of adopting this guidance on its consolidated financial statements.</w:t>
      </w:r>
    </w:p>
    <w:p>
      <w:pPr>
        <w:spacing w:after="0" w:line="192"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 xml:space="preserve">In January 2021, the FASB issued ASU 2021-01, </w:t>
      </w:r>
      <w:r>
        <w:rPr>
          <w:rFonts w:ascii="Arial" w:cs="Arial" w:eastAsia="Arial" w:hAnsi="Arial"/>
          <w:sz w:val="16"/>
          <w:szCs w:val="16"/>
          <w:i w:val="1"/>
          <w:iCs w:val="1"/>
          <w:color w:val="auto"/>
        </w:rPr>
        <w:t>Reference Rate Reform (Topic 848): Scope</w:t>
      </w:r>
      <w:r>
        <w:rPr>
          <w:rFonts w:ascii="Arial" w:cs="Arial" w:eastAsia="Arial" w:hAnsi="Arial"/>
          <w:sz w:val="16"/>
          <w:szCs w:val="16"/>
          <w:color w:val="auto"/>
        </w:rPr>
        <w:t>, which clarifies that certain optional expedients and exceptions in Topic 848 for contract modifications and hedge accounting apply to derivatives that are affected by the discounting transition. Specifically, this guidance applies to derivative instruments that use an interest rate for margining, discounting, or contract price alignment that is modified as a result of reference rate reform. The ASU became effective as of March 12, 2020 and can be adopted anytime during the period of January 1, 2020 through December 31, 2022. The Company is currently evaluating the impact that the adoption of ASU 2021-01 will have on its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 International, LLC</w:t>
      </w:r>
    </w:p>
    <w:p>
      <w:pPr>
        <w:spacing w:after="0" w:line="225" w:lineRule="exact"/>
        <w:rPr>
          <w:sz w:val="20"/>
          <w:szCs w:val="20"/>
          <w:color w:val="auto"/>
        </w:rPr>
      </w:pPr>
    </w:p>
    <w:p>
      <w:pPr>
        <w:ind w:right="140" w:firstLine="360"/>
        <w:spacing w:after="0" w:line="293" w:lineRule="auto"/>
        <w:rPr>
          <w:sz w:val="20"/>
          <w:szCs w:val="20"/>
          <w:color w:val="auto"/>
        </w:rPr>
      </w:pPr>
      <w:r>
        <w:rPr>
          <w:rFonts w:ascii="Arial" w:cs="Arial" w:eastAsia="Arial" w:hAnsi="Arial"/>
          <w:sz w:val="16"/>
          <w:szCs w:val="16"/>
          <w:color w:val="auto"/>
        </w:rPr>
        <w:t>On October 22, 2020, Latham Pool Products acquired GL International, LLC (“GLI”) for a total purchase price of $79.7 million (the “GLI Acquisition”). The results of GLI’s operations have been included in the condensed consolidated financial statements since that date. GLI specializes in manufacturing custom pool liners and safety covers. As a result, this acquisition expanded the Company’s liner and safety cover product offerings. In connection with the GLI Acquisition, consideration paid was $79.7 million in cash, or $74.7 million net of cash acquired of $5.0 million, and excluding a net working capital adjustment receivable of $0.8 million. The net working capital adjustment receivable was settled during fiscal quarter ended April 3, 2021. The cash consideration was funded from existing cash on hand. The Company incurred $2.4 million in transaction costs.</w:t>
      </w: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2" w:name="page13"/>
    <w:bookmarkEnd w:id="12"/>
    <w:p>
      <w:pPr>
        <w:ind w:right="40" w:firstLine="324"/>
        <w:spacing w:after="0" w:line="255" w:lineRule="auto"/>
        <w:rPr>
          <w:sz w:val="20"/>
          <w:szCs w:val="20"/>
          <w:color w:val="auto"/>
        </w:rPr>
      </w:pPr>
      <w:r>
        <w:rPr>
          <w:rFonts w:ascii="Arial" w:cs="Arial" w:eastAsia="Arial" w:hAnsi="Arial"/>
          <w:sz w:val="18"/>
          <w:szCs w:val="18"/>
          <w:color w:val="auto"/>
        </w:rPr>
        <w:t>The Company accounted for the GLI Acquisition using the acquisition method of accounting in accordance with FASB ASC 805, Business Combinations (“ASC 805”). This requires that the assets acquired and liabilities assumed be measured at fair value. The Company estimated, using Level 3 inputs, the fair value of certain fixed assets using a combination of the cost approach and the market approach. Inventories were valued using the comparative sales method, less the cost of disposal. Specific to intangible assets, dealer relationships were valued using the multi-period excess earnings method, whereas trade names were valued using the relief from royalty method. The Company recorded the assets acquired and liabilities assumed at their respective fair values as of the acquisition date.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40" w:type="dxa"/>
            <w:vAlign w:val="bottom"/>
            <w:gridSpan w:val="2"/>
          </w:tcPr>
          <w:p>
            <w:pPr>
              <w:ind w:left="360"/>
              <w:spacing w:after="0"/>
              <w:rPr>
                <w:sz w:val="20"/>
                <w:szCs w:val="20"/>
                <w:color w:val="auto"/>
              </w:rPr>
            </w:pPr>
            <w:r>
              <w:rPr>
                <w:rFonts w:ascii="Arial" w:cs="Arial" w:eastAsia="Arial" w:hAnsi="Arial"/>
                <w:sz w:val="18"/>
                <w:szCs w:val="18"/>
                <w:color w:val="auto"/>
              </w:rPr>
              <w:t>The following summarizes the purchase price allocation for the GLI Acquisition:</w:t>
            </w: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984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w w:val="95"/>
              </w:rPr>
              <w:t>October 22, 2020</w:t>
            </w:r>
          </w:p>
        </w:tc>
      </w:tr>
      <w:tr>
        <w:trPr>
          <w:trHeight w:val="209"/>
        </w:trPr>
        <w:tc>
          <w:tcPr>
            <w:tcW w:w="9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840" w:type="dxa"/>
            <w:vAlign w:val="bottom"/>
            <w:gridSpan w:val="2"/>
          </w:tcPr>
          <w:p>
            <w:pPr>
              <w:spacing w:after="0"/>
              <w:rPr>
                <w:sz w:val="20"/>
                <w:szCs w:val="20"/>
                <w:color w:val="auto"/>
              </w:rPr>
            </w:pPr>
            <w:r>
              <w:rPr>
                <w:rFonts w:ascii="Arial" w:cs="Arial" w:eastAsia="Arial" w:hAnsi="Arial"/>
                <w:sz w:val="18"/>
                <w:szCs w:val="18"/>
                <w:color w:val="auto"/>
              </w:rPr>
              <w:t>Allocation of purchase price:</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5,007</w:t>
            </w:r>
          </w:p>
        </w:tc>
      </w:tr>
      <w:tr>
        <w:trPr>
          <w:trHeight w:val="216"/>
        </w:trPr>
        <w:tc>
          <w:tcPr>
            <w:tcW w:w="9840" w:type="dxa"/>
            <w:vAlign w:val="bottom"/>
            <w:gridSpan w:val="2"/>
          </w:tcPr>
          <w:p>
            <w:pPr>
              <w:spacing w:after="0"/>
              <w:rPr>
                <w:sz w:val="20"/>
                <w:szCs w:val="20"/>
                <w:color w:val="auto"/>
              </w:rPr>
            </w:pPr>
            <w:r>
              <w:rPr>
                <w:rFonts w:ascii="Arial" w:cs="Arial" w:eastAsia="Arial" w:hAnsi="Arial"/>
                <w:sz w:val="18"/>
                <w:szCs w:val="18"/>
                <w:color w:val="auto"/>
              </w:rPr>
              <w:t>Trade receivables</w:t>
            </w:r>
          </w:p>
        </w:tc>
        <w:tc>
          <w:tcPr>
            <w:tcW w:w="4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10,639</w:t>
            </w:r>
          </w:p>
        </w:tc>
      </w:tr>
      <w:tr>
        <w:trPr>
          <w:trHeight w:val="216"/>
        </w:trPr>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11,854</w:t>
            </w:r>
          </w:p>
        </w:tc>
      </w:tr>
      <w:tr>
        <w:trPr>
          <w:trHeight w:val="216"/>
        </w:trPr>
        <w:tc>
          <w:tcPr>
            <w:tcW w:w="984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w:t>
            </w:r>
          </w:p>
        </w:tc>
        <w:tc>
          <w:tcPr>
            <w:tcW w:w="4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3,949</w:t>
            </w:r>
          </w:p>
        </w:tc>
      </w:tr>
      <w:tr>
        <w:trPr>
          <w:trHeight w:val="216"/>
        </w:trPr>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1,402</w:t>
            </w:r>
          </w:p>
        </w:tc>
      </w:tr>
      <w:tr>
        <w:trPr>
          <w:trHeight w:val="230"/>
        </w:trPr>
        <w:tc>
          <w:tcPr>
            <w:tcW w:w="984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4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46,700</w:t>
            </w:r>
          </w:p>
        </w:tc>
      </w:tr>
      <w:tr>
        <w:trPr>
          <w:trHeight w:val="209"/>
        </w:trPr>
        <w:tc>
          <w:tcPr>
            <w:tcW w:w="98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984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3,536</w:t>
            </w:r>
          </w:p>
        </w:tc>
        <w:tc>
          <w:tcPr>
            <w:tcW w:w="100" w:type="dxa"/>
            <w:vAlign w:val="bottom"/>
          </w:tcPr>
          <w:p>
            <w:pPr>
              <w:spacing w:after="0"/>
              <w:rPr>
                <w:sz w:val="18"/>
                <w:szCs w:val="18"/>
                <w:color w:val="auto"/>
              </w:rPr>
            </w:pPr>
          </w:p>
        </w:tc>
      </w:tr>
      <w:tr>
        <w:trPr>
          <w:trHeight w:val="216"/>
        </w:trPr>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8,853</w:t>
            </w:r>
          </w:p>
        </w:tc>
      </w:tr>
      <w:tr>
        <w:trPr>
          <w:trHeight w:val="229"/>
        </w:trPr>
        <w:tc>
          <w:tcPr>
            <w:tcW w:w="984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4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524</w:t>
            </w:r>
          </w:p>
        </w:tc>
      </w:tr>
      <w:tr>
        <w:trPr>
          <w:trHeight w:val="209"/>
        </w:trPr>
        <w:tc>
          <w:tcPr>
            <w:tcW w:w="98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 assumed</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9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fair value of net assets acquired, excluding goodwill:</w:t>
            </w: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66,638</w:t>
            </w:r>
          </w:p>
        </w:tc>
        <w:tc>
          <w:tcPr>
            <w:tcW w:w="100" w:type="dxa"/>
            <w:vAlign w:val="bottom"/>
            <w:tcBorders>
              <w:bottom w:val="single" w:sz="8" w:color="CCEEFF"/>
            </w:tcBorders>
          </w:tcPr>
          <w:p>
            <w:pPr>
              <w:spacing w:after="0"/>
              <w:rPr>
                <w:sz w:val="18"/>
                <w:szCs w:val="18"/>
                <w:color w:val="auto"/>
              </w:rPr>
            </w:pPr>
          </w:p>
        </w:tc>
      </w:tr>
      <w:tr>
        <w:trPr>
          <w:trHeight w:val="223"/>
        </w:trPr>
        <w:tc>
          <w:tcPr>
            <w:tcW w:w="9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9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excess of the purchase price over the fair value of the identifiable assets acquired and the liabilities assumed in the acquisition was allocated to goodwill in the amount of $13.1 million. Goodwill resulting from the GLI Acquisition was attributable to the expanded market share and product offerings. Goodwill resulting from the GLI Acquisition is deductible for tax purposes.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tcPr>
          <w:p>
            <w:pPr>
              <w:ind w:left="340"/>
              <w:spacing w:after="0"/>
              <w:rPr>
                <w:sz w:val="20"/>
                <w:szCs w:val="20"/>
                <w:color w:val="auto"/>
              </w:rPr>
            </w:pPr>
            <w:r>
              <w:rPr>
                <w:rFonts w:ascii="Arial" w:cs="Arial" w:eastAsia="Arial" w:hAnsi="Arial"/>
                <w:sz w:val="18"/>
                <w:szCs w:val="18"/>
                <w:color w:val="auto"/>
                <w:w w:val="95"/>
              </w:rPr>
              <w:t>The Company allocated a portion of the purchase price to specific intangible asset categories as follows: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Amortization</w:t>
            </w:r>
          </w:p>
        </w:tc>
      </w:t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Fair Value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Period</w:t>
            </w:r>
          </w:p>
        </w:tc>
      </w:tr>
      <w:tr>
        <w:trPr>
          <w:trHeight w:val="234"/>
        </w:trPr>
        <w:tc>
          <w:tcPr>
            <w:tcW w:w="8320" w:type="dxa"/>
            <w:vAlign w:val="bottom"/>
          </w:tcPr>
          <w:p>
            <w:pPr>
              <w:spacing w:after="0"/>
              <w:rPr>
                <w:sz w:val="20"/>
                <w:szCs w:val="20"/>
                <w:color w:val="auto"/>
              </w:rPr>
            </w:pPr>
            <w:r>
              <w:rPr>
                <w:rFonts w:ascii="Arial" w:cs="Arial" w:eastAsia="Arial" w:hAnsi="Arial"/>
                <w:sz w:val="18"/>
                <w:szCs w:val="18"/>
                <w:b w:val="1"/>
                <w:bCs w:val="1"/>
                <w:color w:val="auto"/>
              </w:rPr>
              <w:t>Definite-lived intangible assets:</w:t>
            </w:r>
          </w:p>
        </w:tc>
        <w:tc>
          <w:tcPr>
            <w:tcW w:w="120" w:type="dxa"/>
            <w:vAlign w:val="bottom"/>
          </w:tcPr>
          <w:p>
            <w:pPr>
              <w:spacing w:after="0"/>
              <w:rPr>
                <w:sz w:val="20"/>
                <w:szCs w:val="20"/>
                <w:color w:val="auto"/>
              </w:rPr>
            </w:pPr>
          </w:p>
        </w:tc>
        <w:tc>
          <w:tcPr>
            <w:tcW w:w="14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(in thousands)</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 years)</w:t>
            </w:r>
          </w:p>
        </w:tc>
      </w:tr>
      <w:tr>
        <w:trPr>
          <w:trHeight w:val="209"/>
        </w:trPr>
        <w:tc>
          <w:tcPr>
            <w:tcW w:w="8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Trade names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320" w:type="dxa"/>
            <w:vAlign w:val="bottom"/>
          </w:tcPr>
          <w:p>
            <w:pPr>
              <w:spacing w:after="0"/>
              <w:rPr>
                <w:sz w:val="20"/>
                <w:szCs w:val="20"/>
                <w:color w:val="auto"/>
              </w:rPr>
            </w:pPr>
            <w:r>
              <w:rPr>
                <w:rFonts w:ascii="Arial" w:cs="Arial" w:eastAsia="Arial" w:hAnsi="Arial"/>
                <w:sz w:val="18"/>
                <w:szCs w:val="18"/>
                <w:color w:val="auto"/>
              </w:rPr>
              <w:t>Dealer relationships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37,200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23"/>
        </w:trPr>
        <w:tc>
          <w:tcPr>
            <w:tcW w:w="8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 (Unaudited)</w:t>
      </w:r>
    </w:p>
    <w:p>
      <w:pPr>
        <w:spacing w:after="0" w:line="225"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The following pro forma financial information presents the statements of operations of the Company combined with GLI as if the acquisition occurred on January 1, 2020. The pro forma results do not include any anticipated synergies, cost savings or other expected benefits of an acquisition. The pro forma financial information is not necessarily indicative of what the financial results would have been had the acquisition been completed on January 1, 2020 and is not necessarily indicative of the Company’s future financial results.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Fiscal Quarter</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34"/>
        </w:trPr>
        <w:tc>
          <w:tcPr>
            <w:tcW w:w="332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6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March 28,2020</w:t>
            </w:r>
          </w:p>
        </w:tc>
        <w:tc>
          <w:tcPr>
            <w:tcW w:w="0" w:type="dxa"/>
            <w:vAlign w:val="bottom"/>
          </w:tcPr>
          <w:p>
            <w:pPr>
              <w:spacing w:after="0"/>
              <w:rPr>
                <w:sz w:val="1"/>
                <w:szCs w:val="1"/>
                <w:color w:val="auto"/>
              </w:rPr>
            </w:pPr>
          </w:p>
        </w:tc>
      </w:tr>
      <w:tr>
        <w:trPr>
          <w:trHeight w:val="209"/>
        </w:trPr>
        <w:tc>
          <w:tcPr>
            <w:tcW w:w="3320" w:type="dxa"/>
            <w:vAlign w:val="bottom"/>
            <w:tcBorders>
              <w:bottom w:val="single" w:sz="8" w:color="auto"/>
            </w:tcBorders>
            <w:vMerge w:val="continue"/>
          </w:tcPr>
          <w:p>
            <w:pPr>
              <w:spacing w:after="0"/>
              <w:rPr>
                <w:sz w:val="18"/>
                <w:szCs w:val="18"/>
                <w:color w:val="auto"/>
              </w:rPr>
            </w:pPr>
          </w:p>
        </w:tc>
        <w:tc>
          <w:tcPr>
            <w:tcW w:w="6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10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4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58,920</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Net loss</w:t>
            </w:r>
          </w:p>
        </w:tc>
        <w:tc>
          <w:tcPr>
            <w:tcW w:w="68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(20,828)</w:t>
            </w:r>
          </w:p>
        </w:tc>
        <w:tc>
          <w:tcPr>
            <w:tcW w:w="0" w:type="dxa"/>
            <w:vAlign w:val="bottom"/>
          </w:tcPr>
          <w:p>
            <w:pPr>
              <w:spacing w:after="0"/>
              <w:rPr>
                <w:sz w:val="1"/>
                <w:szCs w:val="1"/>
                <w:color w:val="auto"/>
              </w:rPr>
            </w:pPr>
          </w:p>
        </w:tc>
      </w:tr>
      <w:tr>
        <w:trPr>
          <w:trHeight w:val="634"/>
        </w:trPr>
        <w:tc>
          <w:tcPr>
            <w:tcW w:w="332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tcPr>
          <w:p>
            <w:pPr>
              <w:jc w:val="right"/>
              <w:ind w:right="397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13" w:name="page14"/>
    <w:bookmarkEnd w:id="13"/>
    <w:p>
      <w:pPr>
        <w:ind w:firstLine="324"/>
        <w:spacing w:after="0" w:line="259" w:lineRule="auto"/>
        <w:rPr>
          <w:sz w:val="20"/>
          <w:szCs w:val="20"/>
          <w:color w:val="auto"/>
        </w:rPr>
      </w:pPr>
      <w:r>
        <w:rPr>
          <w:rFonts w:ascii="Arial" w:cs="Arial" w:eastAsia="Arial" w:hAnsi="Arial"/>
          <w:sz w:val="18"/>
          <w:szCs w:val="18"/>
          <w:color w:val="auto"/>
        </w:rPr>
        <w:t>The pro forma financial information presented above has been calculated after adjusting for the results of the GLI Acquisition for the first fiscal quarter ended March 28, 2020 to reflect the accounting effects as a result of the acquisition, including the amortization expense from acquired intangible assets, the depreciation and amortization expense from acquired property and equipment, the additional cost of sales from acquired inventory, interest expense from debt financing, and any related tax effects.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EQUITY METHOD INVESTMENT</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On October 30, 2020, the Company entered into a securities purchase agreement to purchase 28% of the common units of Premier Pools &amp; Spas for $25.4 million. The Company concluded that it holds common stock of Premier Pools &amp; Spas and has the ability to exercise significant influence over Premier Pools &amp; Spas, but does not have a controlling financial interest. Accordingly, the Company accounts for this investment using the equity method of accounting. The Company’s proportionate share of the earnings or losses of the investee are reported as a separate line in the condensed consolidated statements of operations.</w:t>
      </w:r>
    </w:p>
    <w:p>
      <w:pPr>
        <w:spacing w:after="0" w:line="188"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Premier Pools &amp; Spas is a holding company for its manufacturing and franchising companies including PFC LLC, Premier Franchise Management LLC, Premier Pools Management LLC, and Premier Fiberglass LLC (the “Premier Companies”). The Premier Companies are a leading swimming pool-building brand that uses its franchisee network to sell and install pools around the United States.</w:t>
      </w:r>
    </w:p>
    <w:p>
      <w:pPr>
        <w:spacing w:after="0" w:line="184"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In connection with Latham’s Investment in Premier Pools &amp; Spas, the Company entered into an exclusive supply agreement with Premier Pools &amp; Spas, the Premier Companies, and Premier Pools &amp; Spas’ franchisees (“Premier Franchisees”) (together, the “Customer”). Premier Pools &amp; Spas does not consolidate the operations of the Premier Franchisees. Per the supply agreement, Latham is the exclusive supplier of the Premier Franchisees for specific pool and pool products. These products include fiberglass products and package pool products. The initial term of the supply agreement is ten years.</w:t>
      </w:r>
    </w:p>
    <w:p>
      <w:pPr>
        <w:spacing w:after="0" w:line="157" w:lineRule="exact"/>
        <w:rPr>
          <w:sz w:val="20"/>
          <w:szCs w:val="20"/>
          <w:color w:val="auto"/>
        </w:rPr>
      </w:pPr>
    </w:p>
    <w:p>
      <w:pPr>
        <w:ind w:right="580" w:firstLine="324"/>
        <w:spacing w:after="0" w:line="263" w:lineRule="auto"/>
        <w:rPr>
          <w:sz w:val="20"/>
          <w:szCs w:val="20"/>
          <w:color w:val="auto"/>
        </w:rPr>
      </w:pPr>
      <w:r>
        <w:rPr>
          <w:rFonts w:ascii="Arial" w:cs="Arial" w:eastAsia="Arial" w:hAnsi="Arial"/>
          <w:sz w:val="18"/>
          <w:szCs w:val="18"/>
          <w:color w:val="auto"/>
        </w:rPr>
        <w:t>For the first three years of the supply agreement, the Customer is entitled to a low-teens percentage rebate for all fiberglass pools sold and an additional growth rebate of a low single-digit to low-teens percentage based on year over year sales growth on fiberglass pools (the “Rebates”). The Rebates will be paid directly to Premier Pools Management Corp. Holdco.</w:t>
      </w:r>
    </w:p>
    <w:p>
      <w:pPr>
        <w:spacing w:after="0" w:line="184"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As of April 3, 2021, the Company’s carrying amount for the equity method investment in Premier Pools &amp; Spas was $25.4 million. In March, Premier Pools &amp; Spas paid the Company a dividend of $0.2 million that is presented on the condensed consolidated statement of cash flows as distributions received from equity method investment. Because of the three-month financial reporting lag, the Company recorded its interest in the net earnings of Premier Pools &amp; Spas for the period from October 30, 2020 through December 31, 2020, along with adjustments for amortization of basis differences and any investee capital transactions, during the fiscal quarter ended April 3,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right="540" w:firstLine="324"/>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2 — Inputs, other than quoted prices in active markets, that are observable either directly or indirectly.</w:t>
      </w:r>
    </w:p>
    <w:p>
      <w:pPr>
        <w:spacing w:after="0" w:line="225" w:lineRule="exact"/>
        <w:rPr>
          <w:sz w:val="20"/>
          <w:szCs w:val="20"/>
          <w:color w:val="auto"/>
        </w:rPr>
      </w:pPr>
    </w:p>
    <w:p>
      <w:pPr>
        <w:ind w:left="340" w:right="620"/>
        <w:spacing w:after="0" w:line="277" w:lineRule="auto"/>
        <w:rPr>
          <w:sz w:val="20"/>
          <w:szCs w:val="20"/>
          <w:color w:val="auto"/>
        </w:rPr>
      </w:pPr>
      <w:r>
        <w:rPr>
          <w:rFonts w:ascii="Arial" w:cs="Arial" w:eastAsia="Arial" w:hAnsi="Arial"/>
          <w:sz w:val="18"/>
          <w:szCs w:val="18"/>
          <w:color w:val="auto"/>
        </w:rPr>
        <w:t>Level 3 — Unobservable inputs that reflect the Company’s own assumptions incorporated into valuation techniques. These valuations require significant judgment.</w:t>
      </w:r>
    </w:p>
    <w:p>
      <w:pPr>
        <w:spacing w:after="0" w:line="170"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When there is more than one input at different levels within the hierarchy, the fair value is determined based on the lowest level input that is significant to the fair value measurement in its entirety. Assessment of the significance of a particular input to the fair value measurement in its entirety requires substantial judgment and consideration of factors specific to the asset or liability. Level 3 inputs are inherently difficult to estimate. Changes to these inputs can have significant impact on fair value measurements. Assets and liabilities measured at fair value using Level 3 inputs are based on one or more of the following valuation techniques: market approach, income approach or cost approach. There were no transfers between fair value measurement levels during the fiscal quarters ended April 3, 2021 or March 28, 2020.</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25"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The Company’s non-financial assets such as goodwill, intangible assets and property and equipment are measured at fair value upon acquisition or remeasured to fair value when an impairment charge is recognized. Such fair value measurements are based predominantly on Level 2 and Level 3 inputs.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25"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On May 31, 2019 (the “Acquisition Date”), Latham Pool Products acquired Narellan Group Pty Limited and its subsidiaries (collectively “Narellan”) for a total purchase price of $35.2 million (the “Narellan Acquisition”). In connection with the Narellan Acquisition, consideration paid included $20.2 million in cash, $7.6 million in equity consideration and $7.4 million of contingent consideration as of the Acquisition Date. The Company agreed to pay the contingent consideration in the form of cash and equity consideration to the seller if certain EBITDA targets were achieved for any of the trailing twelve months periods ended December 31, 2019, June 30, 2020 or the year ended December 31, 2020 (the “Contingent Consideration”). The fair value of the Contingent Consideration at the Acquisition Date was $7.4 million. On September 25, 2020, the Company amended the terms of the Narellan Share Purchase Agreement and settled the Contingent Consideration with the selling shareholders of Narellan based upon estimated EBITDA for the year ended December 31, 2020.</w:t>
      </w:r>
    </w:p>
    <w:p>
      <w:pPr>
        <w:spacing w:after="0" w:line="192"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fair value of the Company’s Contingent Consideration is measured and recorded on the condensed consolidated balance sheets using Level 3 inputs because it is valued based on unobservable inputs and other estimation techniques due to the absence of quoted market prices. The Company values the Contingent Consideration using a Monte Carlo simulation, which relies on management’s projections of EBITDA and the estimated probability of achieving such targets. The change in the fair value of the Contingent Consideration for the fiscal quarter ended March 28, 2020 of $(1.1) million was due to foreign currency translation.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Estimates of fair value are subjective in nature, involve uncertainties and matters of significant judgment, and are made at a specific point in time.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Thus, changes in key assumptions from period to period could significantly affect the estimate of fair value.</w:t>
      </w:r>
    </w:p>
    <w:p>
      <w:pPr>
        <w:spacing w:after="0" w:line="21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Monte Carlo simulation utilized the following unobservable inputs to determine the fair value of the Contingent Consideration as of March 28,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4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Fiscal Quarter</w:t>
            </w:r>
          </w:p>
        </w:tc>
      </w:tr>
      <w:tr>
        <w:trPr>
          <w:trHeight w:val="216"/>
        </w:trPr>
        <w:tc>
          <w:tcPr>
            <w:tcW w:w="984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Ended</w:t>
            </w:r>
          </w:p>
        </w:tc>
      </w:tr>
      <w:tr>
        <w:trPr>
          <w:trHeight w:val="234"/>
        </w:trPr>
        <w:tc>
          <w:tcPr>
            <w:tcW w:w="984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March 28, 2020</w:t>
            </w:r>
          </w:p>
        </w:tc>
        <w:tc>
          <w:tcPr>
            <w:tcW w:w="160" w:type="dxa"/>
            <w:vAlign w:val="bottom"/>
            <w:tcBorders>
              <w:bottom w:val="single" w:sz="8" w:color="CCEEFF"/>
            </w:tcBorders>
          </w:tcPr>
          <w:p>
            <w:pPr>
              <w:spacing w:after="0"/>
              <w:rPr>
                <w:sz w:val="20"/>
                <w:szCs w:val="20"/>
                <w:color w:val="auto"/>
              </w:rPr>
            </w:pPr>
          </w:p>
        </w:tc>
      </w:tr>
      <w:tr>
        <w:trPr>
          <w:trHeight w:val="209"/>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EBITDA risk adjustment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17.30%</w:t>
            </w: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Annual EBITDA volatility</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55.00%</w:t>
            </w: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Risk-free rate of return</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Plan</w:t>
      </w:r>
    </w:p>
    <w:p>
      <w:pPr>
        <w:spacing w:after="0" w:line="22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fair value of the benefit plan assets related to the Company’s pension plan is measured and was recorded on the condensed consolidated balance sheets using Level 2 inputs. The fair value of the Company’s plan assets was $1.2 million as of March 28, 2020. During the year ended December 31, 2020, the Company terminated its defined benefit pension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360" w:firstLine="360"/>
        <w:spacing w:after="0" w:line="308" w:lineRule="auto"/>
        <w:rPr>
          <w:sz w:val="20"/>
          <w:szCs w:val="20"/>
          <w:color w:val="auto"/>
        </w:rPr>
      </w:pPr>
      <w:r>
        <w:rPr>
          <w:rFonts w:ascii="Arial" w:cs="Arial" w:eastAsia="Arial" w:hAnsi="Arial"/>
          <w:sz w:val="17"/>
          <w:szCs w:val="17"/>
          <w:color w:val="auto"/>
        </w:rPr>
        <w:t>The Company considers the carrying amounts of cash, trade receivables, prepaid expenses and other current assets, accounts payable, and accrued expenses and other current liabilities, to approximate fair value due to the short-term maturities of these instruments.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Term loan</w:t>
      </w:r>
    </w:p>
    <w:p>
      <w:pPr>
        <w:spacing w:after="0" w:line="225"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The term loan is carried at amortized cost; however, the Company estimates the fair value of the term loan for disclosure purposes. The fair value of the term loan is determined using inputs based on observable market data of a non-public exchange using, which are classified as Level 2 inputs. The following table sets forth the carrying amount and fair value of the term loan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40" w:type="dxa"/>
            <w:vAlign w:val="bottom"/>
            <w:gridSpan w:val="5"/>
          </w:tcPr>
          <w:p>
            <w:pPr>
              <w:ind w:left="660"/>
              <w:spacing w:after="0"/>
              <w:rPr>
                <w:sz w:val="20"/>
                <w:szCs w:val="20"/>
                <w:color w:val="auto"/>
              </w:rPr>
            </w:pPr>
            <w:r>
              <w:rPr>
                <w:rFonts w:ascii="Arial" w:cs="Arial" w:eastAsia="Arial" w:hAnsi="Arial"/>
                <w:sz w:val="18"/>
                <w:szCs w:val="18"/>
                <w:b w:val="1"/>
                <w:bCs w:val="1"/>
                <w:color w:val="auto"/>
              </w:rPr>
              <w:t>April 3, 2021</w:t>
            </w:r>
          </w:p>
        </w:tc>
        <w:tc>
          <w:tcPr>
            <w:tcW w:w="180" w:type="dxa"/>
            <w:vAlign w:val="bottom"/>
          </w:tcPr>
          <w:p>
            <w:pPr>
              <w:spacing w:after="0"/>
              <w:rPr>
                <w:sz w:val="20"/>
                <w:szCs w:val="20"/>
                <w:color w:val="auto"/>
              </w:rPr>
            </w:pPr>
          </w:p>
        </w:tc>
        <w:tc>
          <w:tcPr>
            <w:tcW w:w="2600" w:type="dxa"/>
            <w:vAlign w:val="bottom"/>
            <w:gridSpan w:val="5"/>
          </w:tcPr>
          <w:p>
            <w:pPr>
              <w:ind w:left="440"/>
              <w:spacing w:after="0"/>
              <w:rPr>
                <w:sz w:val="20"/>
                <w:szCs w:val="20"/>
                <w:color w:val="auto"/>
              </w:rPr>
            </w:pPr>
            <w:r>
              <w:rPr>
                <w:rFonts w:ascii="Arial" w:cs="Arial" w:eastAsia="Arial" w:hAnsi="Arial"/>
                <w:sz w:val="18"/>
                <w:szCs w:val="18"/>
                <w:b w:val="1"/>
                <w:bCs w:val="1"/>
                <w:color w:val="auto"/>
              </w:rPr>
              <w:t>December 31, 2020</w:t>
            </w:r>
          </w:p>
        </w:tc>
      </w:tr>
      <w:tr>
        <w:trPr>
          <w:trHeight w:val="191"/>
        </w:trPr>
        <w:tc>
          <w:tcPr>
            <w:tcW w:w="55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420"/>
              <w:spacing w:after="0" w:line="191" w:lineRule="exact"/>
              <w:rPr>
                <w:sz w:val="20"/>
                <w:szCs w:val="20"/>
                <w:color w:val="auto"/>
              </w:rPr>
            </w:pPr>
            <w:r>
              <w:rPr>
                <w:rFonts w:ascii="Arial" w:cs="Arial" w:eastAsia="Arial" w:hAnsi="Arial"/>
                <w:sz w:val="18"/>
                <w:szCs w:val="18"/>
                <w:b w:val="1"/>
                <w:bCs w:val="1"/>
                <w:color w:val="auto"/>
                <w:w w:val="97"/>
              </w:rPr>
              <w:t>Carrying</w:t>
            </w: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ind w:left="80"/>
              <w:spacing w:after="0" w:line="191" w:lineRule="exact"/>
              <w:rPr>
                <w:sz w:val="20"/>
                <w:szCs w:val="20"/>
                <w:color w:val="auto"/>
              </w:rPr>
            </w:pPr>
            <w:r>
              <w:rPr>
                <w:rFonts w:ascii="Arial" w:cs="Arial" w:eastAsia="Arial" w:hAnsi="Arial"/>
                <w:sz w:val="18"/>
                <w:szCs w:val="18"/>
                <w:b w:val="1"/>
                <w:bCs w:val="1"/>
                <w:color w:val="auto"/>
              </w:rPr>
              <w:t>Estimated</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94"/>
              </w:rPr>
              <w:t>Carrying</w:t>
            </w: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ind w:left="60"/>
              <w:spacing w:after="0" w:line="191" w:lineRule="exact"/>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6"/>
                <w:szCs w:val="16"/>
                <w:color w:val="auto"/>
              </w:rPr>
            </w:pPr>
          </w:p>
        </w:tc>
      </w:tr>
      <w:tr>
        <w:trPr>
          <w:trHeight w:val="234"/>
        </w:trPr>
        <w:tc>
          <w:tcPr>
            <w:tcW w:w="5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Value</w:t>
            </w:r>
          </w:p>
        </w:tc>
        <w:tc>
          <w:tcPr>
            <w:tcW w:w="14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Value</w:t>
            </w:r>
          </w:p>
        </w:tc>
        <w:tc>
          <w:tcPr>
            <w:tcW w:w="16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Term loan</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389,964</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390,638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221,496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221,081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w:t>
      </w:r>
    </w:p>
    <w:p>
      <w:pPr>
        <w:spacing w:after="0" w:line="225" w:lineRule="exact"/>
        <w:rPr>
          <w:sz w:val="20"/>
          <w:szCs w:val="20"/>
          <w:color w:val="auto"/>
        </w:rPr>
      </w:pPr>
    </w:p>
    <w:p>
      <w:pPr>
        <w:ind w:right="240" w:firstLine="360"/>
        <w:spacing w:after="0" w:line="279" w:lineRule="auto"/>
        <w:rPr>
          <w:sz w:val="20"/>
          <w:szCs w:val="20"/>
          <w:color w:val="auto"/>
        </w:rPr>
      </w:pPr>
      <w:r>
        <w:rPr>
          <w:rFonts w:ascii="Arial" w:cs="Arial" w:eastAsia="Arial" w:hAnsi="Arial"/>
          <w:sz w:val="17"/>
          <w:szCs w:val="17"/>
          <w:color w:val="auto"/>
        </w:rPr>
        <w:t>The Company estimates the fair value of the interest rate swap (see Note 8) on a quarterly basis using Level 2 inputs, including the forward LIBOR curve. The fair value is estimated by comparing (i) the present value of all future monthly fixed rate payments versus (ii) the variable payments based on the forward LIBOR curve. As of April 3, 2021 and December 31, 2020, the Company’s interest rate swap liability was $0.5 million and $0.3 million, respectively, which was recorded within other long-term liabilities on the condensed consolidated balance sheets.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right="400" w:firstLine="324"/>
        <w:spacing w:after="0" w:line="263" w:lineRule="auto"/>
        <w:rPr>
          <w:sz w:val="20"/>
          <w:szCs w:val="20"/>
          <w:color w:val="auto"/>
        </w:rPr>
      </w:pPr>
      <w:r>
        <w:rPr>
          <w:rFonts w:ascii="Arial" w:cs="Arial" w:eastAsia="Arial" w:hAnsi="Arial"/>
          <w:sz w:val="18"/>
          <w:szCs w:val="18"/>
          <w:color w:val="auto"/>
        </w:rPr>
        <w:t>The carrying amount of goodwill for the fiscal quarter ended April 3, 2021 and the year ended December 31, 2020 was $115.6 million and $115.8 million, respectively. The change in the carrying value during the fiscal quarter ended April 3, 2021 was solely due to fluctuations in foreign currency exchange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net as of April 3, 2021 consisted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jc w:val="right"/>
              <w:ind w:right="920"/>
              <w:spacing w:after="0"/>
              <w:rPr>
                <w:sz w:val="20"/>
                <w:szCs w:val="20"/>
                <w:color w:val="auto"/>
              </w:rPr>
            </w:pPr>
            <w:r>
              <w:rPr>
                <w:rFonts w:ascii="Arial" w:cs="Arial" w:eastAsia="Arial" w:hAnsi="Arial"/>
                <w:sz w:val="18"/>
                <w:szCs w:val="18"/>
                <w:b w:val="1"/>
                <w:bCs w:val="1"/>
                <w:color w:val="auto"/>
              </w:rPr>
              <w:t>April 3, 2021</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191"/>
        </w:trPr>
        <w:tc>
          <w:tcPr>
            <w:tcW w:w="38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3"/>
          </w:tcPr>
          <w:p>
            <w:pPr>
              <w:jc w:val="center"/>
              <w:ind w:right="280"/>
              <w:spacing w:after="0" w:line="191" w:lineRule="exact"/>
              <w:rPr>
                <w:sz w:val="20"/>
                <w:szCs w:val="20"/>
                <w:color w:val="auto"/>
              </w:rPr>
            </w:pPr>
            <w:r>
              <w:rPr>
                <w:rFonts w:ascii="Arial" w:cs="Arial" w:eastAsia="Arial" w:hAnsi="Arial"/>
                <w:sz w:val="18"/>
                <w:szCs w:val="18"/>
                <w:b w:val="1"/>
                <w:bCs w:val="1"/>
                <w:color w:val="auto"/>
                <w:w w:val="90"/>
              </w:rPr>
              <w:t>Foreign</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7"/>
              </w:rPr>
              <w:t>Carrying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Currency</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1"/>
              </w:rPr>
              <w:t>Accumulated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Net</w:t>
            </w:r>
          </w:p>
        </w:tc>
      </w:tr>
      <w:tr>
        <w:trPr>
          <w:trHeight w:val="234"/>
        </w:trPr>
        <w:tc>
          <w:tcPr>
            <w:tcW w:w="3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Translation</w:t>
            </w: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4"/>
              </w:rPr>
              <w:t>Amortization</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Amount</w:t>
            </w:r>
          </w:p>
        </w:tc>
      </w:tr>
      <w:tr>
        <w:trPr>
          <w:trHeight w:val="209"/>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 and trademarks</w:t>
            </w:r>
          </w:p>
        </w:tc>
        <w:tc>
          <w:tcPr>
            <w:tcW w:w="1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135,100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11,808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124,204</w:t>
            </w:r>
          </w:p>
        </w:tc>
      </w:tr>
      <w:tr>
        <w:trPr>
          <w:trHeight w:val="216"/>
        </w:trPr>
        <w:tc>
          <w:tcPr>
            <w:tcW w:w="3820" w:type="dxa"/>
            <w:vAlign w:val="bottom"/>
          </w:tcPr>
          <w:p>
            <w:pPr>
              <w:ind w:left="20"/>
              <w:spacing w:after="0"/>
              <w:rPr>
                <w:sz w:val="20"/>
                <w:szCs w:val="20"/>
                <w:color w:val="auto"/>
              </w:rPr>
            </w:pPr>
            <w:r>
              <w:rPr>
                <w:rFonts w:ascii="Arial" w:cs="Arial" w:eastAsia="Arial" w:hAnsi="Arial"/>
                <w:sz w:val="18"/>
                <w:szCs w:val="18"/>
                <w:color w:val="auto"/>
              </w:rPr>
              <w:t>Patented technology</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16,126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3,898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12,362</w:t>
            </w: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Pool designs</w:t>
            </w: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5,523</w:t>
            </w:r>
          </w:p>
        </w:tc>
      </w:tr>
      <w:tr>
        <w:trPr>
          <w:trHeight w:val="216"/>
        </w:trPr>
        <w:tc>
          <w:tcPr>
            <w:tcW w:w="3820" w:type="dxa"/>
            <w:vAlign w:val="bottom"/>
          </w:tcPr>
          <w:p>
            <w:pPr>
              <w:ind w:left="20"/>
              <w:spacing w:after="0"/>
              <w:rPr>
                <w:sz w:val="20"/>
                <w:szCs w:val="20"/>
                <w:color w:val="auto"/>
              </w:rPr>
            </w:pPr>
            <w:r>
              <w:rPr>
                <w:rFonts w:ascii="Arial" w:cs="Arial" w:eastAsia="Arial" w:hAnsi="Arial"/>
                <w:sz w:val="18"/>
                <w:szCs w:val="18"/>
                <w:color w:val="auto"/>
              </w:rPr>
              <w:t>Franchise relationships</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1,187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754</w:t>
            </w: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Dealer relationships</w:t>
            </w: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160,376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139,432</w:t>
            </w: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Non-competition agreements</w:t>
            </w: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2,476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1,342</w:t>
            </w:r>
          </w:p>
        </w:tc>
      </w:tr>
      <w:tr>
        <w:trPr>
          <w:trHeight w:val="209"/>
        </w:trPr>
        <w:tc>
          <w:tcPr>
            <w:tcW w:w="382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320,993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39,127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recognized $5.6 million of amortization expense related to intangible assets during the fiscal quarter ended April 3, 2021.</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net as of December 31, 2020 consisted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8"/>
                <w:szCs w:val="18"/>
                <w:b w:val="1"/>
                <w:bCs w:val="1"/>
                <w:color w:val="auto"/>
              </w:rPr>
              <w:t>December 31, 2020</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191"/>
        </w:trPr>
        <w:tc>
          <w:tcPr>
            <w:tcW w:w="38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3"/>
          </w:tcPr>
          <w:p>
            <w:pPr>
              <w:jc w:val="center"/>
              <w:ind w:right="280"/>
              <w:spacing w:after="0" w:line="191" w:lineRule="exact"/>
              <w:rPr>
                <w:sz w:val="20"/>
                <w:szCs w:val="20"/>
                <w:color w:val="auto"/>
              </w:rPr>
            </w:pPr>
            <w:r>
              <w:rPr>
                <w:rFonts w:ascii="Arial" w:cs="Arial" w:eastAsia="Arial" w:hAnsi="Arial"/>
                <w:sz w:val="18"/>
                <w:szCs w:val="18"/>
                <w:b w:val="1"/>
                <w:bCs w:val="1"/>
                <w:color w:val="auto"/>
                <w:w w:val="90"/>
              </w:rPr>
              <w:t>Foreign</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Carrying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Currency</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1"/>
              </w:rPr>
              <w:t>Accumulated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Net</w:t>
            </w:r>
          </w:p>
        </w:tc>
      </w:tr>
      <w:tr>
        <w:trPr>
          <w:trHeight w:val="234"/>
        </w:trPr>
        <w:tc>
          <w:tcPr>
            <w:tcW w:w="3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Translation</w:t>
            </w: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4"/>
              </w:rPr>
              <w:t>Amortization</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Amount</w:t>
            </w:r>
          </w:p>
        </w:tc>
      </w:tr>
      <w:tr>
        <w:trPr>
          <w:trHeight w:val="209"/>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 and trademarks</w:t>
            </w:r>
          </w:p>
        </w:tc>
        <w:tc>
          <w:tcPr>
            <w:tcW w:w="17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135,100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10,258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125,889</w:t>
            </w:r>
          </w:p>
        </w:tc>
      </w:tr>
      <w:tr>
        <w:trPr>
          <w:trHeight w:val="216"/>
        </w:trPr>
        <w:tc>
          <w:tcPr>
            <w:tcW w:w="3820" w:type="dxa"/>
            <w:vAlign w:val="bottom"/>
          </w:tcPr>
          <w:p>
            <w:pPr>
              <w:ind w:left="20"/>
              <w:spacing w:after="0"/>
              <w:rPr>
                <w:sz w:val="20"/>
                <w:szCs w:val="20"/>
                <w:color w:val="auto"/>
              </w:rPr>
            </w:pPr>
            <w:r>
              <w:rPr>
                <w:rFonts w:ascii="Arial" w:cs="Arial" w:eastAsia="Arial" w:hAnsi="Arial"/>
                <w:sz w:val="18"/>
                <w:szCs w:val="18"/>
                <w:color w:val="auto"/>
              </w:rPr>
              <w:t>Patented technology</w:t>
            </w: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16,126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3,452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12,829</w:t>
            </w: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Pool designs</w:t>
            </w: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5,709</w:t>
            </w:r>
          </w:p>
        </w:tc>
      </w:tr>
      <w:tr>
        <w:trPr>
          <w:trHeight w:val="216"/>
        </w:trPr>
        <w:tc>
          <w:tcPr>
            <w:tcW w:w="3820" w:type="dxa"/>
            <w:vAlign w:val="bottom"/>
          </w:tcPr>
          <w:p>
            <w:pPr>
              <w:ind w:left="20"/>
              <w:spacing w:after="0"/>
              <w:rPr>
                <w:sz w:val="20"/>
                <w:szCs w:val="20"/>
                <w:color w:val="auto"/>
              </w:rPr>
            </w:pPr>
            <w:r>
              <w:rPr>
                <w:rFonts w:ascii="Arial" w:cs="Arial" w:eastAsia="Arial" w:hAnsi="Arial"/>
                <w:sz w:val="18"/>
                <w:szCs w:val="18"/>
                <w:color w:val="auto"/>
              </w:rPr>
              <w:t>Franchise relationships</w:t>
            </w: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1,187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847</w:t>
            </w: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Dealer relationships</w:t>
            </w: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160,376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142,731</w:t>
            </w: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Non-competition agreements</w:t>
            </w: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2,476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1,468</w:t>
            </w:r>
          </w:p>
        </w:tc>
      </w:tr>
      <w:tr>
        <w:trPr>
          <w:trHeight w:val="209"/>
        </w:trPr>
        <w:tc>
          <w:tcPr>
            <w:tcW w:w="382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320,993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33,533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289,473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6"/>
        </w:trPr>
        <w:tc>
          <w:tcPr>
            <w:tcW w:w="38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2"/>
          </w:tcPr>
          <w:p>
            <w:pPr>
              <w:ind w:left="1720"/>
              <w:spacing w:after="0"/>
              <w:rPr>
                <w:sz w:val="20"/>
                <w:szCs w:val="20"/>
                <w:color w:val="auto"/>
              </w:rPr>
            </w:pPr>
            <w:r>
              <w:rPr>
                <w:rFonts w:ascii="Arial" w:cs="Arial" w:eastAsia="Arial" w:hAnsi="Arial"/>
                <w:sz w:val="18"/>
                <w:szCs w:val="18"/>
                <w:color w:val="auto"/>
              </w:rPr>
              <w:t>16</w:t>
            </w: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4" w:right="339" w:bottom="1440" w:gutter="0" w:footer="0" w:header="0"/>
        </w:sectPr>
      </w:pPr>
    </w:p>
    <w:bookmarkStart w:id="16" w:name="page17"/>
    <w:bookmarkEnd w:id="16"/>
    <w:p>
      <w:pPr>
        <w:ind w:left="340"/>
        <w:spacing w:after="0"/>
        <w:rPr>
          <w:sz w:val="20"/>
          <w:szCs w:val="20"/>
          <w:color w:val="auto"/>
        </w:rPr>
      </w:pPr>
      <w:r>
        <w:rPr>
          <w:rFonts w:ascii="Arial" w:cs="Arial" w:eastAsia="Arial" w:hAnsi="Arial"/>
          <w:sz w:val="17"/>
          <w:szCs w:val="17"/>
          <w:color w:val="auto"/>
        </w:rPr>
        <w:t>The Company recognized $4.1 million of amortization expense related to intangible assets during the fiscal quarter ended March 28, 2020.</w:t>
      </w:r>
    </w:p>
    <w:p>
      <w:pPr>
        <w:spacing w:after="0" w:line="237"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 Company estimates that amortization expense related to definite-lived intangible assets will be as follows in each of the next five years and thereafter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Estimated Future</w:t>
            </w:r>
          </w:p>
        </w:tc>
      </w:tr>
      <w:tr>
        <w:trPr>
          <w:trHeight w:val="234"/>
        </w:trPr>
        <w:tc>
          <w:tcPr>
            <w:tcW w:w="9340" w:type="dxa"/>
            <w:vAlign w:val="bottom"/>
            <w:gridSpan w:val="2"/>
          </w:tcPr>
          <w:p>
            <w:pPr>
              <w:spacing w:after="0"/>
              <w:rPr>
                <w:sz w:val="20"/>
                <w:szCs w:val="20"/>
                <w:color w:val="auto"/>
              </w:rPr>
            </w:pPr>
            <w:r>
              <w:rPr>
                <w:rFonts w:ascii="Arial" w:cs="Arial" w:eastAsia="Arial" w:hAnsi="Arial"/>
                <w:sz w:val="18"/>
                <w:szCs w:val="18"/>
                <w:b w:val="1"/>
                <w:bCs w:val="1"/>
                <w:color w:val="auto"/>
              </w:rPr>
              <w:t>Year Ended</w:t>
            </w:r>
          </w:p>
        </w:tc>
        <w:tc>
          <w:tcPr>
            <w:tcW w:w="19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Amortization Expense</w:t>
            </w:r>
          </w:p>
        </w:tc>
      </w:tr>
      <w:tr>
        <w:trPr>
          <w:trHeight w:val="209"/>
        </w:trPr>
        <w:tc>
          <w:tcPr>
            <w:tcW w:w="9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Remainder of fiscal 2021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21,959</w:t>
            </w: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21,768</w:t>
            </w: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20,948</w:t>
            </w: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20,791</w:t>
            </w:r>
          </w:p>
        </w:tc>
      </w:tr>
      <w:tr>
        <w:trPr>
          <w:trHeight w:val="229"/>
        </w:trPr>
        <w:tc>
          <w:tcPr>
            <w:tcW w:w="93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9"/>
                <w:szCs w:val="19"/>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181,787</w:t>
            </w:r>
          </w:p>
        </w:tc>
      </w:tr>
      <w:tr>
        <w:trPr>
          <w:trHeight w:val="223"/>
        </w:trPr>
        <w:tc>
          <w:tcPr>
            <w:tcW w:w="9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r>
              <w:rPr>
                <w:rFonts w:ascii="Arial" w:cs="Arial" w:eastAsia="Arial" w:hAnsi="Arial"/>
                <w:sz w:val="18"/>
                <w:szCs w:val="18"/>
                <w:b w:val="1"/>
                <w:bCs w:val="1"/>
                <w:color w:val="auto"/>
              </w:rPr>
              <w:t>7. INVENTORIES, NET</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860" w:type="dxa"/>
            <w:vAlign w:val="bottom"/>
          </w:tcPr>
          <w:p>
            <w:pPr>
              <w:ind w:left="340"/>
              <w:spacing w:after="0"/>
              <w:rPr>
                <w:sz w:val="20"/>
                <w:szCs w:val="20"/>
                <w:color w:val="auto"/>
              </w:rPr>
            </w:pPr>
            <w:r>
              <w:rPr>
                <w:rFonts w:ascii="Arial" w:cs="Arial" w:eastAsia="Arial" w:hAnsi="Arial"/>
                <w:sz w:val="18"/>
                <w:szCs w:val="18"/>
                <w:color w:val="auto"/>
              </w:rPr>
              <w:t>Inventories, net consisted of the following (in thousands):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5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4"/>
              </w:rPr>
              <w:t>April 3, 2021</w:t>
            </w:r>
          </w:p>
        </w:tc>
        <w:tc>
          <w:tcPr>
            <w:tcW w:w="15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89"/>
              </w:rPr>
              <w:t>December 31,2020</w:t>
            </w:r>
          </w:p>
        </w:tc>
      </w:tr>
      <w:tr>
        <w:trPr>
          <w:trHeight w:val="209"/>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44,472</w:t>
            </w: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37,010</w:t>
            </w: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Finished goods</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29,659</w:t>
            </w:r>
          </w:p>
        </w:tc>
        <w:tc>
          <w:tcPr>
            <w:tcW w:w="5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27,808</w:t>
            </w:r>
          </w:p>
        </w:tc>
      </w:tr>
      <w:tr>
        <w:trPr>
          <w:trHeight w:val="210"/>
        </w:trPr>
        <w:tc>
          <w:tcPr>
            <w:tcW w:w="586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74,131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64,818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Company’s outstanding debt obligations consisted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rPr>
              <w:t>April 3,2021</w:t>
            </w:r>
          </w:p>
        </w:tc>
        <w:tc>
          <w:tcPr>
            <w:tcW w:w="1560" w:type="dxa"/>
            <w:vAlign w:val="bottom"/>
            <w:gridSpan w:val="5"/>
          </w:tcPr>
          <w:p>
            <w:pPr>
              <w:spacing w:after="0"/>
              <w:rPr>
                <w:sz w:val="20"/>
                <w:szCs w:val="20"/>
                <w:color w:val="auto"/>
              </w:rPr>
            </w:pPr>
            <w:r>
              <w:rPr>
                <w:rFonts w:ascii="Arial" w:cs="Arial" w:eastAsia="Arial" w:hAnsi="Arial"/>
                <w:sz w:val="18"/>
                <w:szCs w:val="18"/>
                <w:b w:val="1"/>
                <w:bCs w:val="1"/>
                <w:color w:val="auto"/>
                <w:w w:val="94"/>
              </w:rPr>
              <w:t>December 31, 2020</w:t>
            </w: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Term loan</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397,385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228,147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Revolver</w:t>
            </w:r>
          </w:p>
        </w:tc>
        <w:tc>
          <w:tcPr>
            <w:tcW w:w="180" w:type="dxa"/>
            <w:vAlign w:val="bottom"/>
          </w:tcPr>
          <w:p>
            <w:pPr>
              <w:spacing w:after="0"/>
              <w:rPr>
                <w:sz w:val="19"/>
                <w:szCs w:val="19"/>
                <w:color w:val="auto"/>
              </w:rPr>
            </w:pPr>
          </w:p>
        </w:tc>
        <w:tc>
          <w:tcPr>
            <w:tcW w:w="1500" w:type="dxa"/>
            <w:vAlign w:val="bottom"/>
            <w:gridSpan w:val="2"/>
          </w:tcPr>
          <w:p>
            <w:pPr>
              <w:jc w:val="right"/>
              <w:ind w:right="121"/>
              <w:spacing w:after="0"/>
              <w:rPr>
                <w:sz w:val="20"/>
                <w:szCs w:val="20"/>
                <w:color w:val="auto"/>
              </w:rPr>
            </w:pPr>
            <w:r>
              <w:rPr>
                <w:rFonts w:ascii="Arial" w:cs="Arial" w:eastAsia="Arial" w:hAnsi="Arial"/>
                <w:sz w:val="18"/>
                <w:szCs w:val="18"/>
                <w:color w:val="auto"/>
              </w:rPr>
              <w:t>16,000</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Unamortized discount and debt issuance costs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(7,421</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(6,651</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10"/>
        </w:trPr>
        <w:tc>
          <w:tcPr>
            <w:tcW w:w="8000" w:type="dxa"/>
            <w:vAlign w:val="bottom"/>
          </w:tcPr>
          <w:p>
            <w:pPr>
              <w:ind w:left="180"/>
              <w:spacing w:after="0"/>
              <w:rPr>
                <w:sz w:val="20"/>
                <w:szCs w:val="20"/>
                <w:color w:val="auto"/>
              </w:rPr>
            </w:pPr>
            <w:r>
              <w:rPr>
                <w:rFonts w:ascii="Arial" w:cs="Arial" w:eastAsia="Arial" w:hAnsi="Arial"/>
                <w:sz w:val="18"/>
                <w:szCs w:val="18"/>
                <w:color w:val="auto"/>
              </w:rPr>
              <w:t>Total debt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405,964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221,496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long-term debt</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(23,047)</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(13,042)</w:t>
            </w:r>
          </w:p>
        </w:tc>
      </w:tr>
      <w:tr>
        <w:trPr>
          <w:trHeight w:val="223"/>
        </w:trPr>
        <w:tc>
          <w:tcPr>
            <w:tcW w:w="8000" w:type="dxa"/>
            <w:vAlign w:val="bottom"/>
          </w:tcPr>
          <w:p>
            <w:pPr>
              <w:ind w:left="180"/>
              <w:spacing w:after="0"/>
              <w:rPr>
                <w:sz w:val="20"/>
                <w:szCs w:val="20"/>
                <w:color w:val="auto"/>
              </w:rPr>
            </w:pPr>
            <w:r>
              <w:rPr>
                <w:rFonts w:ascii="Arial" w:cs="Arial" w:eastAsia="Arial" w:hAnsi="Arial"/>
                <w:sz w:val="18"/>
                <w:szCs w:val="18"/>
                <w:color w:val="auto"/>
              </w:rPr>
              <w:t>Total long-term debt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382,917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208,454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25" w:lineRule="exact"/>
        <w:rPr>
          <w:sz w:val="20"/>
          <w:szCs w:val="20"/>
          <w:color w:val="auto"/>
        </w:rPr>
      </w:pPr>
    </w:p>
    <w:p>
      <w:pPr>
        <w:ind w:right="440" w:firstLine="324"/>
        <w:spacing w:after="0" w:line="301" w:lineRule="auto"/>
        <w:rPr>
          <w:sz w:val="20"/>
          <w:szCs w:val="20"/>
          <w:color w:val="auto"/>
        </w:rPr>
      </w:pPr>
      <w:r>
        <w:rPr>
          <w:rFonts w:ascii="Arial" w:cs="Arial" w:eastAsia="Arial" w:hAnsi="Arial"/>
          <w:sz w:val="16"/>
          <w:szCs w:val="16"/>
          <w:color w:val="auto"/>
        </w:rPr>
        <w:t>On December 18, 2018, the Latham Pool Products entered into an agreement (the “Credit Agreement”) with Nomura Corporate Funding Americas, LLC (“Nomura”) that included a revolving line of credit (the “Revolver”) and letters of credit (“Letters of Credit” or collectively with the Revolver, the “Revolving Credit Facility”), as well as a term loan (as described below). The Revolving Credit Facility was utilized to finance ongoing general corporate and working capital needs with the Revolver of up to $30.0 million. The Revolving Credit Facility matures on December 18, 2023.</w:t>
      </w:r>
    </w:p>
    <w:p>
      <w:pPr>
        <w:spacing w:after="0" w:line="157"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Revolving Credit Facility allows for either Eurocurrency borrowings, bearing interest ranging from 4.50% to 4.75%, or base rate borrowings, bearing interest ranging from 3.50% to 3.75% depending on the First Lien Net Leverage Ratio, as defined in the Credit Agreement. A commitment fee accrues on any unused portion of the commitments under the Revolving Credit Facility. The commitment fee is due and payable quarterly in arrears and is equal to the applicable margin times the actual daily amount by which the $30.0 million initial commitment exceeds the sum of the outstanding borrowings under the Revolver and outstanding Letters of Credit obligations. The applicable margin ranges from 0.375% to 0.500% as determined by the Company’s First Lien Net Leverage Ratio as defined in the Credit Agreement.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7" w:name="page18"/>
    <w:bookmarkEnd w:id="17"/>
    <w:p>
      <w:pPr>
        <w:ind w:right="180" w:firstLine="324"/>
        <w:spacing w:after="0" w:line="275" w:lineRule="auto"/>
        <w:rPr>
          <w:sz w:val="20"/>
          <w:szCs w:val="20"/>
          <w:color w:val="auto"/>
        </w:rPr>
      </w:pPr>
      <w:r>
        <w:rPr>
          <w:rFonts w:ascii="Arial" w:cs="Arial" w:eastAsia="Arial" w:hAnsi="Arial"/>
          <w:sz w:val="17"/>
          <w:szCs w:val="17"/>
          <w:color w:val="auto"/>
        </w:rPr>
        <w:t>The Company is required to meet certain financial covenants, including maintaining specific liquidity measurements. There are also negative covenants, including certain restrictions on the Company’s ability to incur additional indebtedness, create liens, make investments, consolidate or merge with other entities, enter into transactions with affiliates and make prepayments. As of April 3, 2021 and December 31, 2020, the Company was in compliance with all financial-related covenants related to the Credit Agreement. There was $16.0 million outstanding as of April 3, 2021 and no amounts outstanding as of December 31, 2020 on the Revolving Credit Facility or Letters of Credit.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Facility</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On December 18, 2018, in connection with the Acquisition, the Company entered into the Credit Agreement with Nomura to borrow $215.0 million (the “Original Term Loan”). The Company incurred debt issuance costs of $11.5 million related to the transaction.</w:t>
      </w:r>
    </w:p>
    <w:p>
      <w:pPr>
        <w:spacing w:after="0" w:line="170" w:lineRule="exact"/>
        <w:rPr>
          <w:sz w:val="20"/>
          <w:szCs w:val="20"/>
          <w:color w:val="auto"/>
        </w:rPr>
      </w:pPr>
    </w:p>
    <w:p>
      <w:pPr>
        <w:ind w:right="120" w:firstLine="360"/>
        <w:spacing w:after="0" w:line="286" w:lineRule="auto"/>
        <w:rPr>
          <w:sz w:val="20"/>
          <w:szCs w:val="20"/>
          <w:color w:val="auto"/>
        </w:rPr>
      </w:pPr>
      <w:r>
        <w:rPr>
          <w:rFonts w:ascii="Arial" w:cs="Arial" w:eastAsia="Arial" w:hAnsi="Arial"/>
          <w:sz w:val="17"/>
          <w:szCs w:val="17"/>
          <w:color w:val="auto"/>
        </w:rPr>
        <w:t>The Original Term Loan was amended on May 29, 2019, to provide additional borrowings of $23.0 million at a discount of $0.7 million (the “First Amendment”) to fund the Narellan Acquisition. Any portion of the First Amendment not used to fund the Narellan Acquisition was required to be applied to repay the First Amendment in an aggregate amount equal to such portion of the First Amendment, without any premium or penalty.</w:t>
      </w:r>
    </w:p>
    <w:p>
      <w:pPr>
        <w:spacing w:after="0" w:line="165"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On August 6, 2020, the Company entered into a Form of Affiliated Lender Assignment and Assumption with Nomura (the “Assignment”). Under the Assignment, the Company repaid $5.0 million of the outstanding principal balance.</w:t>
      </w:r>
    </w:p>
    <w:p>
      <w:pPr>
        <w:spacing w:after="0" w:line="170" w:lineRule="exact"/>
        <w:rPr>
          <w:sz w:val="20"/>
          <w:szCs w:val="20"/>
          <w:color w:val="auto"/>
        </w:rPr>
      </w:pPr>
    </w:p>
    <w:p>
      <w:pPr>
        <w:ind w:right="80" w:firstLine="360"/>
        <w:spacing w:after="0" w:line="275" w:lineRule="auto"/>
        <w:rPr>
          <w:sz w:val="20"/>
          <w:szCs w:val="20"/>
          <w:color w:val="auto"/>
        </w:rPr>
      </w:pPr>
      <w:r>
        <w:rPr>
          <w:rFonts w:ascii="Arial" w:cs="Arial" w:eastAsia="Arial" w:hAnsi="Arial"/>
          <w:sz w:val="17"/>
          <w:szCs w:val="17"/>
          <w:color w:val="auto"/>
        </w:rPr>
        <w:t>On October 14, 2020, the Company entered into a subsequent amendment under the Original Term Loan with Nomura to borrow an additional $20.0 million (the “Second Amendment” and collectively with the Original Term Loan and the First Amendment, the “Term Loan”). The Company accounted for the borrowings under the Second Amendment as new debt and recorded $0.1 million of third-party costs as a direct reduction to the carrying amount of long-term debt on the condensed consolidated balance sheet. There were no financing costs incurred with the Second Amendment. The Term Loan has a maturity date of June 18, 2025. Interest and principal payments are due quarterly.</w:t>
      </w:r>
    </w:p>
    <w:p>
      <w:pPr>
        <w:spacing w:after="0" w:line="176"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On January 25, 2021, the Company entered into a subsequent amendment to the Term Loan with Nomura to borrow an additional $175.0 million (the “Third Amendment” and collectively with the “Term Loan”, the “Amended Term Loan”). In connection with the Third Amendment, the Company is required to repay the outstanding principal balance of the Amended Term Loan in fixed quarterly payments of $5.8 million, commencing March 31, 2021. The amendment did not change the maturity date of the Term Loan and the Amended Term Loan bears interest under the same terms as the Term Loan. The Company accounted for $165.0 million of the borrowings under the Third Amendment as new debt and $10.0 million of the borrowings under the Third Amendment as a debt modification. The Company recorded an aggregate of $1.2 million of debt issuance costs as a direct reduction to the carrying amount of long-term debt on the condensed consolidated balance sheet.</w:t>
      </w:r>
    </w:p>
    <w:p>
      <w:pPr>
        <w:spacing w:after="0" w:line="177"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The Amended Term Loan allowed for the $175.0 million of proceeds to be distributed to Parent. On February 2, 2021, the Company used the proceeds of the Amended Term Loan to settle in full the note payable to Parent of $64.9 million and to pay a dividend to Parent of $110.0 million.</w:t>
      </w:r>
    </w:p>
    <w:p>
      <w:pPr>
        <w:spacing w:after="0" w:line="146" w:lineRule="exact"/>
        <w:rPr>
          <w:sz w:val="20"/>
          <w:szCs w:val="20"/>
          <w:color w:val="auto"/>
        </w:rPr>
      </w:pPr>
    </w:p>
    <w:p>
      <w:pPr>
        <w:ind w:right="200" w:firstLine="324"/>
        <w:spacing w:after="0" w:line="291" w:lineRule="auto"/>
        <w:rPr>
          <w:sz w:val="20"/>
          <w:szCs w:val="20"/>
          <w:color w:val="auto"/>
        </w:rPr>
      </w:pPr>
      <w:r>
        <w:rPr>
          <w:rFonts w:ascii="Arial" w:cs="Arial" w:eastAsia="Arial" w:hAnsi="Arial"/>
          <w:sz w:val="16"/>
          <w:szCs w:val="16"/>
          <w:color w:val="auto"/>
        </w:rPr>
        <w:t>The Term Loan bears interest at (1) a base rate equal to the highest of (i) the Federal Funds Rate plus 1⁄2 of 1%, (ii) the “prime rate” published in the Money Rates section of the Wall Street Journal and (iii) LIBOR plus 1.00% (2) plus a Loan Margin of (i) 6.00% for Eurocurrency Rate Loans and</w:t>
      </w:r>
    </w:p>
    <w:p>
      <w:pPr>
        <w:ind w:right="160" w:firstLine="8"/>
        <w:spacing w:after="0" w:line="273" w:lineRule="auto"/>
        <w:tabs>
          <w:tab w:leader="none" w:pos="265" w:val="left"/>
        </w:tabs>
        <w:numPr>
          <w:ilvl w:val="0"/>
          <w:numId w:val="4"/>
        </w:numPr>
        <w:rPr>
          <w:rFonts w:ascii="Arial" w:cs="Arial" w:eastAsia="Arial" w:hAnsi="Arial"/>
          <w:sz w:val="17"/>
          <w:szCs w:val="17"/>
          <w:color w:val="auto"/>
        </w:rPr>
      </w:pPr>
      <w:r>
        <w:rPr>
          <w:rFonts w:ascii="Arial" w:cs="Arial" w:eastAsia="Arial" w:hAnsi="Arial"/>
          <w:sz w:val="17"/>
          <w:szCs w:val="17"/>
          <w:color w:val="auto"/>
        </w:rPr>
        <w:t>5.00% for Base Rate Loans, as defined in the Credit Agreement. Principal payments under the First Amendment were calculated as 0.629% of the outstanding principal balance. Outstanding borrowings at April 3, 2021 and December 31, 2020 were $390.0 million and $221.5 million, respectively, net of discount and debt issuance costs of $7.4 million and $6.7 million, respectively. In connection with the Term Loan, the Company is subject to various financial reporting, financial and other covenants, including maintaining specific liquidity measurements.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ind w:right="320" w:firstLine="324"/>
        <w:spacing w:after="0" w:line="286" w:lineRule="auto"/>
        <w:rPr>
          <w:sz w:val="20"/>
          <w:szCs w:val="20"/>
          <w:color w:val="auto"/>
        </w:rPr>
      </w:pPr>
      <w:r>
        <w:rPr>
          <w:rFonts w:ascii="Arial" w:cs="Arial" w:eastAsia="Arial" w:hAnsi="Arial"/>
          <w:sz w:val="17"/>
          <w:szCs w:val="17"/>
          <w:color w:val="auto"/>
        </w:rPr>
        <w:t>As of April 3, 2021, the unamortized debt issuance costs and discount on the Term Loan were $5.6 million and $1.8 million, respectively. As of December 31, 2020, the unamortized debt issuance costs and discount on the Term Loan were $6.3 million and $0.4 million, respectively. The effective interest rate was 9.36% and 8.03% for the fiscal quarter ended April 3, 2021 and year ended December 31, 2020, respectively.</w:t>
      </w:r>
    </w:p>
    <w:p>
      <w:pPr>
        <w:spacing w:after="0" w:line="165"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Interest rate risk associated with the Company’s Credit Agreement is managed through an interest rate swap which the Company executed on April 30, 2020. The swap has an effective date of May 18, 2020 and a termination date of May 18, 2023. Under the terms of the swap, the Company fixed its LIBOR borrowing rate at 0.442% on a notional amount of $200.0 million. The interest rate swap is not designated as a hedging instrument for accounting purposes (see Note 2 and Note 5).</w:t>
      </w:r>
    </w:p>
    <w:p>
      <w:pPr>
        <w:spacing w:after="0" w:line="18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Company recorded interest expense associated with the Revolving Credit Facility, Second Amendment, Third Amendment and interest rate swap,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April 3, 2021</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March 28, 2020</w:t>
            </w:r>
          </w:p>
        </w:tc>
      </w:tr>
      <w:tr>
        <w:trPr>
          <w:trHeight w:val="209"/>
        </w:trPr>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5,892</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Amortization of debt issuance costs</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2,073</w:t>
            </w:r>
          </w:p>
        </w:tc>
        <w:tc>
          <w:tcPr>
            <w:tcW w:w="4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859</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original issue discount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732</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Interest rate swap</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359</w:t>
            </w:r>
          </w:p>
        </w:tc>
        <w:tc>
          <w:tcPr>
            <w:tcW w:w="4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Principal payments due on the outstanding debt in the next five fiscal years, excluding any potential payments based on excess cash flow levels, are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Term Loan</w:t>
            </w:r>
          </w:p>
        </w:tc>
      </w:tr>
      <w:tr>
        <w:trPr>
          <w:trHeight w:val="234"/>
        </w:trPr>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Year Ended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Facility</w:t>
            </w:r>
          </w:p>
        </w:tc>
      </w:tr>
      <w:tr>
        <w:trPr>
          <w:trHeight w:val="209"/>
        </w:trPr>
        <w:tc>
          <w:tcPr>
            <w:tcW w:w="9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Remainder of fiscal 2021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17,284</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23,047</w:t>
            </w: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23,047</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23,047</w:t>
            </w:r>
          </w:p>
        </w:tc>
      </w:tr>
      <w:tr>
        <w:trPr>
          <w:trHeight w:val="229"/>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310,960</w:t>
            </w:r>
          </w:p>
        </w:tc>
        <w:tc>
          <w:tcPr>
            <w:tcW w:w="80" w:type="dxa"/>
            <w:vAlign w:val="bottom"/>
            <w:shd w:val="clear" w:color="auto" w:fill="CCEEFF"/>
          </w:tcPr>
          <w:p>
            <w:pPr>
              <w:spacing w:after="0"/>
              <w:rPr>
                <w:sz w:val="19"/>
                <w:szCs w:val="19"/>
                <w:color w:val="auto"/>
              </w:rPr>
            </w:pPr>
          </w:p>
        </w:tc>
      </w:tr>
      <w:tr>
        <w:trPr>
          <w:trHeight w:val="223"/>
        </w:trPr>
        <w:tc>
          <w:tcPr>
            <w:tcW w:w="9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397,385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The obligations under the Credit Agreement are guaranteed by certain wholly owned subsidiaries (the “Guarantors”) of the Company as defined in the security agreement. The obligations under the Credit Agreement are secured by substantially all of the Guarantors’ tangible and intangible assets, including their accounts receivables, equipment, intellectual property, inventory, cash and cash equivalents, deposit accounts and security accounts. The Credit Agreement also restricts payments and other distributions unless certain conditions are met, which could restrict the Company’s ability to pay dividends.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r>
              <w:rPr>
                <w:rFonts w:ascii="Arial" w:cs="Arial" w:eastAsia="Arial" w:hAnsi="Arial"/>
                <w:sz w:val="18"/>
                <w:szCs w:val="18"/>
                <w:b w:val="1"/>
                <w:bCs w:val="1"/>
                <w:color w:val="auto"/>
              </w:rPr>
              <w:t>9. PRODUCT WARRANTIES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80" w:type="dxa"/>
            <w:vAlign w:val="bottom"/>
          </w:tcPr>
          <w:p>
            <w:pPr>
              <w:ind w:left="340"/>
              <w:spacing w:after="0"/>
              <w:rPr>
                <w:sz w:val="20"/>
                <w:szCs w:val="20"/>
                <w:color w:val="auto"/>
              </w:rPr>
            </w:pPr>
            <w:r>
              <w:rPr>
                <w:rFonts w:ascii="Arial" w:cs="Arial" w:eastAsia="Arial" w:hAnsi="Arial"/>
                <w:sz w:val="18"/>
                <w:szCs w:val="18"/>
                <w:color w:val="auto"/>
              </w:rPr>
              <w:t>The warranty reserve activity consisted of the following (in thousands):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6"/>
              </w:rPr>
              <w:t>Fiscal</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8"/>
              </w:rPr>
              <w:t>Quarter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2"/>
              </w:rPr>
              <w:t>Year</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Ended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8"/>
              </w:rPr>
              <w:t>April 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9"/>
              </w:rPr>
              <w:t>December</w:t>
            </w:r>
          </w:p>
        </w:tc>
        <w:tc>
          <w:tcPr>
            <w:tcW w:w="0" w:type="dxa"/>
            <w:vAlign w:val="bottom"/>
          </w:tcPr>
          <w:p>
            <w:pPr>
              <w:spacing w:after="0"/>
              <w:rPr>
                <w:sz w:val="1"/>
                <w:szCs w:val="1"/>
                <w:color w:val="auto"/>
              </w:rPr>
            </w:pPr>
          </w:p>
        </w:tc>
      </w:tr>
      <w:tr>
        <w:trPr>
          <w:trHeight w:val="234"/>
        </w:trPr>
        <w:tc>
          <w:tcPr>
            <w:tcW w:w="808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31, 2020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the beginning of the period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20"/>
              <w:spacing w:after="0"/>
              <w:rPr>
                <w:sz w:val="20"/>
                <w:szCs w:val="20"/>
                <w:color w:val="auto"/>
              </w:rPr>
            </w:pPr>
            <w:r>
              <w:rPr>
                <w:rFonts w:ascii="Arial" w:cs="Arial" w:eastAsia="Arial" w:hAnsi="Arial"/>
                <w:sz w:val="18"/>
                <w:szCs w:val="18"/>
                <w:color w:val="auto"/>
              </w:rPr>
              <w:t>Accruals for warranties issued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1,706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3,966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Warranty liabilities assumed in GLI Acquisition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Less: Settlements made (in cash or in kind)</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(1,077)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(4,048)</w:t>
            </w:r>
          </w:p>
        </w:tc>
        <w:tc>
          <w:tcPr>
            <w:tcW w:w="0" w:type="dxa"/>
            <w:vAlign w:val="bottom"/>
          </w:tcPr>
          <w:p>
            <w:pPr>
              <w:spacing w:after="0"/>
              <w:rPr>
                <w:sz w:val="1"/>
                <w:szCs w:val="1"/>
                <w:color w:val="auto"/>
              </w:rPr>
            </w:pPr>
          </w:p>
        </w:tc>
      </w:tr>
      <w:tr>
        <w:trPr>
          <w:trHeight w:val="209"/>
        </w:trPr>
        <w:tc>
          <w:tcPr>
            <w:tcW w:w="8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the end of the period</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3,511</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Less: Current portion of accrued warranty costs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(3,313)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(2,705)</w:t>
            </w:r>
          </w:p>
        </w:tc>
        <w:tc>
          <w:tcPr>
            <w:tcW w:w="0" w:type="dxa"/>
            <w:vAlign w:val="bottom"/>
          </w:tcPr>
          <w:p>
            <w:pPr>
              <w:spacing w:after="0"/>
              <w:rPr>
                <w:sz w:val="1"/>
                <w:szCs w:val="1"/>
                <w:color w:val="auto"/>
              </w:rPr>
            </w:pPr>
          </w:p>
        </w:tc>
      </w:tr>
      <w:tr>
        <w:trPr>
          <w:trHeight w:val="223"/>
        </w:trPr>
        <w:tc>
          <w:tcPr>
            <w:tcW w:w="8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warranty costs – less current portion</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Arial" w:cs="Arial" w:eastAsia="Arial" w:hAnsi="Arial"/>
                <w:sz w:val="18"/>
                <w:szCs w:val="18"/>
                <w:b w:val="1"/>
                <w:bCs w:val="1"/>
                <w:color w:val="auto"/>
              </w:rPr>
              <w:t>10. NET SALES</w:t>
            </w: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80" w:type="dxa"/>
            <w:vAlign w:val="bottom"/>
          </w:tcPr>
          <w:p>
            <w:pPr>
              <w:ind w:left="340"/>
              <w:spacing w:after="0"/>
              <w:rPr>
                <w:sz w:val="20"/>
                <w:szCs w:val="20"/>
                <w:color w:val="auto"/>
              </w:rPr>
            </w:pPr>
            <w:r>
              <w:rPr>
                <w:rFonts w:ascii="Arial" w:cs="Arial" w:eastAsia="Arial" w:hAnsi="Arial"/>
                <w:sz w:val="18"/>
                <w:szCs w:val="18"/>
                <w:color w:val="auto"/>
                <w:w w:val="94"/>
              </w:rPr>
              <w:t>The following table sets forth the Company’s disaggregation of net sales by product line (in thousands):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7"/>
          </w:tcPr>
          <w:p>
            <w:pPr>
              <w:jc w:val="right"/>
              <w:ind w:right="640"/>
              <w:spacing w:after="0"/>
              <w:rPr>
                <w:sz w:val="20"/>
                <w:szCs w:val="20"/>
                <w:color w:val="auto"/>
              </w:rPr>
            </w:pPr>
            <w:r>
              <w:rPr>
                <w:rFonts w:ascii="Arial" w:cs="Arial" w:eastAsia="Arial" w:hAnsi="Arial"/>
                <w:sz w:val="18"/>
                <w:szCs w:val="18"/>
                <w:b w:val="1"/>
                <w:bCs w:val="1"/>
                <w:color w:val="auto"/>
              </w:rPr>
              <w:t>Fiscal Quarter Ended,</w:t>
            </w:r>
          </w:p>
        </w:tc>
        <w:tc>
          <w:tcPr>
            <w:tcW w:w="0" w:type="dxa"/>
            <w:vAlign w:val="bottom"/>
          </w:tcPr>
          <w:p>
            <w:pPr>
              <w:spacing w:after="0"/>
              <w:rPr>
                <w:sz w:val="1"/>
                <w:szCs w:val="1"/>
                <w:color w:val="auto"/>
              </w:rPr>
            </w:pPr>
          </w:p>
        </w:tc>
      </w:tr>
      <w:tr>
        <w:trPr>
          <w:trHeight w:val="223"/>
        </w:trPr>
        <w:tc>
          <w:tcPr>
            <w:tcW w:w="8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94"/>
              </w:rPr>
              <w:t>April 3, 2021</w:t>
            </w:r>
          </w:p>
        </w:tc>
        <w:tc>
          <w:tcPr>
            <w:tcW w:w="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3"/>
              </w:rPr>
              <w:t>March 28, 2020</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In-ground Swimming Pools</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93,643</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29,458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20"/>
              <w:spacing w:after="0"/>
              <w:rPr>
                <w:sz w:val="20"/>
                <w:szCs w:val="20"/>
                <w:color w:val="auto"/>
              </w:rPr>
            </w:pPr>
            <w:r>
              <w:rPr>
                <w:rFonts w:ascii="Arial" w:cs="Arial" w:eastAsia="Arial" w:hAnsi="Arial"/>
                <w:sz w:val="18"/>
                <w:szCs w:val="18"/>
                <w:color w:val="auto"/>
              </w:rPr>
              <w:t>Covers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24,006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11,011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Liners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31,097</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10,665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148,746</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51,134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effective income tax rate for the fiscal quarter ended April 3, 2021 was 25.26%, compared to 16.34% for the fiscal quarter ended March 28, 2020. The difference between the U.S. federal statutory income tax rate and our effective income tax rate for the tax expense during the fiscal quarter ended April 3, 2021 was impacted primarily by state income tax expense. The difference between the U.S. federal statutory income tax rate and our effective income tax rate for the tax benefit during the fiscal quarter ended March 28, 2020 was primarily attributable to the benefit related to the year-to-date foreign losses in Canada.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PROFITS INTEREST UNITS</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On January 29, 2021 an employee holder of profits interest units terminated his employment with the Company, at which time all 1,055,057 of his performance-vesting units were forfeited. At the time of his termination, the employee held 527,528 of time-vesting units, of which 211,011 time-vesting units were vested. Per the terms of his termination agreement, the Company accelerated the vesting of an additional 105,506 time-vesting units, such that the total time-vesting units vested were equal to 316,517 upon his termination and the remaining 211,011 of unvested time-vesting units were forfeited upon his termination. As the employee’s profits interest units had not vested from an accounting perspective, the retention and immediate vesting of the retained time-vesting units was accounted for as a cancellation of the original award and a new grant under the revised terms. A cumulative catch-up charge of $1.1 million was recorded during the fiscal quarter ended April 3, 2021 to reflect the incremental fair value of the awards as of the date of the modification, as compared to the grant-date fair value.</w:t>
      </w:r>
    </w:p>
    <w:p>
      <w:pPr>
        <w:spacing w:after="0" w:line="178"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The effective income tax rate for the fiscal quarter ended April 3, 2021 was 25.26%, compared to 16.34% for the fiscal quarter ended March 28, 2020. The difference between the U.S. federal statutory income tax rate and our effective income tax rate for the fiscal quarter ended April 3, 2021 was impacted primarily by state income tax expense . The difference between the U.S. federal statutory income tax rate and our effective income tax rate for the fiscal quarter ended March 28, 2020 was impacted by a variety of factors, primarily attributable to the benefit related to the year-to-date foreign losses in Canada.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INCOME (LOSS) PER SHARE</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Basic and diluted net income (loss) per share attributable to common stockholders was calculated as follows (in thousands, except share and per share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gridSpan w:val="6"/>
          </w:tcPr>
          <w:p>
            <w:pPr>
              <w:jc w:val="right"/>
              <w:ind w:right="561"/>
              <w:spacing w:after="0"/>
              <w:rPr>
                <w:sz w:val="20"/>
                <w:szCs w:val="20"/>
                <w:color w:val="auto"/>
              </w:rPr>
            </w:pPr>
            <w:r>
              <w:rPr>
                <w:rFonts w:ascii="Arial" w:cs="Arial" w:eastAsia="Arial" w:hAnsi="Arial"/>
                <w:sz w:val="18"/>
                <w:szCs w:val="18"/>
                <w:b w:val="1"/>
                <w:bCs w:val="1"/>
                <w:color w:val="auto"/>
              </w:rPr>
              <w:t>Fiscal Quarter Ended,</w:t>
            </w:r>
          </w:p>
        </w:tc>
      </w:tr>
      <w:tr>
        <w:trPr>
          <w:trHeight w:val="223"/>
        </w:trPr>
        <w:tc>
          <w:tcPr>
            <w:tcW w:w="7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April 3, 2021</w:t>
            </w:r>
          </w:p>
        </w:tc>
        <w:tc>
          <w:tcPr>
            <w:tcW w:w="1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3"/>
              </w:rPr>
              <w:t>March 28, 2020</w:t>
            </w:r>
          </w:p>
        </w:tc>
        <w:tc>
          <w:tcPr>
            <w:tcW w:w="100" w:type="dxa"/>
            <w:vAlign w:val="bottom"/>
          </w:tcPr>
          <w:p>
            <w:pPr>
              <w:spacing w:after="0"/>
              <w:rPr>
                <w:sz w:val="19"/>
                <w:szCs w:val="19"/>
                <w:color w:val="auto"/>
              </w:rPr>
            </w:pPr>
          </w:p>
        </w:tc>
      </w:tr>
      <w:tr>
        <w:trPr>
          <w:trHeight w:val="210"/>
        </w:trPr>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1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60" w:type="dxa"/>
            <w:vAlign w:val="bottom"/>
          </w:tcPr>
          <w:p>
            <w:pPr>
              <w:ind w:left="180"/>
              <w:spacing w:after="0"/>
              <w:rPr>
                <w:sz w:val="20"/>
                <w:szCs w:val="20"/>
                <w:color w:val="auto"/>
              </w:rPr>
            </w:pPr>
            <w:r>
              <w:rPr>
                <w:rFonts w:ascii="Arial" w:cs="Arial" w:eastAsia="Arial" w:hAnsi="Arial"/>
                <w:sz w:val="18"/>
                <w:szCs w:val="18"/>
                <w:color w:val="auto"/>
              </w:rPr>
              <w:t>Net income (loss) attributable to common stockholders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8,533</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(15,451)</w:t>
            </w:r>
          </w:p>
        </w:tc>
      </w:tr>
      <w:tr>
        <w:trPr>
          <w:trHeight w:val="216"/>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7160" w:type="dxa"/>
            <w:vAlign w:val="bottom"/>
          </w:tcPr>
          <w:p>
            <w:pPr>
              <w:ind w:left="180"/>
              <w:spacing w:after="0"/>
              <w:rPr>
                <w:sz w:val="20"/>
                <w:szCs w:val="20"/>
                <w:color w:val="auto"/>
              </w:rPr>
            </w:pPr>
            <w:r>
              <w:rPr>
                <w:rFonts w:ascii="Arial" w:cs="Arial" w:eastAsia="Arial" w:hAnsi="Arial"/>
                <w:sz w:val="18"/>
                <w:szCs w:val="18"/>
                <w:color w:val="auto"/>
              </w:rPr>
              <w:t>Weighted-average common shares outstanding, basic and diluted</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109,673,709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w w:val="99"/>
              </w:rPr>
              <w:t>109,673,709</w:t>
            </w:r>
          </w:p>
        </w:tc>
      </w:tr>
      <w:tr>
        <w:trPr>
          <w:trHeight w:val="223"/>
        </w:trPr>
        <w:tc>
          <w:tcPr>
            <w:tcW w:w="7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per share attributable to common stockholders, basic and diluted</w:t>
            </w: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potentially dilutive securities outstanding during the fiscal quarters ended April 3, 2021 or March 28, 2020.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BrightAI Services</w:t>
      </w:r>
    </w:p>
    <w:p>
      <w:pPr>
        <w:spacing w:after="0" w:line="225" w:lineRule="exact"/>
        <w:rPr>
          <w:sz w:val="20"/>
          <w:szCs w:val="20"/>
          <w:color w:val="auto"/>
        </w:rPr>
      </w:pPr>
    </w:p>
    <w:p>
      <w:pPr>
        <w:ind w:right="100" w:firstLine="360"/>
        <w:spacing w:after="0" w:line="275" w:lineRule="auto"/>
        <w:rPr>
          <w:sz w:val="20"/>
          <w:szCs w:val="20"/>
          <w:color w:val="auto"/>
        </w:rPr>
      </w:pPr>
      <w:r>
        <w:rPr>
          <w:rFonts w:ascii="Arial" w:cs="Arial" w:eastAsia="Arial" w:hAnsi="Arial"/>
          <w:sz w:val="17"/>
          <w:szCs w:val="17"/>
          <w:color w:val="auto"/>
        </w:rPr>
        <w:t>Starting in 2020, BrightAI rendered services to the Company, for which the cost was capitalized as internal-use software. A co-founder of BrightAI Services has served on the Company’s board of directors since December 9, 2020. During the fiscal quarter ended April 3, 2021 and the year ended December 31, 2020, the Company incurred $0.5 million and $0.5 million, respectively, associated with services performed by BrightAI, which is recorded as construction in progress within property and equipment, net and accounts payable — related party on the condensed consolidated balance sheets as of April 3, 2021. There were no services rendered by BrightAI during the fiscal quarter ended March 28,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Treasury Stock</w:t>
      </w:r>
    </w:p>
    <w:p>
      <w:pPr>
        <w:spacing w:after="0" w:line="225" w:lineRule="exact"/>
        <w:rPr>
          <w:sz w:val="20"/>
          <w:szCs w:val="20"/>
          <w:color w:val="auto"/>
        </w:rPr>
      </w:pPr>
    </w:p>
    <w:p>
      <w:pPr>
        <w:ind w:firstLine="360"/>
        <w:spacing w:after="0" w:line="263" w:lineRule="auto"/>
        <w:rPr>
          <w:sz w:val="20"/>
          <w:szCs w:val="20"/>
          <w:color w:val="auto"/>
        </w:rPr>
      </w:pPr>
      <w:r>
        <w:rPr>
          <w:rFonts w:ascii="Arial" w:cs="Arial" w:eastAsia="Arial" w:hAnsi="Arial"/>
          <w:sz w:val="18"/>
          <w:szCs w:val="18"/>
          <w:color w:val="auto"/>
        </w:rPr>
        <w:t>On October 14 and 20, 2020, Parent contributed an aggregate of $64.9 million to the Company in exchange for an aggregate of 32,902,113 shares of the Company’s common stock. On December 28, 2020, the Company repurchased and retired those 32,902,113 shares in exchange for a note payable in the amount of $64.9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 Reimbursement and Management Fees</w:t>
      </w:r>
    </w:p>
    <w:p>
      <w:pPr>
        <w:spacing w:after="0" w:line="225" w:lineRule="exact"/>
        <w:rPr>
          <w:sz w:val="20"/>
          <w:szCs w:val="20"/>
          <w:color w:val="auto"/>
        </w:rPr>
      </w:pPr>
    </w:p>
    <w:p>
      <w:pPr>
        <w:ind w:right="320" w:firstLine="360"/>
        <w:spacing w:after="0" w:line="259" w:lineRule="auto"/>
        <w:rPr>
          <w:sz w:val="20"/>
          <w:szCs w:val="20"/>
          <w:color w:val="auto"/>
        </w:rPr>
      </w:pPr>
      <w:r>
        <w:rPr>
          <w:rFonts w:ascii="Arial" w:cs="Arial" w:eastAsia="Arial" w:hAnsi="Arial"/>
          <w:sz w:val="18"/>
          <w:szCs w:val="18"/>
          <w:color w:val="auto"/>
        </w:rPr>
        <w:t>The Company had an expense reimbursement agreement (the “management fee arrangement”) with the Sponsor and Wynnchurch Capital, L.P. for ongoing consulting and advisory services. The management fee arrangement provided for the aggregate payment of up to $1.0 million each year for reimbursement of expenses incurred with services provided and, depending on the extent of services provided, management fees. The management fee arrangement terminated upon consummation of the Company’s IPO.</w:t>
      </w:r>
    </w:p>
    <w:p>
      <w:pPr>
        <w:spacing w:after="0" w:line="187"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There were no management fees incurred by the Company during the fiscal quarters ended April 3, 2021 and March 28, 2020. As of April 3, 2021 and March 28, 2020, there were no outstanding amounts payable to the Sponsor and Wynnchurch Capital, L.P.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w:t>
      </w:r>
    </w:p>
    <w:p>
      <w:pPr>
        <w:spacing w:after="0" w:line="225" w:lineRule="exact"/>
        <w:rPr>
          <w:sz w:val="20"/>
          <w:szCs w:val="20"/>
          <w:color w:val="auto"/>
        </w:rPr>
      </w:pPr>
    </w:p>
    <w:p>
      <w:pPr>
        <w:ind w:right="180" w:firstLine="324"/>
        <w:spacing w:after="0" w:line="296" w:lineRule="auto"/>
        <w:rPr>
          <w:sz w:val="20"/>
          <w:szCs w:val="20"/>
          <w:color w:val="auto"/>
        </w:rPr>
      </w:pPr>
      <w:r>
        <w:rPr>
          <w:rFonts w:ascii="Arial" w:cs="Arial" w:eastAsia="Arial" w:hAnsi="Arial"/>
          <w:sz w:val="16"/>
          <w:szCs w:val="16"/>
          <w:color w:val="auto"/>
        </w:rPr>
        <w:t>In May 2019, in connection with the Narellan Acquisition, the Company assumed an operating lease for the manufacture, sale and storage of swimming pools and associated equipment with Acquigen Pty Ltd, which is owned by an employee who is also a shareholder of the Company. The lease expires in June 2028. As of April 3, 2021 and December 31, 2020, future minimum lease payments totaled $3.7 million and $4.2 million, respectively, related to this lease. The Company recognized $0.1 million of rent expense related to this lease during each of the fiscal quarters ended April 3, 2021 and March 28, 2020, which is recognized within selling, general and administrative expense on the condensed consolidated statements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AND GEOGRAPHIC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During 2020, the Company made operational changes in how its CODM manages the business including organizational alignment, performance assessment and resource allocation. The segment disclosure is based on the intention to provide the users of the financial statements with a view of the business from the Company’s perspective. The Company conducts its business as one operating and reportable segment that designs, manufactures and markets in-ground swimming pools, liners and covers.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Net sales by geography is based on the delivery address of the customer as specified in purchase order. Net sales by geographic area was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ind w:left="460"/>
              <w:spacing w:after="0"/>
              <w:rPr>
                <w:sz w:val="20"/>
                <w:szCs w:val="20"/>
                <w:color w:val="auto"/>
              </w:rPr>
            </w:pPr>
            <w:r>
              <w:rPr>
                <w:rFonts w:ascii="Arial" w:cs="Arial" w:eastAsia="Arial" w:hAnsi="Arial"/>
                <w:sz w:val="18"/>
                <w:szCs w:val="18"/>
                <w:b w:val="1"/>
                <w:bCs w:val="1"/>
                <w:color w:val="auto"/>
                <w:w w:val="92"/>
              </w:rPr>
              <w:t>Fiscal Quarter Ended</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rPr>
              <w:t>April 3, 2021</w:t>
            </w:r>
          </w:p>
        </w:tc>
        <w:tc>
          <w:tcPr>
            <w:tcW w:w="16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March 28, 2020</w:t>
            </w:r>
          </w:p>
        </w:tc>
        <w:tc>
          <w:tcPr>
            <w:tcW w:w="100" w:type="dxa"/>
            <w:vAlign w:val="bottom"/>
          </w:tcPr>
          <w:p>
            <w:pPr>
              <w:spacing w:after="0"/>
              <w:rPr>
                <w:sz w:val="19"/>
                <w:szCs w:val="19"/>
                <w:color w:val="auto"/>
              </w:rPr>
            </w:pPr>
          </w:p>
        </w:tc>
      </w:tr>
      <w:tr>
        <w:trPr>
          <w:trHeight w:val="209"/>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119,070</w:t>
            </w:r>
          </w:p>
        </w:tc>
        <w:tc>
          <w:tcPr>
            <w:tcW w:w="8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39,006</w:t>
            </w: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Canada</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21,115</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5,942</w:t>
            </w: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Australia</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5,750</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4,117</w:t>
            </w: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New Zealand</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1,756</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w:t>
            </w:r>
          </w:p>
        </w:tc>
      </w:tr>
      <w:tr>
        <w:trPr>
          <w:trHeight w:val="230"/>
        </w:trPr>
        <w:tc>
          <w:tcPr>
            <w:tcW w:w="4740" w:type="dxa"/>
            <w:vAlign w:val="bottom"/>
          </w:tcPr>
          <w:p>
            <w:pPr>
              <w:ind w:left="180"/>
              <w:spacing w:after="0"/>
              <w:rPr>
                <w:sz w:val="20"/>
                <w:szCs w:val="20"/>
                <w:color w:val="auto"/>
              </w:rPr>
            </w:pPr>
            <w:r>
              <w:rPr>
                <w:rFonts w:ascii="Arial" w:cs="Arial" w:eastAsia="Arial" w:hAnsi="Arial"/>
                <w:sz w:val="18"/>
                <w:szCs w:val="18"/>
                <w:color w:val="auto"/>
              </w:rPr>
              <w:t>Other</w:t>
            </w:r>
          </w:p>
        </w:tc>
        <w:tc>
          <w:tcPr>
            <w:tcW w:w="3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1,055</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1,422</w:t>
            </w:r>
          </w:p>
        </w:tc>
      </w:tr>
      <w:tr>
        <w:trPr>
          <w:trHeight w:val="223"/>
        </w:trPr>
        <w:tc>
          <w:tcPr>
            <w:tcW w:w="47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6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148,746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51,134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long-lived assets by geographic area, which consist of property and equipment, net assets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w:t>
            </w:r>
          </w:p>
        </w:tc>
      </w:tr>
      <w:tr>
        <w:trPr>
          <w:trHeight w:val="234"/>
        </w:trPr>
        <w:tc>
          <w:tcPr>
            <w:tcW w:w="4840" w:type="dxa"/>
            <w:vAlign w:val="bottom"/>
            <w:tcBorders>
              <w:bottom w:val="single" w:sz="8" w:color="CCEEFF"/>
            </w:tcBorders>
          </w:tcPr>
          <w:p>
            <w:pPr>
              <w:spacing w:after="0"/>
              <w:rPr>
                <w:sz w:val="20"/>
                <w:szCs w:val="20"/>
                <w:color w:val="auto"/>
              </w:rPr>
            </w:pPr>
          </w:p>
        </w:tc>
        <w:tc>
          <w:tcPr>
            <w:tcW w:w="35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31, 2020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Long-lived assets</w:t>
            </w:r>
          </w:p>
        </w:tc>
        <w:tc>
          <w:tcPr>
            <w:tcW w:w="3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7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41,458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37,680</w:t>
            </w:r>
          </w:p>
        </w:tc>
        <w:tc>
          <w:tcPr>
            <w:tcW w:w="80" w:type="dxa"/>
            <w:vAlign w:val="bottom"/>
          </w:tcPr>
          <w:p>
            <w:pPr>
              <w:spacing w:after="0"/>
              <w:rPr>
                <w:sz w:val="18"/>
                <w:szCs w:val="18"/>
                <w:color w:val="auto"/>
              </w:rPr>
            </w:pP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Canada</w:t>
            </w:r>
          </w:p>
        </w:tc>
        <w:tc>
          <w:tcPr>
            <w:tcW w:w="3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2,899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3,050</w:t>
            </w:r>
          </w:p>
        </w:tc>
        <w:tc>
          <w:tcPr>
            <w:tcW w:w="80" w:type="dxa"/>
            <w:vAlign w:val="bottom"/>
            <w:shd w:val="clear" w:color="auto" w:fill="CCEEFF"/>
          </w:tcPr>
          <w:p>
            <w:pPr>
              <w:spacing w:after="0"/>
              <w:rPr>
                <w:sz w:val="18"/>
                <w:szCs w:val="18"/>
                <w:color w:val="auto"/>
              </w:rPr>
            </w:pP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rPr>
              <w:t>Australia</w:t>
            </w:r>
          </w:p>
        </w:tc>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4,582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4,979</w:t>
            </w:r>
          </w:p>
        </w:tc>
        <w:tc>
          <w:tcPr>
            <w:tcW w:w="80" w:type="dxa"/>
            <w:vAlign w:val="bottom"/>
          </w:tcPr>
          <w:p>
            <w:pPr>
              <w:spacing w:after="0"/>
              <w:rPr>
                <w:sz w:val="18"/>
                <w:szCs w:val="18"/>
                <w:color w:val="auto"/>
              </w:rPr>
            </w:pPr>
          </w:p>
        </w:tc>
      </w:tr>
      <w:tr>
        <w:trPr>
          <w:trHeight w:val="229"/>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New Zealand</w:t>
            </w:r>
          </w:p>
        </w:tc>
        <w:tc>
          <w:tcPr>
            <w:tcW w:w="3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1,666</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1,648</w:t>
            </w:r>
          </w:p>
        </w:tc>
        <w:tc>
          <w:tcPr>
            <w:tcW w:w="80" w:type="dxa"/>
            <w:vAlign w:val="bottom"/>
            <w:shd w:val="clear" w:color="auto" w:fill="CCEEFF"/>
          </w:tcPr>
          <w:p>
            <w:pPr>
              <w:spacing w:after="0"/>
              <w:rPr>
                <w:sz w:val="19"/>
                <w:szCs w:val="19"/>
                <w:color w:val="auto"/>
              </w:rPr>
            </w:pPr>
          </w:p>
        </w:tc>
      </w:tr>
      <w:tr>
        <w:trPr>
          <w:trHeight w:val="223"/>
        </w:trPr>
        <w:tc>
          <w:tcPr>
            <w:tcW w:w="4840" w:type="dxa"/>
            <w:vAlign w:val="bottom"/>
          </w:tcPr>
          <w:p>
            <w:pPr>
              <w:ind w:left="360"/>
              <w:spacing w:after="0"/>
              <w:rPr>
                <w:sz w:val="20"/>
                <w:szCs w:val="20"/>
                <w:color w:val="auto"/>
              </w:rPr>
            </w:pPr>
            <w:r>
              <w:rPr>
                <w:rFonts w:ascii="Arial" w:cs="Arial" w:eastAsia="Arial" w:hAnsi="Arial"/>
                <w:sz w:val="18"/>
                <w:szCs w:val="18"/>
                <w:color w:val="auto"/>
              </w:rPr>
              <w:t>Total</w:t>
            </w:r>
          </w:p>
        </w:tc>
        <w:tc>
          <w:tcPr>
            <w:tcW w:w="35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50,605</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47,357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2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connection with the Company’s IPO, on April 12, 2021, the Company’s stockholders approved the 2021 Omnibus Incentive Plan (the ‘‘Omnibus Incentive Plan’’), which became effective on April 22, 2021, the date on which the Registration Statement was declared effective. The Omnibus Incentive Plan provides for the issuance of incentive stock options, non-qualified stock options, stock appreciation rights, restricted stock, restricted stock units and other stock-based and cash-based awards. The maximum aggregate number of shares reserved for issuance under the Omnibus Incentive Plan is 13,170,212 shares. The maximum grant date fair value of cash and equity awards that may be awarded to a non-employee director under the Omnibus Incentive Plan during any one fiscal year, together with any cash fees paid to such non-employee director during such fiscal year, will be $750 thousand. If any award granted under the Omnibus Incentive Plan expires, terminates, or is canceled or forfeited without being settled, vested or exercised, shares of the Company's common stock subject to such award will again be made available for future grants. Any shares that are surrendered or tendered to pay the exercise price of an award or to satisfy withholding taxes owed, or any shares reserved for issuance, but not issued, with respect to settlement of a stock appreciation right, will not again be available for grant under the Omnibus Incentive Plan.</w:t>
      </w:r>
    </w:p>
    <w:p>
      <w:pPr>
        <w:spacing w:after="0" w:line="16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 April 13, 2021, the Company’s certificate of incorporation was amended, which amended and restated certain terms of the certificate of incorporation. Under the amended certificate of incorporation, the Company had authority to issue 500,000,000 shares of common stock, par value $0.0001 per share. On April 12, 2021, the Company’s board of directors declared and on April 13, 2021, the Company effected a 109,673.709-for-one stock split of its issued and outstanding shares of common stock. Accordingly, all share and per share data included in these unaudited condensed consolidated financial statements and notes thereto have been adjusted retroactively to reflect the impact of the amended certificate of incorporation and the stock split.</w:t>
      </w:r>
    </w:p>
    <w:p>
      <w:pPr>
        <w:spacing w:after="0" w:line="16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Contemporaneous with the pricing of the Company’s IPO, on April 22, 2021 the Company granted 8,340,126 of restricted stock awards, 341,301 of restricted stock units and 886,862 of option awards under the Omnibus Incentive Plan to employees of the Company. Of the 8,340,126 restricted stock awards granted, (i) 6,799,414 vest every six months in equal installments beginning on December 27, 2021 and ending on December 27, 2023, and (ii) 1,540,712 vest every six months in equal installments, beginning on December 27, 2021 and ending on December 27, 2024. Of the 341,301 restricted stock unit awards granted, (i) 251,828 vest 1/3 on the nine-month anniversary of April 27, 2021 (“the closing of the IPO”), 1/3 on the first anniversary of the closing of the IPO, and 1/3 on the two-year anniversary of the closing of the IPO; (ii) 22,367 vest on the first anniversary of the closing of the IPO; (iii) 51,316 vest on the nine-month anniversary of the closing of the IPO; and (iv) 15,790 vest evenly on each of the first three anniversaries of the closing of the IPO. All 886,862 of the option awards vest 25% annually on each of the first four anniversaries of the closing of the IPO. The option awards were granted with a strike price of $19.00 per share. The tax effects of the Omnibus Incentive Plan have not been considered as part of tax expense for the fiscal quarter ended April 3, 2021. On May 24, 2021, the compensation committee accelerated the vesting of 84,687 shares of restricted stock, which resulted in the Company recording stock-based compensation expense of $1.6 million related to the acceleration.</w:t>
      </w:r>
    </w:p>
    <w:p>
      <w:pPr>
        <w:spacing w:after="0" w:line="18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April 22, 2021, the Company’s certificate of incorporation was further amended and restated to, among other things, increase the authorized shares to 1,000,000,000, of which 900,000,000 are shares of common stock, par value $0.0001 per share and 100,000,000 are shares of preferred stock, par value 0.0001 per share.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our condensed consolidated financial statements and related notes appearing elsewhere in this Quarterly Report on Form 10-Q and our final prospectus for our initial public offering filed pursuant to Rule 424(b)(4) under the Securities Act of 1933, as amended, or the Securities Act, with the Securities and Exchange Commission, or SEC, on April 26, 2021 (the “Prospectus”).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This discussion contains forward-looking statements that involve risk, assumptions and uncertainties, such as statements of our plans, objectives, expectations, intentions and forecasts. These forward-looking statements are generally identified by the use of forward-looking terminology, including the terms “anticipate,” “believe,” “confident,” “continue,” “could,” “estimate,” “expect,” “intend,” “likely,” “may,” “plan,” “possible,” “potential,” “predict,” “project,” “should,” “target,” “will,” “would” and, in each case, their negative or other various or comparable terminology. Our actual results and the timing of selected events could differ materially from those discussed in these forward-looking statements as a result of several factors, including those set forth under the section of this Quarterly Report on Form 10-Q titled “Risk Factors” and elsewhere in this Quarterly Report on Form 10-Q.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our results to vary from expectations include, but are not limited to secular shifts in consumer demand for swimming pools and spending on outdoor living spaces; slow pace of material conversion from concrete pools to fiberglass pools in the pool industry; general economic conditions and uncertainties affecting markets in which we operate and economic volatility that could adversely impact our business, including the COVID-19 pandemic; changes in access to consumer credit or increases in interest rates impacting consumers’ ability to finance their purchases of pools; the impact of weather on our business; our ability to attract new customers and retain existing customers; our ability to sustain further growth and to manage it effectively; the ability of our suppliers to continue to deliver the quantity or quality of materials sufficient to meet our needs to manufacture our products; the availability and cost of third-party transportation services for our products and raw materials; product quality issues; our ability to successfully defend litigation brought against us; our ability to adequately obtain, maintain, protect and enforce our intellectual property and proprietary rights and claims of intellectual property and proprietary right infringement, misappropriation or other violation by competitors and third parties; failure to hire and retain qualified employees and personnel; exposure to risks associated with international sales and operations, including foreign currency exchange rates, corruption and instability; security breaches, cyber-attacks and other interruptions to our and our third-party service providers’ technological and physical infrastructures; catastrophic events, including war, terrorism and other international conflicts, public health issues or natural catastrophes and accidents; risk of increased regulation of our operations, particularly related to environmental laws; fluctuations in our operating results; inability to compete successfully against current and future competitors; and other risks, uncertainties and factors set forth in this Quarterly Report on Form 10-Q, including those set forth under section titled “Risk Factors.” These forward-looking statements reflect our views with respect to future events as of the date of this Quarterly Report on Form 10-Q and are based on assumptions and subject to risks and uncertainties. Given these uncertainties, you should not place undue reliance on these forward-looking statements. These forward-looking statements represent our estimates and assumptions only as of the date of this Quarterly Report on Form 10-Q and, except as required by law, we undertake no obligation to update or review publicly any forward-looking statements, whether as a result of new information, future events or otherwise after the date of this Quarterly Report on Form 10-Q. We anticipate that subsequent events and developments will cause our views to change. You should read this Quarterly Report on Form 10-Q completely and with the understanding that our actual future results may be materially different from what we expect. Our forward-looking statements do not reflect the potential impact of any future acquisitions, merger, dispositions, joint ventures or investments we may undertake. We qualify all of our forward-looking statements by these cautionary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260" w:firstLine="324"/>
        <w:spacing w:after="0" w:line="311" w:lineRule="auto"/>
        <w:rPr>
          <w:sz w:val="20"/>
          <w:szCs w:val="20"/>
          <w:color w:val="auto"/>
        </w:rPr>
      </w:pPr>
      <w:r>
        <w:rPr>
          <w:rFonts w:ascii="Arial" w:cs="Arial" w:eastAsia="Arial" w:hAnsi="Arial"/>
          <w:sz w:val="16"/>
          <w:szCs w:val="16"/>
          <w:color w:val="auto"/>
        </w:rPr>
        <w:t>We are the largest designer, manufacturer and marketer of in-ground residential swimming pools in North America, Australia and New Zealand. We hold the #1 market position in North America in every product category in which we compete. We believe that we are the most sought-after brand in the pool industry and the only pool company that has established a direct relationship with the homeowner. We are Latham, The Pool Company.</w:t>
      </w:r>
    </w:p>
    <w:p>
      <w:pPr>
        <w:spacing w:after="0" w:line="149"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With an operating history that spans over 65 years, we offer the industry’s broadest portfolio of pools and related products, including in-ground swimming pools, pool liners and pool covers.</w:t>
      </w:r>
    </w:p>
    <w:p>
      <w:pPr>
        <w:spacing w:after="0" w:line="170"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We have a heritage of innovation. In an industry that has traditionally marketed on a business-to-business basis (pool manufacturer to dealer), we pioneered the first “direct-to-homeowner” digital and social marketing strategy that has transformed the homeowner’s purchase journey. Through this marketing strategy, we are able to create demand for our pools and generate and provide high quality, purchase-ready consumer leads to our dealer partners.</w:t>
      </w:r>
    </w:p>
    <w:p>
      <w:pPr>
        <w:spacing w:after="0" w:line="149"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Partnership with our dealers is integral to our collective success, and we have enjoyed long-tenured relationships averaging over 14 years. In 2020, we sold to over 6,000 dealers; we also entered into a new and exclusive long-term strategic partnership with the nation’s largest franchised dealer network. We support our dealer network with business development tools, co-branded marketing programs and in-house training, as well as a coast-to-coast operations platform consisting of over 2,000 employees across 32 facilities. The broad geographic reach of our manufacturing and distribution network allows us to deliver a fiberglass pool in a cost-effective manner to approximately 95% of the U.S. population in two days. No other competitor in the residential in-ground swimming pool industry has more than three manufacturing facilities.</w:t>
      </w:r>
    </w:p>
    <w:p>
      <w:pPr>
        <w:spacing w:after="0" w:line="178"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full resources of our company are dedicated to designing and manufacturing high-quality pool products with the homeowner in mind, and positioning ourselves as a value-added partner to our dealers.</w:t>
      </w:r>
    </w:p>
    <w:p>
      <w:pPr>
        <w:spacing w:after="0" w:line="170"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We conduct our business as one operating and reportable segment that designs, manufactures and markets in-ground swimming pools, liners and covers.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Highlights for the fiscal quarter ended April 3, 2021</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Increase in net sales of 190.9%, or $97.6 million, to $148.7 million for the fiscal quarter ended April 3, 2021, compared to $51.1 million for the</w:t>
      </w:r>
    </w:p>
    <w:p>
      <w:pPr>
        <w:sectPr>
          <w:pgSz w:w="11900" w:h="16845" w:orient="portrait"/>
          <w:cols w:equalWidth="0" w:num="1">
            <w:col w:w="11240"/>
          </w:cols>
          <w:pgMar w:left="320" w:top="904" w:right="339" w:bottom="0" w:gutter="0" w:footer="0" w:header="0"/>
        </w:sectPr>
      </w:pPr>
    </w:p>
    <w:bookmarkStart w:id="23" w:name="page24"/>
    <w:bookmarkEnd w:id="23"/>
    <w:p>
      <w:pPr>
        <w:ind w:left="660"/>
        <w:spacing w:after="0"/>
        <w:rPr>
          <w:sz w:val="20"/>
          <w:szCs w:val="20"/>
          <w:color w:val="auto"/>
        </w:rPr>
      </w:pPr>
      <w:r>
        <w:rPr>
          <w:rFonts w:ascii="Arial" w:cs="Arial" w:eastAsia="Arial" w:hAnsi="Arial"/>
          <w:sz w:val="18"/>
          <w:szCs w:val="18"/>
          <w:color w:val="auto"/>
        </w:rPr>
        <w:t>fiscal quarter ended March 28, 2020.</w:t>
      </w:r>
    </w:p>
    <w:p>
      <w:pPr>
        <w:spacing w:after="0" w:line="225" w:lineRule="exact"/>
        <w:rPr>
          <w:sz w:val="20"/>
          <w:szCs w:val="20"/>
          <w:color w:val="auto"/>
        </w:rPr>
      </w:pPr>
    </w:p>
    <w:p>
      <w:pPr>
        <w:ind w:left="660" w:right="1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 in net income of $24.0 million, to $8.5 million for the fiscal quarter ended April 3, 2021, compared to a net loss of $15.5 million for the fiscal quarter ended March 28, 2020.</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 in Adjusted EBITDA (as defined below) of $35.4 million, to $33.5 million for the fiscal quarter ended April 3, 2021, compared to $(1.9) million for the fiscal quarter ended March 28,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April 27, 2021, we completed our initial public offering (the “IPO”) in which we sold 23,000,000 shares of common stock, inclusive of 3,000,000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shares sold by us pursuant to the full exercise of the underwriters’ option to purchase additional shares. The aggregate net proceeds received by us from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IPO were $400.1 million, after deducting underwriting discounts and commissions and other offering costs. We used the net proceeds to (i) pay down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$152.7 million of the Amended Term Loan (as defined below) under the Credit Agreement (as defined below), (ii) repay the $16.0 million outstanding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Revolving Credit Facility (as defined below), (iii) repurchase 12,264,438 shares of common stock from certain existing shareholders for $216.7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(iv) fund general corporate requirements, including working capital, for $14.7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w:t>
      </w:r>
    </w:p>
    <w:p>
      <w:pPr>
        <w:spacing w:after="0" w:line="22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Prior to the closing of the IPO, our parent entity, Latham Investment Holdings, LP (“Parent”) merged with and into Latham Group, Inc., with Latham Group, Inc. surviving the merger (the “Reorganization”). The purpose of the Reorganization was to reorganize our structure so that our existing investors would own only common stock rather than limited partnership interests in our Parent. In connection with the Reorganization, holders of Class A units of our Parent received shares of our common stock and Class B units of our Parent were exchanged for an economically equivalent number of vested and unvested shares of our common stock.</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225"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On April 13, 2021, our Board of Directors approved a 109,673.709-for-one stock split of our common stock, par value $0.0001. Accordingly, all share and per share data for all periods presented have been adjusted retroactively to reflect the impact of the amended certificate of incorporation and the stock split.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Amendment</w:t>
      </w:r>
    </w:p>
    <w:p>
      <w:pPr>
        <w:spacing w:after="0" w:line="225"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On April 13, 2021, our certificate of incorporation was amended, which amended and restated certain terms of the certificate of incorporation. Under the amended certificate of incorporation, we had the authority to issue 500,000,000 shares of common stock, par value $0.0001 per share.</w:t>
      </w:r>
    </w:p>
    <w:p>
      <w:pPr>
        <w:spacing w:after="0" w:line="14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April 22, 2021, as part of the Reorganization, our certificate of incorporation was further amended and restated to, among other things, increase the authorized shares to 1,000,000,000, of which 900,000,000 are shares of common stock, par value $0.0001 per share and 100,000,000 are shares of preferred stock, par value 0.0001 per share.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Pandemic</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Since the onset of the COVID-19 pandemic, we have been focused on protecting our employees’ health and safety, meeting our customers’ needs as they navigate an uncertain financial and operating environment, working closely with our suppliers to protect our ongoing business operations and rapidly adjusting our short-, medium- and long-term operational plans to proactively and effectively respond to the current and potential future public health crises. We continue to monitor the evolving COVID-19 pandemic and the impact on its business and financial results. We expect the impact of the pandemic on our business and financial results in 2021 will continue to vary by location and depend on numerous evolving factors that we are not able to accurately predict. These factors include the duration and scope of the pandemic, global economic conditions during and after the pandemic, governmental actions that have been taken (or may be taken in the future) in response to the pandemic and changes in customer and supplier behavior in response to the pandemic.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We derive our revenue from the design, manufacture and sale of in-ground swimming pools, pool covers and liners. We sell fiberglass pools, which are one-piece manufactured fiberglass pools that are ready to be installed in a consumer’s backyard and custom vinyl pools, which are manufactured pools that are made out of non-corrosive steel or composite polymer frame, on top of which a vinyl liner is installed. We sell liners for the interior surface of vinyl pools (including pools that were not manufactured by us). We also sell all-season covers, which are winterizing mesh and solid pool covers that protect pools against debris and cold or inclement weather and automatic safety covers for pools that can be operated with a switch.</w:t>
      </w:r>
    </w:p>
    <w:p>
      <w:pPr>
        <w:spacing w:after="0" w:line="16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Our sales are made through one-step and two-step business-to-business distribution channels. In our one-step distribution channel, we sell our products directly to dealers who, in turn, sell our products to consumers. In our two-step distribution channel, we sell our products to distributors who warehouse our products and sell them on to dealers, who ultimately sell our products to consumers.</w:t>
      </w:r>
    </w:p>
    <w:p>
      <w:pPr>
        <w:spacing w:after="0" w:line="184" w:lineRule="exact"/>
        <w:rPr>
          <w:sz w:val="20"/>
          <w:szCs w:val="20"/>
          <w:color w:val="auto"/>
        </w:rPr>
      </w:pPr>
    </w:p>
    <w:p>
      <w:pPr>
        <w:jc w:val="both"/>
        <w:ind w:right="140" w:firstLine="324"/>
        <w:spacing w:after="0" w:line="287" w:lineRule="auto"/>
        <w:rPr>
          <w:sz w:val="20"/>
          <w:szCs w:val="20"/>
          <w:color w:val="auto"/>
        </w:rPr>
      </w:pPr>
      <w:r>
        <w:rPr>
          <w:rFonts w:ascii="Arial" w:cs="Arial" w:eastAsia="Arial" w:hAnsi="Arial"/>
          <w:sz w:val="16"/>
          <w:szCs w:val="16"/>
          <w:color w:val="auto"/>
        </w:rPr>
        <w:t>Each product shipped is considered to be one performance obligation. With the exception of our extended service warranties and our custom product contracts, we recognize our revenue when control of our promised goods is transferred to our customers, either upon shipment or arrival at our customer’s destination depending upon the terms of the purchase order. Sales are recognized net of any estimated rebates, cash discounts or other sales incentives.</w:t>
      </w:r>
    </w:p>
    <w:p>
      <w:pPr>
        <w:spacing w:after="0" w:line="2"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Revenue that is derived from our extended service warranties, which are separately priced and sold, is recognized over the term of the contracts. Revenue from custom products is recognized over time utilizing an input method that compares the cost of cumulative work-in-process to date to the most current estimates for the entire cost of the performance obligation. Custom products are generally delivered to the customer within three days of receipt of the purchase order.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25"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Gross margin is gross profit as a percentage of our net sales. Gross margin is dependent upon several factors, such as changes in prices of raw materials, the volume and relative sales mix among product lines, the average price of our products sold and plant performance, among other factors. Gross margin is also impacted by the costs of distribution and occupancy costs, which can vary.</w:t>
      </w:r>
    </w:p>
    <w:p>
      <w:pPr>
        <w:spacing w:after="0" w:line="184"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Our gross profit is variable in nature and generally follows changes in net sales. The components of our cost of sales may not be comparable to the components of cost of sales or similar measures of other companies. As a result, our gross profit and gross margin may not be comparable to similar data made available by other companies.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225" w:lineRule="exact"/>
        <w:rPr>
          <w:sz w:val="20"/>
          <w:szCs w:val="20"/>
          <w:color w:val="auto"/>
        </w:rPr>
      </w:pPr>
    </w:p>
    <w:p>
      <w:pPr>
        <w:ind w:right="80" w:firstLine="324"/>
        <w:spacing w:after="0" w:line="285" w:lineRule="auto"/>
        <w:rPr>
          <w:sz w:val="20"/>
          <w:szCs w:val="20"/>
          <w:color w:val="auto"/>
        </w:rPr>
      </w:pPr>
      <w:r>
        <w:rPr>
          <w:rFonts w:ascii="Arial" w:cs="Arial" w:eastAsia="Arial" w:hAnsi="Arial"/>
          <w:sz w:val="16"/>
          <w:szCs w:val="16"/>
          <w:color w:val="auto"/>
        </w:rPr>
        <w:t>We use Adjusted EBITDA and Adjusted EBITDA margin to supplement GAAP measures of performance to evaluate the effectiveness of our business strategies, to make budgeting decisions, to establish our annual management incentive bonus plan compensation and to compare our performance against that of other peer companies using similar measures. We define Adjusted EBITDA as net income (loss) plus (i) depreciation and amortization, (ii) interest expense, (iii) income tax (benefit) expense, (iv) loss on sale and disposal of property and equipment, (v) restructuring charges, , (vi) stock-based compensation expense, (vii) unrealized (gains) losses on foreign currency transactions, (viii) other non-cash items, (ix) strategic initiative costs,</w:t>
      </w:r>
    </w:p>
    <w:p>
      <w:pPr>
        <w:spacing w:after="0" w:line="2" w:lineRule="exact"/>
        <w:rPr>
          <w:sz w:val="20"/>
          <w:szCs w:val="20"/>
          <w:color w:val="auto"/>
        </w:rPr>
      </w:pPr>
    </w:p>
    <w:p>
      <w:pPr>
        <w:ind w:right="180" w:firstLine="8"/>
        <w:spacing w:after="0" w:line="260"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acquisition and integration related costs, (xi) other, (xii) IPO costs, and (xiii) COVID-19-related expenses (income). We believe excluding these items allows for better comparison of our financial results across reporting periods.</w:t>
      </w:r>
    </w:p>
    <w:p>
      <w:pPr>
        <w:spacing w:after="0" w:line="18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define Adjusted EBITDA margin as Adjusted EBITDA divided by net sales. Our definitions of Adjusted EBITDA and Adjusted EBITDA margin may not be comparable to similarly titled measures of other companies.</w:t>
      </w:r>
    </w:p>
    <w:p>
      <w:pPr>
        <w:spacing w:after="0" w:line="170"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For a discussion of Adjusted EBITDA and Adjusted EBITDA margin and the limitations on their use, and the reconciliation of Adjusted EBITDA to net income (loss), the most directly comparable GAAP financial measure, and our calculation of Adjusted EBITDA margin see “—Non-GAAP Financial Measures”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Quarter ended April 3, 2021 Compared to Fiscal Quarter ended March 28, 2020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results of operations for the fiscal quarters ended April 3, 2021 and March 28,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w w:val="96"/>
              </w:rPr>
              <w:t>Fiscal Quarter Ended</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Change %</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April 3,</w:t>
            </w:r>
          </w:p>
        </w:tc>
        <w:tc>
          <w:tcPr>
            <w:tcW w:w="126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 of</w:t>
            </w:r>
          </w:p>
        </w:tc>
        <w:tc>
          <w:tcPr>
            <w:tcW w:w="1220" w:type="dxa"/>
            <w:vAlign w:val="bottom"/>
            <w:gridSpan w:val="3"/>
          </w:tcPr>
          <w:p>
            <w:pPr>
              <w:jc w:val="right"/>
              <w:ind w:right="261"/>
              <w:spacing w:after="0"/>
              <w:rPr>
                <w:sz w:val="20"/>
                <w:szCs w:val="20"/>
                <w:color w:val="auto"/>
              </w:rPr>
            </w:pPr>
            <w:r>
              <w:rPr>
                <w:rFonts w:ascii="Arial" w:cs="Arial" w:eastAsia="Arial" w:hAnsi="Arial"/>
                <w:sz w:val="18"/>
                <w:szCs w:val="18"/>
                <w:b w:val="1"/>
                <w:bCs w:val="1"/>
                <w:color w:val="auto"/>
              </w:rPr>
              <w:t>March 28,</w:t>
            </w:r>
          </w:p>
        </w:tc>
        <w:tc>
          <w:tcPr>
            <w:tcW w:w="126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 of</w:t>
            </w:r>
          </w:p>
        </w:tc>
        <w:tc>
          <w:tcPr>
            <w:tcW w:w="14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Change</w:t>
            </w:r>
          </w:p>
        </w:tc>
        <w:tc>
          <w:tcPr>
            <w:tcW w:w="122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4"/>
              </w:rPr>
              <w:t>of Net</w:t>
            </w: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26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Net Sales</w:t>
            </w:r>
          </w:p>
        </w:tc>
        <w:tc>
          <w:tcPr>
            <w:tcW w:w="1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26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Net Sales</w:t>
            </w:r>
          </w:p>
        </w:tc>
        <w:tc>
          <w:tcPr>
            <w:tcW w:w="14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122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4"/>
              </w:rPr>
              <w:t>Sales</w:t>
            </w:r>
          </w:p>
        </w:tc>
        <w:tc>
          <w:tcPr>
            <w:tcW w:w="0" w:type="dxa"/>
            <w:vAlign w:val="bottom"/>
          </w:tcPr>
          <w:p>
            <w:pPr>
              <w:spacing w:after="0"/>
              <w:rPr>
                <w:sz w:val="1"/>
                <w:szCs w:val="1"/>
                <w:color w:val="auto"/>
              </w:rPr>
            </w:pPr>
          </w:p>
        </w:tc>
      </w:tr>
      <w:tr>
        <w:trPr>
          <w:trHeight w:val="210"/>
        </w:trPr>
        <w:tc>
          <w:tcPr>
            <w:tcW w:w="38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300" w:type="dxa"/>
            <w:vAlign w:val="bottom"/>
            <w:tcBorders>
              <w:top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w w:val="92"/>
              </w:rPr>
              <w:t>(dollars in thousands)</w:t>
            </w: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148,746</w:t>
            </w: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51,134</w:t>
            </w:r>
          </w:p>
        </w:tc>
        <w:tc>
          <w:tcPr>
            <w:tcW w:w="1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97,612</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96,306</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64.7%</w:t>
            </w:r>
          </w:p>
        </w:tc>
        <w:tc>
          <w:tcPr>
            <w:tcW w:w="180" w:type="dxa"/>
            <w:vAlign w:val="bottom"/>
          </w:tcPr>
          <w:p>
            <w:pPr>
              <w:spacing w:after="0"/>
              <w:rPr>
                <w:sz w:val="19"/>
                <w:szCs w:val="19"/>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41,035</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80.2%</w:t>
            </w:r>
          </w:p>
        </w:tc>
        <w:tc>
          <w:tcPr>
            <w:tcW w:w="140" w:type="dxa"/>
            <w:vAlign w:val="bottom"/>
          </w:tcPr>
          <w:p>
            <w:pPr>
              <w:spacing w:after="0"/>
              <w:rPr>
                <w:sz w:val="19"/>
                <w:szCs w:val="19"/>
                <w:color w:val="auto"/>
              </w:rPr>
            </w:pP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55,271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52,440</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10,099</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3"/>
              </w:rPr>
              <w:t>42,341</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84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27,172</w:t>
            </w:r>
          </w:p>
        </w:tc>
        <w:tc>
          <w:tcPr>
            <w:tcW w:w="220" w:type="dxa"/>
            <w:vAlign w:val="bottom"/>
          </w:tcPr>
          <w:p>
            <w:pPr>
              <w:spacing w:after="0"/>
              <w:rPr>
                <w:sz w:val="18"/>
                <w:szCs w:val="18"/>
                <w:color w:val="auto"/>
              </w:rPr>
            </w:pP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18.3%</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15,432</w:t>
            </w:r>
          </w:p>
        </w:tc>
        <w:tc>
          <w:tcPr>
            <w:tcW w:w="220" w:type="dxa"/>
            <w:vAlign w:val="bottom"/>
          </w:tcPr>
          <w:p>
            <w:pPr>
              <w:spacing w:after="0"/>
              <w:rPr>
                <w:sz w:val="18"/>
                <w:szCs w:val="18"/>
                <w:color w:val="auto"/>
              </w:rPr>
            </w:pP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30.2%</w:t>
            </w:r>
          </w:p>
        </w:tc>
        <w:tc>
          <w:tcPr>
            <w:tcW w:w="140" w:type="dxa"/>
            <w:vAlign w:val="bottom"/>
          </w:tcPr>
          <w:p>
            <w:pPr>
              <w:spacing w:after="0"/>
              <w:rPr>
                <w:sz w:val="18"/>
                <w:szCs w:val="18"/>
                <w:color w:val="auto"/>
              </w:rPr>
            </w:pPr>
          </w:p>
        </w:tc>
        <w:tc>
          <w:tcPr>
            <w:tcW w:w="860" w:type="dxa"/>
            <w:vAlign w:val="bottom"/>
          </w:tcPr>
          <w:p>
            <w:pPr>
              <w:ind w:left="380"/>
              <w:spacing w:after="0"/>
              <w:rPr>
                <w:sz w:val="20"/>
                <w:szCs w:val="20"/>
                <w:color w:val="auto"/>
              </w:rPr>
            </w:pPr>
            <w:r>
              <w:rPr>
                <w:rFonts w:ascii="Arial" w:cs="Arial" w:eastAsia="Arial" w:hAnsi="Arial"/>
                <w:sz w:val="18"/>
                <w:szCs w:val="18"/>
                <w:color w:val="auto"/>
                <w:w w:val="83"/>
              </w:rPr>
              <w:t>11,740</w:t>
            </w:r>
          </w:p>
        </w:tc>
        <w:tc>
          <w:tcPr>
            <w:tcW w:w="2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5,595</w:t>
            </w: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4,063</w:t>
            </w:r>
          </w:p>
        </w:tc>
        <w:tc>
          <w:tcPr>
            <w:tcW w:w="1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1,532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3840" w:type="dxa"/>
            <w:vAlign w:val="bottom"/>
            <w:vMerge w:val="restart"/>
          </w:tcPr>
          <w:p>
            <w:pPr>
              <w:ind w:left="20"/>
              <w:spacing w:after="0"/>
              <w:rPr>
                <w:sz w:val="20"/>
                <w:szCs w:val="20"/>
                <w:color w:val="auto"/>
              </w:rPr>
            </w:pPr>
            <w:r>
              <w:rPr>
                <w:rFonts w:ascii="Arial" w:cs="Arial" w:eastAsia="Arial" w:hAnsi="Arial"/>
                <w:sz w:val="18"/>
                <w:szCs w:val="18"/>
                <w:color w:val="auto"/>
              </w:rPr>
              <w:t>Income (loss) from operations</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19,673</w:t>
            </w:r>
          </w:p>
        </w:tc>
        <w:tc>
          <w:tcPr>
            <w:tcW w:w="220" w:type="dxa"/>
            <w:vAlign w:val="bottom"/>
            <w:vMerge w:val="continue"/>
          </w:tcPr>
          <w:p>
            <w:pPr>
              <w:spacing w:after="0"/>
              <w:rPr>
                <w:sz w:val="18"/>
                <w:szCs w:val="18"/>
                <w:color w:val="auto"/>
              </w:rPr>
            </w:pP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(9,396)</w:t>
            </w:r>
          </w:p>
        </w:tc>
        <w:tc>
          <w:tcPr>
            <w:tcW w:w="220" w:type="dxa"/>
            <w:vAlign w:val="bottom"/>
            <w:vMerge w:val="continue"/>
          </w:tcPr>
          <w:p>
            <w:pPr>
              <w:spacing w:after="0"/>
              <w:rPr>
                <w:sz w:val="18"/>
                <w:szCs w:val="18"/>
                <w:color w:val="auto"/>
              </w:rPr>
            </w:pP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18.4%</w:t>
            </w:r>
          </w:p>
        </w:tc>
        <w:tc>
          <w:tcPr>
            <w:tcW w:w="140" w:type="dxa"/>
            <w:vAlign w:val="bottom"/>
          </w:tcPr>
          <w:p>
            <w:pPr>
              <w:spacing w:after="0"/>
              <w:rPr>
                <w:sz w:val="18"/>
                <w:szCs w:val="18"/>
                <w:color w:val="auto"/>
              </w:rPr>
            </w:pPr>
          </w:p>
        </w:tc>
        <w:tc>
          <w:tcPr>
            <w:tcW w:w="860" w:type="dxa"/>
            <w:vAlign w:val="bottom"/>
          </w:tcPr>
          <w:p>
            <w:pPr>
              <w:ind w:left="380"/>
              <w:spacing w:after="0"/>
              <w:rPr>
                <w:sz w:val="20"/>
                <w:szCs w:val="20"/>
                <w:color w:val="auto"/>
              </w:rPr>
            </w:pPr>
            <w:r>
              <w:rPr>
                <w:rFonts w:ascii="Arial" w:cs="Arial" w:eastAsia="Arial" w:hAnsi="Arial"/>
                <w:sz w:val="18"/>
                <w:szCs w:val="18"/>
                <w:color w:val="auto"/>
                <w:w w:val="83"/>
              </w:rPr>
              <w:t>29,069</w:t>
            </w:r>
          </w:p>
        </w:tc>
        <w:tc>
          <w:tcPr>
            <w:tcW w:w="220" w:type="dxa"/>
            <w:vAlign w:val="bottom"/>
            <w:vMerge w:val="continue"/>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9,056</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5,333</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3,723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 (income), net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(555)</w:t>
            </w: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3,741</w:t>
            </w:r>
          </w:p>
        </w:tc>
        <w:tc>
          <w:tcPr>
            <w:tcW w:w="1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(4,296)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9"/>
        </w:trPr>
        <w:tc>
          <w:tcPr>
            <w:tcW w:w="38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other expense (income), net</w:t>
            </w: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8,501</w:t>
            </w:r>
          </w:p>
        </w:tc>
        <w:tc>
          <w:tcPr>
            <w:tcW w:w="22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6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9,074</w:t>
            </w:r>
          </w:p>
        </w:tc>
        <w:tc>
          <w:tcPr>
            <w:tcW w:w="22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2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equity method investment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11,416</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9"/>
                <w:szCs w:val="19"/>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(18,470)</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36.1%</w:t>
            </w:r>
          </w:p>
        </w:tc>
        <w:tc>
          <w:tcPr>
            <w:tcW w:w="140" w:type="dxa"/>
            <w:vAlign w:val="bottom"/>
          </w:tcPr>
          <w:p>
            <w:pPr>
              <w:spacing w:after="0"/>
              <w:rPr>
                <w:sz w:val="19"/>
                <w:szCs w:val="19"/>
                <w:color w:val="auto"/>
              </w:rPr>
            </w:pP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29,886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0"/>
        </w:trPr>
        <w:tc>
          <w:tcPr>
            <w:tcW w:w="38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w:t>
            </w:r>
          </w:p>
        </w:tc>
        <w:tc>
          <w:tcPr>
            <w:tcW w:w="22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22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4"/>
              </w:rPr>
              <w:t>5,902</w:t>
            </w:r>
          </w:p>
        </w:tc>
        <w:tc>
          <w:tcPr>
            <w:tcW w:w="220" w:type="dxa"/>
            <w:vAlign w:val="bottom"/>
            <w:vMerge w:val="continue"/>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83"/>
        </w:trPr>
        <w:tc>
          <w:tcPr>
            <w:tcW w:w="3840" w:type="dxa"/>
            <w:vAlign w:val="bottom"/>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8,533</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5.7%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(15,451)</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30.2%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23,984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196"/>
        </w:trPr>
        <w:tc>
          <w:tcPr>
            <w:tcW w:w="3840" w:type="dxa"/>
            <w:vAlign w:val="bottom"/>
            <w:tcBorders>
              <w:top w:val="single" w:sz="8" w:color="CCEEFF"/>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8"/>
                <w:szCs w:val="18"/>
                <w:color w:val="auto"/>
              </w:rPr>
              <w:t>Adjusted EBITDA(a)</w:t>
            </w: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33,520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22.5</w:t>
            </w:r>
          </w:p>
        </w:tc>
        <w:tc>
          <w:tcPr>
            <w:tcW w:w="260" w:type="dxa"/>
            <w:vAlign w:val="bottom"/>
            <w:tcBorders>
              <w:top w:val="single" w:sz="8" w:color="CCEEFF"/>
              <w:bottom w:val="single" w:sz="8" w:color="CCEEFF"/>
            </w:tcBorders>
            <w:shd w:val="clear" w:color="auto" w:fill="CCEEFF"/>
          </w:tcPr>
          <w:p>
            <w:pPr>
              <w:jc w:val="right"/>
              <w:ind w:right="30"/>
              <w:spacing w:after="0" w:line="190" w:lineRule="exact"/>
              <w:rPr>
                <w:sz w:val="20"/>
                <w:szCs w:val="20"/>
                <w:color w:val="auto"/>
              </w:rPr>
            </w:pPr>
            <w:r>
              <w:rPr>
                <w:rFonts w:ascii="Arial" w:cs="Arial" w:eastAsia="Arial" w:hAnsi="Arial"/>
                <w:sz w:val="18"/>
                <w:szCs w:val="18"/>
                <w:color w:val="auto"/>
                <w:w w:val="74"/>
              </w:rPr>
              <w:t>%</w:t>
            </w: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(1,885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w:t>
            </w:r>
          </w:p>
        </w:tc>
        <w:tc>
          <w:tcPr>
            <w:tcW w:w="260" w:type="dxa"/>
            <w:vAlign w:val="bottom"/>
            <w:tcBorders>
              <w:top w:val="single" w:sz="8" w:color="CCEEFF"/>
              <w:bottom w:val="single" w:sz="8" w:color="CCEEFF"/>
            </w:tcBorders>
            <w:shd w:val="clear" w:color="auto" w:fill="CCEEFF"/>
          </w:tcPr>
          <w:p>
            <w:pPr>
              <w:jc w:val="right"/>
              <w:ind w:right="10"/>
              <w:spacing w:after="0" w:line="190" w:lineRule="exact"/>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ind w:left="380"/>
              <w:spacing w:after="0" w:line="196" w:lineRule="exact"/>
              <w:rPr>
                <w:sz w:val="20"/>
                <w:szCs w:val="20"/>
                <w:color w:val="auto"/>
              </w:rPr>
            </w:pPr>
            <w:r>
              <w:rPr>
                <w:rFonts w:ascii="Arial" w:cs="Arial" w:eastAsia="Arial" w:hAnsi="Arial"/>
                <w:sz w:val="18"/>
                <w:szCs w:val="18"/>
                <w:color w:val="auto"/>
                <w:w w:val="83"/>
              </w:rPr>
              <w:t>35,405</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18.8</w:t>
            </w:r>
          </w:p>
        </w:tc>
        <w:tc>
          <w:tcPr>
            <w:tcW w:w="22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8"/>
        <w:spacing w:after="0" w:line="277" w:lineRule="auto"/>
        <w:tabs>
          <w:tab w:leader="none" w:pos="235"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is a non-GAAP measure. See “Non-GAAP Measures” for a reconciliation to net income (loss), the most directly comparable GAAP measure, and for information regarding our use of Adjusted EBITDA.</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sales was $148.7 million for the fiscal quarter ended April 3, 2021, compared to $51.1 million for the fiscal quarter ended March 28, 2020.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$97.6 million, or 190.9%, increase in net sales was due to a $89.7 million increase from volume and a $7.9 million increase from pricing. The $89.7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volume increase across our product lines primarily related to in-ground pools and includes $15.9 million due to having three months of GLI in our net sales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fiscal quarter ended April 3, 2021. The increase in total net sales of $97.6 million across our product lines was $64.2 million for in-ground swimming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pools, $20.4 million for liners and $13.0 million for covers.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and Gross Margin</w:t>
      </w:r>
    </w:p>
    <w:p>
      <w:pPr>
        <w:spacing w:after="0" w:line="225" w:lineRule="exact"/>
        <w:rPr>
          <w:sz w:val="20"/>
          <w:szCs w:val="20"/>
          <w:color w:val="auto"/>
        </w:rPr>
      </w:pPr>
    </w:p>
    <w:p>
      <w:pPr>
        <w:ind w:right="300" w:firstLine="360"/>
        <w:spacing w:after="0" w:line="255" w:lineRule="auto"/>
        <w:rPr>
          <w:sz w:val="20"/>
          <w:szCs w:val="20"/>
          <w:color w:val="auto"/>
        </w:rPr>
      </w:pPr>
      <w:r>
        <w:rPr>
          <w:rFonts w:ascii="Arial" w:cs="Arial" w:eastAsia="Arial" w:hAnsi="Arial"/>
          <w:sz w:val="18"/>
          <w:szCs w:val="18"/>
          <w:color w:val="auto"/>
        </w:rPr>
        <w:t>Cost of sales was $96.3 million for the fiscal quarter ended April 3, 2021, compared to $41.0 million for the fiscal quarter ended March 28, 2020. Gross margin increased by 15.5% to 35.3% of net sales for the fiscal quarter ended April 3, 2021 compared to 19.8% of net sales for the fiscal quarter ended March 28, 2020. The $55.3 million, or 134.7% increase in cost of sales was primarily the result of the overall increase in sales volume, as well as inflation in the cost of our raw materials. The 15.5% increase in gross margin was primarily due to higher utilization of our fixed cost structure, price increases and a favorable shift in product mix within our in-ground swimming pools product line, partially offset by inflation in the cost of our raw materials.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25" w:lineRule="exact"/>
        <w:rPr>
          <w:sz w:val="20"/>
          <w:szCs w:val="20"/>
          <w:color w:val="auto"/>
        </w:rPr>
      </w:pPr>
    </w:p>
    <w:p>
      <w:pPr>
        <w:ind w:right="40" w:firstLine="360"/>
        <w:spacing w:after="0" w:line="254" w:lineRule="auto"/>
        <w:rPr>
          <w:sz w:val="20"/>
          <w:szCs w:val="20"/>
          <w:color w:val="auto"/>
        </w:rPr>
      </w:pPr>
      <w:r>
        <w:rPr>
          <w:rFonts w:ascii="Arial" w:cs="Arial" w:eastAsia="Arial" w:hAnsi="Arial"/>
          <w:sz w:val="18"/>
          <w:szCs w:val="18"/>
          <w:color w:val="auto"/>
        </w:rPr>
        <w:t>Selling, general and administrative expense was $27.2 million for the fiscal quarter ended April 3, 2021, compared to $15.4 million for the fiscal quarter ended March 28, 2020, and decreased as a percentage of net sales by 11.9%. The $11.7 million, or 76.1% increase in selling, general and administrative expense was primarily due to $3.7 million increase in wages from an increase in headcount particularly for customer-facing activities to support growth of the business and as a result of the increase in employees from GLI; $2.9 million increase due to legal, accounting and professional fees incurred in connection with our initial public offering that were not capitalizable; $2.2 million increase in employee-related costs driven by increased management incentive costs; and $1.2 million increase in stock compensation expense primarily due to the modification of awards of one of our executives upon his departure.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w:t>
      </w:r>
    </w:p>
    <w:p>
      <w:pPr>
        <w:spacing w:after="0" w:line="225" w:lineRule="exact"/>
        <w:rPr>
          <w:sz w:val="20"/>
          <w:szCs w:val="20"/>
          <w:color w:val="auto"/>
        </w:rPr>
      </w:pPr>
    </w:p>
    <w:p>
      <w:pPr>
        <w:ind w:right="220" w:firstLine="360"/>
        <w:spacing w:after="0" w:line="263" w:lineRule="auto"/>
        <w:rPr>
          <w:sz w:val="20"/>
          <w:szCs w:val="20"/>
          <w:color w:val="auto"/>
        </w:rPr>
      </w:pPr>
      <w:r>
        <w:rPr>
          <w:rFonts w:ascii="Arial" w:cs="Arial" w:eastAsia="Arial" w:hAnsi="Arial"/>
          <w:sz w:val="18"/>
          <w:szCs w:val="18"/>
          <w:color w:val="auto"/>
        </w:rPr>
        <w:t>Amortization was $5.6 million for the fiscal quarter ended April 3, 2021, compared to $4.1 million for the fiscal quarter ended March 28, 2020. The $1.5 million, or 37.7% increase in amortization was due to the increase in our definite-lived intangible assets resulting from our acquisition of GLI in October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20" w:firstLine="360"/>
        <w:spacing w:after="0" w:line="286" w:lineRule="auto"/>
        <w:rPr>
          <w:sz w:val="20"/>
          <w:szCs w:val="20"/>
          <w:color w:val="auto"/>
        </w:rPr>
      </w:pPr>
      <w:r>
        <w:rPr>
          <w:rFonts w:ascii="Arial" w:cs="Arial" w:eastAsia="Arial" w:hAnsi="Arial"/>
          <w:sz w:val="17"/>
          <w:szCs w:val="17"/>
          <w:color w:val="auto"/>
        </w:rPr>
        <w:t>Interest expense was $9.1 million for the fiscal quarter ended April 3, 2021, compared to $5.3 million for the fiscal quarter ended March 28, 2020. The $3.7 million, or 69.8% increase in interest expense was primarily due to an increase in the outstanding balance of long-term debt and increased deferred financing fees from entering into an amendment to the Term Loan, compared to the fiscal quarter ended March 28, 2020.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2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Other expense (income), net was $(0.6) million for the fiscal quarter ended April 3, 2021, compared to $3.7 million for the fiscal quarter ended March 28, 2020. The $(4.3) million increase in other expense (income), net was due to a $4.3 million favorable change in net foreign currency transaction gains and losses associated with our international subsidiaries, compared to the fiscal quarter ended March 28,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from Equity Method Investment</w:t>
      </w:r>
    </w:p>
    <w:p>
      <w:pPr>
        <w:spacing w:after="0" w:line="225"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Earnings from equity method investment of Premier Pools &amp; Spa was $0.2 million for the fiscal quarter ended April 3, 2021, compared to no equity in net earnings of Premier Pools &amp; Spa for the fiscal quarter ended March 28, 2020 as the equity method investment was made in October 2020.</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Income tax (benefit) expense was $2.9 million for the fiscal quarter ended April 3, 2021, compared to $(3.0) million for the fiscal quarter ended March 28, 2020. Our effective tax rate was 25.3% for the fiscal quarter ended April 3, 2021, compared to 16.3% for the fiscal quarter ended March 28, 2020. The primary differences in the effective rate and the U.S. federal statutory rate for the fiscal quarter ended April 3, 2021 was the state income tax expense. The primary difference in the effective rate and the U.S. federal statutory rate for the fiscal quarter ended March 28, 2020 was due to the benefit related to the year to date foreign losses in Canada.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Net income (loss) was $8.5 million for the fiscal quarter ended April 3, 2021, compared to a $(15.5) million net loss for the fiscal quarter ended March 28, 2020. The $24.0 million, or 155.2% increase in net income was primarily due to the factors described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Margin</w:t>
      </w:r>
    </w:p>
    <w:p>
      <w:pPr>
        <w:spacing w:after="0" w:line="22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Net income margin was 5.7% for the fiscal quarter ended April 3, 2021, compared to a net loss margin (30.2)% for the fiscal quarter ended March 28, 2021. The 35.9% increase in net income (loss) margin was due to a $24.0 million increase in net income and an $97.6 million increase in net sales, compared to the fiscal quarter ended March 28, 2020 due to the factors described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Adjusted EBITDA was $33.5 million for the fiscal quarter ended April 3, 2021, compared to $(1.9) million for the fiscal quarter ended March 28, 2020. The $35.4 million, or 1,878.2% increase in Adjusted EBITDA was primarily due to a $35.8 million increase in earnings before depreciation and amortization, interest expense and income tax (benefit) expense, as well as a $2.9 million increase in legal, accounting and professional fees incurred in connection with our initial public offering that are not capitalizable, both partially offset by a $3.8 million decrease in unrealized (gains) losses on foreign currency transactions, which included changes in the fair value of the contingent consideration recorded in connection with the acquisition of Narellan Group Pty Limited and its subsidiaries, which was settled in September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Margin</w:t>
      </w:r>
    </w:p>
    <w:p>
      <w:pPr>
        <w:spacing w:after="0" w:line="225"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Adjusted EBITDA margin was 22.5% for the fiscal quarter ended April 3, 2021, compared to (3.7)% for the fiscal quarter ended March 28, 2020. The 26.2% increase in Adjusted EBITDA margin was primarily due to a $35.4 million increase in Adjusted EBITDA and an $97.6 million increase in net sales, compared to the fiscal quarter ended March 28,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225" w:lineRule="exact"/>
        <w:rPr>
          <w:sz w:val="20"/>
          <w:szCs w:val="20"/>
          <w:color w:val="auto"/>
        </w:rPr>
      </w:pPr>
    </w:p>
    <w:p>
      <w:pPr>
        <w:ind w:right="20" w:firstLine="324"/>
        <w:spacing w:after="0" w:line="283" w:lineRule="auto"/>
        <w:rPr>
          <w:sz w:val="20"/>
          <w:szCs w:val="20"/>
          <w:color w:val="auto"/>
        </w:rPr>
      </w:pPr>
      <w:r>
        <w:rPr>
          <w:rFonts w:ascii="Arial" w:cs="Arial" w:eastAsia="Arial" w:hAnsi="Arial"/>
          <w:sz w:val="16"/>
          <w:szCs w:val="16"/>
          <w:color w:val="auto"/>
        </w:rPr>
        <w:t>Adjusted EBITDA and Adjusted EBITDA margin are key metrics used by management and our board of directors to assess our financial performance. Adjusted EBITDA and Adjusted EBITDA margin are also frequently used by analysts, investors and other interested parties to evaluate companies in our industry, when considered alongside other GAAP measures. We use Adjusted EBITDA and Adjusted EBITDA margin to supplement GAAP measures of performance to evaluate the effectiveness of our business strategies, to make budgeting decisions and to compare our performance against that of other companies using similar measures. We have presented Adjusted EBITDA and Adjusted EBITDA margin solely as supplemental disclosures because we believe they allow for a more complete analysis of results of operations and assist investors and analysts in comparing our operating performance across reporting periods on a consistent basis by excluding items that we do not believe are indicative of our core operating performance, such as (i) depreciation and amortization, (ii) interest expense, (iii) income tax (benefit) expense, (iv) loss on sale and disposal of property and equipment, (v) restructuring charges, (vi) stock-based compensation expense, (vii) unrealized (gains) losses on foreign currency transactions, (viii) strategic initiative costs,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(ix) acquisition and integration related costs, (x) other, and (xi) IPO costs.</w:t>
      </w:r>
    </w:p>
    <w:p>
      <w:pPr>
        <w:spacing w:after="0" w:line="211"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Adjusted EBITDA and Adjusted EBITDA margin are non-GAAP financial measures and should not be considered as alternatives to net income as a measure of financial performance or any other performance measure derived in accordance with GAAP, and they should not be construed as an inference that our future results will be unaffected by unusual or non-recurring items. You are encouraged to evaluate these adjustments and the reasons we consider them appropriate for supplemental analysis. In evaluating Adjusted EBITDA and Adjusted EBITDA margin, you should be aware that in the future we may incur expenses that are the same as or similar to some of the adjustments in this presentation. There can be no assurance that we will not modify the presentation of Adjusted EBITDA and Adjusted EBITDA margin following this offering, and any such modification may be material. Our presentation of Adjusted EBITDA and Adjusted EBITDA margin should not be construed to imply that our future results will be unaffected by any such adjustments. In addition, other companies, including companies in our industry, may not calculate Adjusted EBITDA and Adjusted EBITDA margin at all or may calculate Adjusted EBITDA and Adjusted EBITDA margin differently and accordingly, are not necessarily comparable to similarly entitled measures of other companies, which reduces the usefulness of Adjusted EBITDA and Adjusted EBITDA margin as tools for comparison.</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28" w:name="page29"/>
    <w:bookmarkEnd w:id="28"/>
    <w:p>
      <w:pPr>
        <w:ind w:right="500" w:firstLine="324"/>
        <w:spacing w:after="0" w:line="342" w:lineRule="auto"/>
        <w:rPr>
          <w:sz w:val="20"/>
          <w:szCs w:val="20"/>
          <w:color w:val="auto"/>
        </w:rPr>
      </w:pPr>
      <w:r>
        <w:rPr>
          <w:rFonts w:ascii="Arial" w:cs="Arial" w:eastAsia="Arial" w:hAnsi="Arial"/>
          <w:sz w:val="16"/>
          <w:szCs w:val="16"/>
          <w:color w:val="auto"/>
        </w:rPr>
        <w:t>Adjusted EBITDA and Adjusted EBITDA margin have their limitations as analytical tools, and you should not consider them in isolation or as a substitute for analysis of our results as reported under GAAP. Some of these limitations are that Adjusted EBITDA and Adjusted EBITDA margin:</w:t>
      </w:r>
    </w:p>
    <w:p>
      <w:pPr>
        <w:spacing w:after="0" w:line="124"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 not reflect every expenditure, future requirements for capital expenditures or contractual commitments;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 not reflect changes in our working capital needs;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 not reflect the interest expense, or the amounts necessary to service interest or principal payments, on our outstanding debt;</w:t>
      </w:r>
    </w:p>
    <w:p>
      <w:pPr>
        <w:spacing w:after="0" w:line="225"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 not reflect income tax (benefit) expense, and because the payment of taxes is part of our operations, tax expense is a necessary element of our costs and ability to operate;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do not reflect non-cash equity compensation, which will remain a key element of our overall equity-based compensation package; and</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 not reflect the impact of earnings or charges resulting from matters we consider not to be indicative of our ongoing operations.</w:t>
      </w:r>
    </w:p>
    <w:p>
      <w:pPr>
        <w:spacing w:after="0" w:line="225" w:lineRule="exact"/>
        <w:rPr>
          <w:sz w:val="20"/>
          <w:szCs w:val="20"/>
          <w:color w:val="auto"/>
        </w:rPr>
      </w:pPr>
    </w:p>
    <w:p>
      <w:pPr>
        <w:ind w:right="320" w:firstLine="360"/>
        <w:spacing w:after="0" w:line="263" w:lineRule="auto"/>
        <w:rPr>
          <w:sz w:val="20"/>
          <w:szCs w:val="20"/>
          <w:color w:val="auto"/>
        </w:rPr>
      </w:pPr>
      <w:r>
        <w:rPr>
          <w:rFonts w:ascii="Arial" w:cs="Arial" w:eastAsia="Arial" w:hAnsi="Arial"/>
          <w:sz w:val="18"/>
          <w:szCs w:val="18"/>
          <w:color w:val="auto"/>
        </w:rPr>
        <w:t>Although depreciation and amortization are eliminated in the calculation of Adjusted EBITDA and Adjusted EBITDA margin, the assets being depreciated and amortized will often have to be replaced in the future, and Adjusted EBITDA and Adjusted EBITDA margin do not reflect any costs of such replacements.</w:t>
      </w:r>
    </w:p>
    <w:p>
      <w:pPr>
        <w:spacing w:after="0" w:line="184"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Management compensates for these limitations by primarily relying on our GAAP results, while using Adjusted EBITDA and Adjusted EBITDA margin as supplements to the corresponding GAAP financial measures.</w:t>
      </w:r>
    </w:p>
    <w:p>
      <w:pPr>
        <w:spacing w:after="0" w:line="170"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The following table provides a reconciliation of our net income to Adjusted EBITDA for the periods presented and the calculation of Adjusted EBITDA margin: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40" w:type="dxa"/>
            <w:vAlign w:val="bottom"/>
            <w:gridSpan w:val="6"/>
          </w:tcPr>
          <w:p>
            <w:pPr>
              <w:jc w:val="right"/>
              <w:ind w:right="810"/>
              <w:spacing w:after="0"/>
              <w:rPr>
                <w:sz w:val="20"/>
                <w:szCs w:val="20"/>
                <w:color w:val="auto"/>
              </w:rPr>
            </w:pPr>
            <w:r>
              <w:rPr>
                <w:rFonts w:ascii="Arial" w:cs="Arial" w:eastAsia="Arial" w:hAnsi="Arial"/>
                <w:sz w:val="18"/>
                <w:szCs w:val="18"/>
                <w:b w:val="1"/>
                <w:bCs w:val="1"/>
                <w:color w:val="auto"/>
              </w:rPr>
              <w:t>Fiscal Quarter Ended</w:t>
            </w:r>
          </w:p>
        </w:tc>
        <w:tc>
          <w:tcPr>
            <w:tcW w:w="0" w:type="dxa"/>
            <w:vAlign w:val="bottom"/>
          </w:tcPr>
          <w:p>
            <w:pPr>
              <w:spacing w:after="0"/>
              <w:rPr>
                <w:sz w:val="1"/>
                <w:szCs w:val="1"/>
                <w:color w:val="auto"/>
              </w:rPr>
            </w:pPr>
          </w:p>
        </w:tc>
      </w:tr>
      <w:tr>
        <w:trPr>
          <w:trHeight w:val="191"/>
        </w:trPr>
        <w:tc>
          <w:tcPr>
            <w:tcW w:w="49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right"/>
              <w:ind w:right="570"/>
              <w:spacing w:after="0" w:line="191" w:lineRule="exact"/>
              <w:rPr>
                <w:sz w:val="20"/>
                <w:szCs w:val="20"/>
                <w:color w:val="auto"/>
              </w:rPr>
            </w:pPr>
            <w:r>
              <w:rPr>
                <w:rFonts w:ascii="Arial" w:cs="Arial" w:eastAsia="Arial" w:hAnsi="Arial"/>
                <w:sz w:val="18"/>
                <w:szCs w:val="18"/>
                <w:b w:val="1"/>
                <w:bCs w:val="1"/>
                <w:color w:val="auto"/>
              </w:rPr>
              <w:t>April 3,</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210"/>
              <w:spacing w:after="0" w:line="191" w:lineRule="exact"/>
              <w:rPr>
                <w:sz w:val="20"/>
                <w:szCs w:val="20"/>
                <w:color w:val="auto"/>
              </w:rPr>
            </w:pPr>
            <w:r>
              <w:rPr>
                <w:rFonts w:ascii="Arial" w:cs="Arial" w:eastAsia="Arial" w:hAnsi="Arial"/>
                <w:sz w:val="18"/>
                <w:szCs w:val="18"/>
                <w:b w:val="1"/>
                <w:bCs w:val="1"/>
                <w:color w:val="auto"/>
              </w:rPr>
              <w:t>March 28,</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5"/>
          </w:tcPr>
          <w:p>
            <w:pPr>
              <w:jc w:val="right"/>
              <w:ind w:right="590"/>
              <w:spacing w:after="0"/>
              <w:rPr>
                <w:sz w:val="20"/>
                <w:szCs w:val="20"/>
                <w:color w:val="auto"/>
              </w:rPr>
            </w:pPr>
            <w:r>
              <w:rPr>
                <w:rFonts w:ascii="Arial" w:cs="Arial" w:eastAsia="Arial" w:hAnsi="Arial"/>
                <w:sz w:val="18"/>
                <w:szCs w:val="18"/>
                <w:b w:val="1"/>
                <w:bCs w:val="1"/>
                <w:color w:val="auto"/>
              </w:rPr>
              <w:t>(dollars in thousands)</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2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8,533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(15,451)</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7,900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30"/>
              <w:spacing w:after="0"/>
              <w:rPr>
                <w:sz w:val="20"/>
                <w:szCs w:val="20"/>
                <w:color w:val="auto"/>
              </w:rPr>
            </w:pPr>
            <w:r>
              <w:rPr>
                <w:rFonts w:ascii="Arial" w:cs="Arial" w:eastAsia="Arial" w:hAnsi="Arial"/>
                <w:sz w:val="18"/>
                <w:szCs w:val="18"/>
                <w:color w:val="auto"/>
              </w:rPr>
              <w:t>5,755</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9,056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5,333</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2,883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(3,019)</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Loss on sale and disposal of property and equipment</w:t>
            </w:r>
          </w:p>
        </w:tc>
        <w:tc>
          <w:tcPr>
            <w:tcW w:w="3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Restructuring charges(a)</w:t>
            </w: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3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3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1,464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Unrealized (gains) losses on foreign currency transactions(b)</w:t>
            </w: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3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30"/>
              <w:spacing w:after="0"/>
              <w:rPr>
                <w:sz w:val="20"/>
                <w:szCs w:val="20"/>
                <w:color w:val="auto"/>
              </w:rPr>
            </w:pPr>
            <w:r>
              <w:rPr>
                <w:rFonts w:ascii="Arial" w:cs="Arial" w:eastAsia="Arial" w:hAnsi="Arial"/>
                <w:sz w:val="18"/>
                <w:szCs w:val="18"/>
                <w:color w:val="auto"/>
              </w:rPr>
              <w:t>3,741</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Strategic initiative costs(c)</w:t>
            </w:r>
          </w:p>
        </w:tc>
        <w:tc>
          <w:tcPr>
            <w:tcW w:w="3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Acquisition and integration related costs(d)</w:t>
            </w: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3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Other(e)</w:t>
            </w:r>
          </w:p>
        </w:tc>
        <w:tc>
          <w:tcPr>
            <w:tcW w:w="3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IPO costs(f)</w:t>
            </w: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2,877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Adjusted EBITDA</w:t>
            </w:r>
          </w:p>
        </w:tc>
        <w:tc>
          <w:tcPr>
            <w:tcW w:w="32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33,520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sales</w:t>
            </w:r>
          </w:p>
        </w:tc>
        <w:tc>
          <w:tcPr>
            <w:tcW w:w="302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60" w:type="dxa"/>
            <w:vAlign w:val="bottom"/>
            <w:vMerge w:val="continue"/>
          </w:tcPr>
          <w:p>
            <w:pPr>
              <w:spacing w:after="0"/>
              <w:rPr>
                <w:sz w:val="17"/>
                <w:szCs w:val="17"/>
                <w:color w:val="auto"/>
              </w:rPr>
            </w:pPr>
          </w:p>
        </w:tc>
        <w:tc>
          <w:tcPr>
            <w:tcW w:w="3020" w:type="dxa"/>
            <w:vAlign w:val="bottom"/>
            <w:vMerge w:val="continue"/>
          </w:tcPr>
          <w:p>
            <w:pPr>
              <w:spacing w:after="0"/>
              <w:rPr>
                <w:sz w:val="17"/>
                <w:szCs w:val="17"/>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148,746</w:t>
            </w:r>
          </w:p>
        </w:tc>
        <w:tc>
          <w:tcPr>
            <w:tcW w:w="28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51,134</w:t>
            </w: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margin</w:t>
            </w:r>
          </w:p>
        </w:tc>
        <w:tc>
          <w:tcPr>
            <w:tcW w:w="3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Adjusted EBITDA margin</w:t>
            </w:r>
          </w:p>
        </w:tc>
        <w:tc>
          <w:tcPr>
            <w:tcW w:w="3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line="20" w:lineRule="exact"/>
              <w:rPr>
                <w:sz w:val="1"/>
                <w:szCs w:val="1"/>
                <w:color w:val="auto"/>
              </w:rPr>
            </w:pPr>
          </w:p>
        </w:tc>
      </w:tr>
      <w:tr>
        <w:trPr>
          <w:trHeight w:val="196"/>
        </w:trPr>
        <w:tc>
          <w:tcPr>
            <w:tcW w:w="4960" w:type="dxa"/>
            <w:vAlign w:val="bottom"/>
            <w:vMerge w:val="continue"/>
          </w:tcPr>
          <w:p>
            <w:pPr>
              <w:spacing w:after="0"/>
              <w:rPr>
                <w:sz w:val="17"/>
                <w:szCs w:val="17"/>
                <w:color w:val="auto"/>
              </w:rPr>
            </w:pPr>
          </w:p>
        </w:tc>
        <w:tc>
          <w:tcPr>
            <w:tcW w:w="3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22.5</w:t>
            </w:r>
          </w:p>
        </w:tc>
        <w:tc>
          <w:tcPr>
            <w:tcW w:w="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w:t>
            </w: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3020" w:type="dxa"/>
            <w:vAlign w:val="bottom"/>
            <w:vMerge w:val="restart"/>
          </w:tcPr>
          <w:p>
            <w:pPr>
              <w:jc w:val="right"/>
              <w:ind w:right="2170"/>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9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29" w:name="page30"/>
    <w:bookmarkEnd w:id="29"/>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severance and other costs for our executive management changes.</w:t>
      </w:r>
    </w:p>
    <w:p>
      <w:pPr>
        <w:spacing w:after="0" w:line="23" w:lineRule="exact"/>
        <w:rPr>
          <w:rFonts w:ascii="Arial" w:cs="Arial" w:eastAsia="Arial" w:hAnsi="Arial"/>
          <w:sz w:val="18"/>
          <w:szCs w:val="18"/>
          <w:color w:val="auto"/>
        </w:rPr>
      </w:pPr>
    </w:p>
    <w:p>
      <w:pPr>
        <w:ind w:right="140" w:firstLine="8"/>
        <w:spacing w:after="0" w:line="281" w:lineRule="auto"/>
        <w:tabs>
          <w:tab w:leader="none" w:pos="2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Represents foreign currency transaction (gains) and losses associated with our international subsidiaries and changes in the fair value of the contingent consideration recorded in connection with the acquisition of Narellan Group Pty Limited and its subsidiaries, which was settled in September 2020.</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fees paid to external consultants for our strategic initiatives, including our rebranding initiative.</w:t>
      </w:r>
    </w:p>
    <w:p>
      <w:pPr>
        <w:spacing w:after="0" w:line="9" w:lineRule="exact"/>
        <w:rPr>
          <w:rFonts w:ascii="Arial" w:cs="Arial" w:eastAsia="Arial" w:hAnsi="Arial"/>
          <w:sz w:val="18"/>
          <w:szCs w:val="18"/>
          <w:color w:val="auto"/>
        </w:rPr>
      </w:pPr>
    </w:p>
    <w:p>
      <w:pPr>
        <w:ind w:right="80" w:firstLine="8"/>
        <w:spacing w:after="0" w:line="250"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acquisition and integration costs primarily related to the acquisition of GLI, the equity investment in Premier Pools &amp; Spas, as well as other costs related to a transaction that was abandoned.</w:t>
      </w:r>
    </w:p>
    <w:p>
      <w:pPr>
        <w:ind w:firstLine="8"/>
        <w:spacing w:after="0" w:line="265" w:lineRule="auto"/>
        <w:tabs>
          <w:tab w:leader="none" w:pos="245" w:val="left"/>
        </w:tabs>
        <w:numPr>
          <w:ilvl w:val="0"/>
          <w:numId w:val="10"/>
        </w:numPr>
        <w:rPr>
          <w:rFonts w:ascii="Arial" w:cs="Arial" w:eastAsia="Arial" w:hAnsi="Arial"/>
          <w:sz w:val="17"/>
          <w:szCs w:val="17"/>
          <w:color w:val="auto"/>
        </w:rPr>
      </w:pPr>
      <w:r>
        <w:rPr>
          <w:rFonts w:ascii="Arial" w:cs="Arial" w:eastAsia="Arial" w:hAnsi="Arial"/>
          <w:sz w:val="17"/>
          <w:szCs w:val="17"/>
          <w:color w:val="auto"/>
        </w:rPr>
        <w:t>Other costs consist of other discrete items as determined by management, including (i) fees paid to external consultants for tax restructuring, (ii) the cost for legal defense of a specified matter, (iii) the cost incurred and insurance proceeds related to our production facility fire in Picton, Australia in 2020, (iv) temporary cleaning, equipment and salary costs incurred in response to the COVID-19 pandemic, offset by government grants received in the United States, Canada and New Zealand and (v) non-cash adjustments to record the step-up in the fair value of inventory related to the acquisition of GLI, which are amortized through cost of sales in the condensed consolidated statements of operations.</w:t>
      </w:r>
    </w:p>
    <w:p>
      <w:pPr>
        <w:ind w:right="780" w:firstLine="8"/>
        <w:spacing w:after="0" w:line="255" w:lineRule="auto"/>
        <w:tabs>
          <w:tab w:leader="none" w:pos="22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items management believes are not indicative of ongoing operating performance. These expenses are primarily composed of legal, accounting and professional fees incurred in connection with the IPO that are not capitalizable, which are included within selling, general and administrative expense.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180" w:firstLine="324"/>
        <w:spacing w:after="0" w:line="285" w:lineRule="auto"/>
        <w:rPr>
          <w:sz w:val="20"/>
          <w:szCs w:val="20"/>
          <w:color w:val="auto"/>
        </w:rPr>
      </w:pPr>
      <w:r>
        <w:rPr>
          <w:rFonts w:ascii="Arial" w:cs="Arial" w:eastAsia="Arial" w:hAnsi="Arial"/>
          <w:sz w:val="16"/>
          <w:szCs w:val="16"/>
          <w:color w:val="auto"/>
        </w:rPr>
        <w:t>Our primary sources of liquidity are net cash provided by operating activities and availability under our Revolving Credit Facility. Historically, we have funded working capital requirements, capital expenditures, payments related to acquisitions, and debt service requirements with internally generated cash on hand and through our Amended Term Loan and Revolving Credit Facility (each as defined below under “—Our Indebtedness”) and through the issuance of shares of our common stock. Our primary cash needs are to fund working capital, capital expenditures, debt service requirements and any acquisitions we may undertake. As of April 3, 2021, we had $19.9 million of cash, $406.0 million of outstanding borrowings and an additional</w:t>
      </w:r>
    </w:p>
    <w:p>
      <w:pPr>
        <w:spacing w:after="0" w:line="2"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$14.0 million of availability under our Revolving Credit Facility, which was undrawn. In April 2021, we completed our IPO, pursuant to which we issued and sold 23,000,000 shares of common stock, inclusive of 3,000,000 shares sold by us pursuant to the full exercise of the underwriters’ option to purchase additional shares. We received net proceeds of $400.1 million.</w:t>
      </w:r>
    </w:p>
    <w:p>
      <w:pPr>
        <w:spacing w:after="0" w:line="19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primary working capital requirements are for the purchase of inventory, payroll, rent, facility costs and other selling, general and administrative costs. Our working capital requirements fluctuate during the year, driven primarily by seasonality and the timing of raw material purchases. Our capital expenditures are primarily related to growth, including production capacity, storage and delivery equipment. We are in the midst of a multi-year capital plan to invest in our facilities, technology and systems, including investments to expand our fiberglass manufacturing capacity. We expect to fund these capital expenditures from net cash provided by operating activities.</w:t>
      </w:r>
    </w:p>
    <w:p>
      <w:pPr>
        <w:spacing w:after="0" w:line="188"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We believe that the net proceeds from our IPO remaining for general corporate purposes of $14.7 million, our existing cash, cash generated from operations and availability under our Revolving Credit Facility, will be adequate to fund our operating expenses and capital expenditure requirements over the next 12 months. We have based this estimate on assumptions that may prove to be wrong, and we could utilize our available capital resources sooner than we expect.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Revolving Credit Facility</w:t>
      </w:r>
    </w:p>
    <w:p>
      <w:pPr>
        <w:spacing w:after="0" w:line="22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On December 18, 2018, Latham Pool Products entered into an agreement (the “Credit Agreement”) with Nomura Corporate Funding Americas, LLC (“Nomura”) that included a revolving line of credit (the “Revolver”) and letters of credit (“Letters of Credit” or collectively with the Revolver, the “Revolving Credit Facility”), as well as a Term Loan (as described and defined below). The Revolving Credit Facility is utilized to finance ongoing general corporate and working capital needs with the Revolver of up to $30.0 million. The Revolving Credit Facility matures on December 18, 2023.</w:t>
      </w:r>
    </w:p>
    <w:p>
      <w:pPr>
        <w:spacing w:after="0" w:line="17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Revolving Credit Facility allows for either Eurocurrency borrowings, which bear interest ranging from 4.50% to 4.75%, or U.S. dollar base rate borrowings, which bear interest ranging from 3.50% to 3.75% depending on the First Lien Net Leverage Ratio, as defined in the Credit Agreement. A commitment fee accrues on any unused portion of the commitments under the Revolving Credit Facility. The commitment fee is due and payable quarterly in arrears and is equal to the applicable margin times the actual daily amount by which the $30.0 million initial commitment exceeds the sum of the outstanding borrowings under our Revolving Credit Facility. The applicable margin ranges from 0.375% to 0.500% as determined by our First Lien Net Leverage Ratio as defined in the Credit Agreement.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ind w:right="100" w:firstLine="324"/>
        <w:spacing w:after="0" w:line="263" w:lineRule="auto"/>
        <w:rPr>
          <w:sz w:val="20"/>
          <w:szCs w:val="20"/>
          <w:color w:val="auto"/>
        </w:rPr>
      </w:pPr>
      <w:r>
        <w:rPr>
          <w:rFonts w:ascii="Arial" w:cs="Arial" w:eastAsia="Arial" w:hAnsi="Arial"/>
          <w:sz w:val="18"/>
          <w:szCs w:val="18"/>
          <w:color w:val="auto"/>
        </w:rPr>
        <w:t>We are required to meet certain financial covenants, including maintaining specific liquidity measurements. There are also negative covenants, including certain restrictions on our ability to incur additional indebtedness, create liens, make investments, consolidate or merge with other entities, enter into transactions with affiliates and make prepayments.</w:t>
      </w:r>
    </w:p>
    <w:p>
      <w:pPr>
        <w:spacing w:after="0" w:line="184"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As of April 3, 2021 we had $16.0 million of outstanding borrowings under the Revolving Credit Facility. We used $16.0 million of our net proceeds from our IPO to repay the $16.0 million outstanding on the Revolving Credit Facility. The amount repaid under the Revolving Credit Facility can be reborrowed.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Term Loan Facility</w:t>
      </w:r>
    </w:p>
    <w:p>
      <w:pPr>
        <w:spacing w:after="0" w:line="225"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Pursuant to the Credit Agreement, Latham Pool Products also borrowed $215.0 million in term loans (the “Term Loan”). The Term Loan was amended in May 2019 and October 2020 to provide additional borrowings (the “Amended Term Loan”). The Term Loan was further amended on January 25, 2021, to provide an additional incremental term loan of $175.0 million (the “Third Amendment”). We accounted for $165.0 million of the borrowings under the Third Amendment as new debt and $10.0 million of the borrowings under the Third Amendment as a debt modification. We recorded an aggregate of $1.2 million of debt issuance costs as a direct reduction to the carrying amount of long-term debt on the condensed consolidated balance sheets. On January 25, 2021, Latham Pool Products borrowed the incremental term loan, and the proceeds were used on February 2, 2021 to repay a note payable to our Parent in the amount of $64.9 million (the “Parent Note”) in full and to make a $110.0 million dividend to our Parent. The Term Loan, together with the Third Amendment, are referred to as the “Amended Term Loan.”</w:t>
      </w:r>
    </w:p>
    <w:p>
      <w:pPr>
        <w:spacing w:after="0" w:line="178" w:lineRule="exact"/>
        <w:rPr>
          <w:sz w:val="20"/>
          <w:szCs w:val="20"/>
          <w:color w:val="auto"/>
        </w:rPr>
      </w:pPr>
    </w:p>
    <w:p>
      <w:pPr>
        <w:jc w:val="both"/>
        <w:ind w:right="120" w:firstLine="324"/>
        <w:spacing w:after="0" w:line="279" w:lineRule="auto"/>
        <w:rPr>
          <w:sz w:val="20"/>
          <w:szCs w:val="20"/>
          <w:color w:val="auto"/>
        </w:rPr>
      </w:pPr>
      <w:r>
        <w:rPr>
          <w:rFonts w:ascii="Arial" w:cs="Arial" w:eastAsia="Arial" w:hAnsi="Arial"/>
          <w:sz w:val="17"/>
          <w:szCs w:val="17"/>
          <w:color w:val="auto"/>
        </w:rPr>
        <w:t>The Amended Term Loan bears interest at (1) a base rate equal to the highest of (i) the Federal Funds Rate, as defined in the Credit Agreement, plus 1⁄2 of 1.00%, (ii) the “prime rate” published in the Money Rates section of the Wall Street Journal and (iii) LIBOR plus 1.00% (2) plus a Loan Margin, as defined in the Credit Agreement, of (i) 6.00% for Eurocurrency Rate Loans and (ii) 5.00% for Base Rate Loans, as defined in the Credit Agreement. The Amended Term Loan has a maturity date of June 18, 2025. Interest and principal payments are due quarterly.</w:t>
      </w:r>
    </w:p>
    <w:p>
      <w:pPr>
        <w:spacing w:after="0" w:line="171"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In connection with the Third Amendment, we are required to repay the outstanding principal balance of the Amended Term Loan in fixed quarterly payments of $5.8 million commencing March 31, 2021. In connection with the Amended Term Loan, we are subject to various financial reporting, financial and other covenants, including maintaining specific liquidity measurements.</w:t>
      </w:r>
    </w:p>
    <w:p>
      <w:pPr>
        <w:spacing w:after="0" w:line="184"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The obligations under the Credit Agreement are guaranteed by certain of our wholly owned subsidiaries as defined in the security agreement. The obligations under the Credit Agreement are secured by substantially all of the guarantors’ tangible and intangible assets, including, but not limited to, their accounts receivables, equipment, intellectual property, inventory, cash and cash equivalents, deposit accounts and security accounts. The Credit Agreement also restricts payments and other distributions unless certain conditions are met, which could restrict our ability to pay dividends.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April 3, 2021, we were in compliance with all covenants under the Revolving Credit Facility and the Amended Term Loan.</w:t>
      </w:r>
    </w:p>
    <w:p>
      <w:pPr>
        <w:spacing w:after="0" w:line="225" w:lineRule="exact"/>
        <w:rPr>
          <w:sz w:val="20"/>
          <w:szCs w:val="20"/>
          <w:color w:val="auto"/>
        </w:rPr>
      </w:pPr>
    </w:p>
    <w:p>
      <w:pPr>
        <w:jc w:val="both"/>
        <w:ind w:right="60" w:firstLine="324"/>
        <w:spacing w:after="0" w:line="277" w:lineRule="auto"/>
        <w:rPr>
          <w:sz w:val="20"/>
          <w:szCs w:val="20"/>
          <w:color w:val="auto"/>
        </w:rPr>
      </w:pPr>
      <w:r>
        <w:rPr>
          <w:rFonts w:ascii="Arial" w:cs="Arial" w:eastAsia="Arial" w:hAnsi="Arial"/>
          <w:sz w:val="18"/>
          <w:szCs w:val="18"/>
          <w:color w:val="auto"/>
        </w:rPr>
        <w:t>As of April 3, 2021 we had $390.0 million of outstanding borrowings under the Amended Term Loan. On April 27, 2021, we used a portion of the net proceeds of our IPO to repay $152.7 million of the Amended Term Loan.</w:t>
      </w:r>
    </w:p>
    <w:p>
      <w:pPr>
        <w:sectPr>
          <w:pgSz w:w="11900" w:h="16838" w:orient="portrait"/>
          <w:cols w:equalWidth="0" w:num="1">
            <w:col w:w="11200"/>
          </w:cols>
          <w:pgMar w:left="320" w:top="908" w:right="37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our sources and uses of cash for each of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cash provided by financing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Effect of exchange rate changes on cash</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decrease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Fiscal Quarter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jc w:val="right"/>
              <w:ind w:right="561"/>
              <w:spacing w:after="0" w:line="191" w:lineRule="exact"/>
              <w:rPr>
                <w:sz w:val="20"/>
                <w:szCs w:val="20"/>
                <w:color w:val="auto"/>
              </w:rPr>
            </w:pPr>
            <w:r>
              <w:rPr>
                <w:rFonts w:ascii="Arial" w:cs="Arial" w:eastAsia="Arial" w:hAnsi="Arial"/>
                <w:sz w:val="18"/>
                <w:szCs w:val="18"/>
                <w:b w:val="1"/>
                <w:bCs w:val="1"/>
                <w:color w:val="auto"/>
              </w:rPr>
              <w:t>April 3,</w:t>
            </w: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130"/>
              <w:spacing w:after="0" w:line="191" w:lineRule="exact"/>
              <w:rPr>
                <w:sz w:val="20"/>
                <w:szCs w:val="20"/>
                <w:color w:val="auto"/>
              </w:rPr>
            </w:pPr>
            <w:r>
              <w:rPr>
                <w:rFonts w:ascii="Arial" w:cs="Arial" w:eastAsia="Arial" w:hAnsi="Arial"/>
                <w:sz w:val="18"/>
                <w:szCs w:val="18"/>
                <w:b w:val="1"/>
                <w:bCs w:val="1"/>
                <w:color w:val="auto"/>
              </w:rPr>
              <w:t>March 28,</w:t>
            </w:r>
          </w:p>
        </w:tc>
        <w:tc>
          <w:tcPr>
            <w:tcW w:w="60" w:type="dxa"/>
            <w:vAlign w:val="bottom"/>
            <w:gridSpan w:val="3"/>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0" w:type="dxa"/>
            <w:vAlign w:val="bottom"/>
            <w:gridSpan w:val="5"/>
          </w:tcPr>
          <w:p>
            <w:pPr>
              <w:jc w:val="right"/>
              <w:ind w:right="770"/>
              <w:spacing w:after="0" w:line="195" w:lineRule="exact"/>
              <w:rPr>
                <w:sz w:val="20"/>
                <w:szCs w:val="20"/>
                <w:color w:val="auto"/>
              </w:rPr>
            </w:pPr>
            <w:r>
              <w:rPr>
                <w:rFonts w:ascii="Arial" w:cs="Arial" w:eastAsia="Arial" w:hAnsi="Arial"/>
                <w:sz w:val="18"/>
                <w:szCs w:val="18"/>
                <w:b w:val="1"/>
                <w:bCs w:val="1"/>
                <w:color w:val="auto"/>
              </w:rPr>
              <w:t>(in thousands)</w:t>
            </w:r>
          </w:p>
        </w:tc>
        <w:tc>
          <w:tcPr>
            <w:tcW w:w="60" w:type="dxa"/>
            <w:vAlign w:val="bottom"/>
            <w:gridSpan w:val="3"/>
          </w:tcPr>
          <w:p>
            <w:pPr>
              <w:spacing w:after="0"/>
              <w:rPr>
                <w:sz w:val="16"/>
                <w:szCs w:val="16"/>
                <w:color w:val="auto"/>
              </w:rPr>
            </w:pPr>
          </w:p>
        </w:tc>
      </w:tr>
      <w:tr>
        <w:trPr>
          <w:trHeight w:val="216"/>
        </w:trPr>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81"/>
              <w:spacing w:after="0"/>
              <w:rPr>
                <w:sz w:val="20"/>
                <w:szCs w:val="20"/>
                <w:color w:val="auto"/>
              </w:rPr>
            </w:pPr>
            <w:r>
              <w:rPr>
                <w:rFonts w:ascii="Arial" w:cs="Arial" w:eastAsia="Arial" w:hAnsi="Arial"/>
                <w:sz w:val="18"/>
                <w:szCs w:val="18"/>
                <w:color w:val="auto"/>
              </w:rPr>
              <w:t>(41,018)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(26,288)</w:t>
            </w: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81"/>
              <w:spacing w:after="0"/>
              <w:rPr>
                <w:sz w:val="20"/>
                <w:szCs w:val="20"/>
                <w:color w:val="auto"/>
              </w:rPr>
            </w:pPr>
            <w:r>
              <w:rPr>
                <w:rFonts w:ascii="Arial" w:cs="Arial" w:eastAsia="Arial" w:hAnsi="Arial"/>
                <w:sz w:val="18"/>
                <w:szCs w:val="18"/>
                <w:color w:val="auto"/>
              </w:rPr>
              <w:t>(4,608)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(2,789)</w:t>
            </w: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41"/>
              <w:spacing w:after="0"/>
              <w:rPr>
                <w:sz w:val="20"/>
                <w:szCs w:val="20"/>
                <w:color w:val="auto"/>
              </w:rPr>
            </w:pPr>
            <w:r>
              <w:rPr>
                <w:rFonts w:ascii="Arial" w:cs="Arial" w:eastAsia="Arial" w:hAnsi="Arial"/>
                <w:sz w:val="18"/>
                <w:szCs w:val="18"/>
                <w:color w:val="auto"/>
              </w:rPr>
              <w:t>6,054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4,600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right"/>
              <w:ind w:right="241"/>
              <w:spacing w:after="0"/>
              <w:rPr>
                <w:sz w:val="20"/>
                <w:szCs w:val="20"/>
                <w:color w:val="auto"/>
              </w:rPr>
            </w:pPr>
            <w:r>
              <w:rPr>
                <w:rFonts w:ascii="Arial" w:cs="Arial" w:eastAsia="Arial" w:hAnsi="Arial"/>
                <w:sz w:val="18"/>
                <w:szCs w:val="18"/>
                <w:color w:val="auto"/>
              </w:rPr>
              <w:t>207</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(1,694)</w:t>
            </w:r>
          </w:p>
        </w:tc>
      </w:tr>
      <w:tr>
        <w:trPr>
          <w:trHeight w:val="223"/>
        </w:trPr>
        <w:tc>
          <w:tcPr>
            <w:tcW w:w="20" w:type="dxa"/>
            <w:vAlign w:val="bottom"/>
          </w:tcPr>
          <w:p>
            <w:pPr>
              <w:spacing w:after="0"/>
              <w:rPr>
                <w:sz w:val="19"/>
                <w:szCs w:val="19"/>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(39,365</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(26,171</w:t>
            </w:r>
          </w:p>
        </w:tc>
        <w:tc>
          <w:tcPr>
            <w:tcW w:w="40" w:type="dxa"/>
            <w:vAlign w:val="bottom"/>
            <w:gridSpan w:val="2"/>
          </w:tcPr>
          <w:p>
            <w:pPr>
              <w:jc w:val="right"/>
              <w:spacing w:after="0"/>
              <w:rPr>
                <w:sz w:val="20"/>
                <w:szCs w:val="20"/>
                <w:color w:val="auto"/>
              </w:rPr>
            </w:pPr>
            <w:r>
              <w:rPr>
                <w:rFonts w:ascii="Arial" w:cs="Arial" w:eastAsia="Arial" w:hAnsi="Arial"/>
                <w:sz w:val="8"/>
                <w:szCs w:val="8"/>
                <w:color w:val="auto"/>
                <w:w w:val="73"/>
              </w:rPr>
              <w:t>)</w:t>
            </w:r>
          </w:p>
        </w:tc>
      </w:tr>
      <w:tr>
        <w:trPr>
          <w:trHeight w:val="20"/>
        </w:trPr>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20" w:space="720"/>
            <w:col w:w="2860"/>
          </w:cols>
          <w:pgMar w:left="320" w:top="908" w:right="379" w:bottom="1440" w:gutter="0" w:footer="0" w:header="0"/>
          <w:type w:val="continuous"/>
        </w:sect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type w:val="continuous"/>
        </w:sectPr>
      </w:pPr>
    </w:p>
    <w:bookmarkStart w:id="31" w:name="page32"/>
    <w:bookmarkEnd w:id="31"/>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During the fiscal quarter ended April 3, 2021, operating activities used $41.0 million of cash. Net income, after adjustments for non-cash items, provided cash of $22.1 million. Cash used in operating activities was further driven by changes in our operating assets and liabilities of $(63.1) million. Net cash used in changes in our operating assets and liabilities for the fiscal quarter ended April 3, 2021 consisted primarily of a $61.0 million increase in trade receivables, a $9.2 million increase in inventories, a $2.1 increase in income tax receivable, and a $4.1 decrease in accrued expenses and other current liabilities, partially offset by a $8.6 million increase in accounts payable and a $4.5 million increase in other long-term liabilities. The change in trade receivables was primarily due to the timing of and increase in net sales, and the increase in inventories was primarily due to increased production and inventory build in response to existing and anticipated customer demand. The change in income tax receivable was due to estimated tax payments made in excess of the actual annual tax provision. The changes in accrued expenses and other current liabilities and accounts payable were primarily due to the decrease and timing of payments for rebate accruals.</w:t>
      </w:r>
    </w:p>
    <w:p>
      <w:pPr>
        <w:spacing w:after="0" w:line="18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During the fiscal quarter ended March 28, 2020, operating activities used $26.3 million of cash. Net income, after adjustments for non-cash items, used cash of $7.8 million. Cash used in operating activities was further driven by changes in our operating assets and liabilities of $(18.5) million. Net cash used in changes in our operating assets and liabilities for the fiscal quarter ended March 28, 2020 consisted primarily of a $13.3 million increase in trade receivables, a $10.9 million increase in inventories, a $2.9 increase in income tax receivable, and a $1.7 decrease in accrued expenses and other current liabilities, partially offset by a $9.5 million increase in accounts payable. The change in trade receivables was primarily due to the timing of net sales, and the increase in inventories was primarily due to increased production in response to customer demand. The change in income tax receivable was due to estimated tax payments made in excess of the actual annual tax provision. The changes in accrued expenses and other current liabilities and accounts payable were primarily due to the decrease and timing of payments for rebate accruals, partially offset by payments for management incentives.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During the fiscal quarter ended April 3, 2021, investing activities used $4.6 million of cash, consisting of purchases of property and equipment for $4.6 million. The purchase of property and equipment was to expand capacity for inventory production in order to meet increasing customer demand.</w:t>
      </w:r>
    </w:p>
    <w:p>
      <w:pPr>
        <w:spacing w:after="0" w:line="124"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During the fiscal quarter ended March 28, 2020, investing activities used $2.8 million of cash, consisting of purchases of property and equipment of $2.8 million.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During the fiscal quarter ended April 3, 2021, financing activities provided $6.1 million of cash, primarily consisting of proceeds from borrowings on the term loan of $172.8 million and borrowings on the revolving credit facility of $16.0 million, partially offset by payment of $64.9 million used to pay down the Parent Note, dividends to parent of $110.0 million, and payments on long-term debt borrowings of $5.8 million.</w:t>
      </w:r>
    </w:p>
    <w:p>
      <w:pPr>
        <w:spacing w:after="0" w:line="16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During the fiscal quarter ended March 28, 2020, financing activities provided $4.6 million of cash, consisting of proceeds from borrowings on the revolving credit facility of $5.0 million, partially offset by distributions to parent of $0.4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Long-term indebtedness and interest on long-term indebtedness changed materially due to the Third Amendment dated January 25, 2021, which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increased the outstanding principal balance of the Term Loan by $175.0 million. A portion of these proceeds were used to pay down the Parent Note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$64.9 million in its entirety on February 2, 2021, which would have matured on October 20, 2023. The Third Amendment did not change the Term Loan’s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maturity date of June 18, 2025, at which time the remaining principal is due. The Third Amendment increased the fixed quarterly principal payments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$3.3 million under the Second Amendment to $5.8 million. Due to the increased principal payments under the Amended Term Loan and the settlement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Parent Note, the required principal payments are $17.3 million in the next year, $46.1 million in the next one to three years, and $334.0 million in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next four to five years. At the new assumed interest rate of 7.73% as of January 25, 2021, the interest payments are $28.1 million in the next year,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$51.3 million in the next one to three years, and $34.1 million in the next four to five years.</w:t>
      </w:r>
    </w:p>
    <w:p>
      <w:pPr>
        <w:spacing w:after="0" w:line="211" w:lineRule="exact"/>
        <w:rPr>
          <w:sz w:val="20"/>
          <w:szCs w:val="20"/>
          <w:color w:val="auto"/>
        </w:rPr>
      </w:pPr>
    </w:p>
    <w:p>
      <w:pPr>
        <w:jc w:val="both"/>
        <w:ind w:right="100" w:firstLine="324"/>
        <w:spacing w:after="0" w:line="286" w:lineRule="auto"/>
        <w:rPr>
          <w:sz w:val="20"/>
          <w:szCs w:val="20"/>
          <w:color w:val="auto"/>
        </w:rPr>
      </w:pPr>
      <w:r>
        <w:rPr>
          <w:rFonts w:ascii="Arial" w:cs="Arial" w:eastAsia="Arial" w:hAnsi="Arial"/>
          <w:sz w:val="17"/>
          <w:szCs w:val="17"/>
          <w:color w:val="auto"/>
        </w:rPr>
        <w:t>Upon completion of the IPO we used $152.7 million of the net proceeds from the IPO to repay $152.7 million of the Amended Term Loan under our Credit Agreement. The required principal payments after the use of the net proceeds to repay $152.7 million of the Amended Term Loan are $17.3 million in the next year, $46.1 million in the next one to three years and $181.3 million in the next four to five years.</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2" w:name="page33"/>
    <w:bookmarkEnd w:id="32"/>
    <w:p>
      <w:pPr>
        <w:ind w:right="500" w:firstLine="405"/>
        <w:spacing w:after="0" w:line="286" w:lineRule="auto"/>
        <w:rPr>
          <w:sz w:val="20"/>
          <w:szCs w:val="20"/>
          <w:color w:val="auto"/>
        </w:rPr>
      </w:pPr>
      <w:r>
        <w:rPr>
          <w:rFonts w:ascii="Arial" w:cs="Arial" w:eastAsia="Arial" w:hAnsi="Arial"/>
          <w:sz w:val="17"/>
          <w:szCs w:val="17"/>
          <w:color w:val="auto"/>
        </w:rPr>
        <w:t>There have been no other material changes, outside of the ordinary course of business, to these contractual obligations during the quarter ended April 3, 2021 from those described under the heading “Management’s Discussion and Analysis of Financial Condition and Results of Operations— Contractual Obligations” in our Prospectus with the exception of long-term indebtedness. See “—Our Indebtedness.”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0" w:firstLine="360"/>
        <w:spacing w:after="0" w:line="272" w:lineRule="auto"/>
        <w:rPr>
          <w:sz w:val="20"/>
          <w:szCs w:val="20"/>
          <w:color w:val="auto"/>
        </w:rPr>
      </w:pPr>
      <w:r>
        <w:rPr>
          <w:rFonts w:ascii="Arial" w:cs="Arial" w:eastAsia="Arial" w:hAnsi="Arial"/>
          <w:sz w:val="17"/>
          <w:szCs w:val="17"/>
          <w:color w:val="auto"/>
        </w:rPr>
        <w:t>Our condensed consolidated financial statements are prepared in accordance with generally accepted accounting principles in the United States. Throughout the preparation of these financial statements, we have made estimates and assumptions that impact the reported amounts of assets, liabilities and the disclosure of contingent liabilities at the date of the financial statements and revenues and expenses during the reporting period. Our critical accounting policies are described under the heading “Management’s Discussion and Analysis of Financial Condition and Results of Operations—Critical Accounting Policies and Estimates” in our Prospectus. These estimates are based on historical results, trends and other assumptions we believe to be reasonable. We evaluate these estimates on an ongoing basis. Actual results may differ from estimates. There have been no significant changes to our critical accounting policies from those described in our Prospectus.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9" w:lineRule="exact"/>
        <w:rPr>
          <w:sz w:val="20"/>
          <w:szCs w:val="20"/>
          <w:color w:val="auto"/>
        </w:rPr>
      </w:pPr>
    </w:p>
    <w:p>
      <w:pPr>
        <w:ind w:right="200" w:firstLine="360"/>
        <w:spacing w:after="0" w:line="308" w:lineRule="auto"/>
        <w:rPr>
          <w:sz w:val="20"/>
          <w:szCs w:val="20"/>
          <w:color w:val="auto"/>
        </w:rPr>
      </w:pPr>
      <w:r>
        <w:rPr>
          <w:rFonts w:ascii="Arial" w:cs="Arial" w:eastAsia="Arial" w:hAnsi="Arial"/>
          <w:sz w:val="17"/>
          <w:szCs w:val="17"/>
          <w:color w:val="auto"/>
        </w:rPr>
        <w:t>A description of recently issued accounting pronouncements that may potentially impact our financial position, results of operations or cash flows is disclosed in Note 2 to our condensed consolidated financial statements appearing elsewhere in this Quarterly Report on Form 10-Q.</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Market risk is the potential loss that may result from market changes associated with our business or with an existing or forecasted financial transaction. The value of a financial instrument may change as a result of changes in interest rates, exchange rates, commodity prices, equity prices and other market changes. We are exposed to changes in interest rates and foreign currency exchange rates because we finance certain operations through variable rate debt instruments and denominate some of our transactions in foreign currencies. Changes in these rates may have an impact on future cash flow and earnings. We manage these risks through normal operating and financing activities. During the fiscal quarter ended April 3, 2021, there have been no material changes to the information included under the heading “Management’s Discussion and Analysis of Financial Condition and Results of Operations— Quantitative and Qualitative Disclosures about Market Risk” in our Prospectus.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management, with the participation of our CEO and CFO, has evaluated the effectiveness of our disclosure controls and procedures (as defined in Rules 13a-15(e) and 15d-15(e) under the Securities Exchange Act of 1934, as amended (the “Exchange Act”), as of the end of the period covered by this Form 10-Q. Based on such evaluation, our CEO and CFO have concluded that as of April 3, 2021,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rules and forms of the SEC, and that such information is accumulated and communicated to our management, including our CEO and CFO, as appropriate, to allow timely decisions regarding required disclosure.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period covered by this Form 10-Q that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From time to time we may be involved in disputes or litigation relating to claims arising out of our operations. We are not currently a party to any legal proceedings that could reasonably be expected to have a material adverse effect on our business, financial condition and 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have disclosed under the heading “Risk Factors” in our Prospectus, the risk factors that materially affect our business, financial condition or results of operations. There have been no material changes from the risk factors previously disclosed. You should carefully consider the risk factors set forth in the Prospectus and the other information set forth elsewhere in this Form 10-Q. You should be aware that these risk factors and other information may not described every risk that we face. Additional risks and uncertainties not currently known to us or that we currently deem to be immaterial also may materially adversely affect our business, financial condition and/or operating results.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Public Offering</w:t>
      </w:r>
    </w:p>
    <w:p>
      <w:pPr>
        <w:spacing w:after="0" w:line="22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On April 22, 2021, we completed our IPO, which closed on April 27, 2021. Pursuant to the Registration Statement on Form S-1 (Registration No. 333-254930), which was declared effective by the SEC on April 22, 2021, we registered 23,000,000 shares of common stock. All 23,000,000 shares of our common stock were sold in the IPO at a price per share to the public of $19.00 for an aggregate offering price of $437.0 million. Barclays Capital Inc., BofA Securities, Inc., Morgan Stanley &amp; Co. LLC and Goldman Sachs &amp; Co. LLC were the representatives of the underwriters. The following tables show the per share and total underwriting discounts and commissions paid by us to the underwriters:</w:t>
      </w:r>
    </w:p>
    <w:p>
      <w:pPr>
        <w:spacing w:after="0" w:line="172"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7240" w:type="dxa"/>
            <w:vAlign w:val="bottom"/>
          </w:tcPr>
          <w:p>
            <w:pPr>
              <w:spacing w:after="0"/>
              <w:rPr>
                <w:sz w:val="20"/>
                <w:szCs w:val="20"/>
                <w:color w:val="auto"/>
              </w:rPr>
            </w:pPr>
            <w:r>
              <w:rPr>
                <w:rFonts w:ascii="Arial" w:cs="Arial" w:eastAsia="Arial" w:hAnsi="Arial"/>
                <w:sz w:val="18"/>
                <w:szCs w:val="18"/>
                <w:b w:val="1"/>
                <w:bCs w:val="1"/>
                <w:color w:val="auto"/>
              </w:rPr>
              <w:t>Underwriting Discounts and</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7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Commissions Paid By Us</w:t>
            </w:r>
          </w:p>
        </w:tc>
        <w:tc>
          <w:tcPr>
            <w:tcW w:w="24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Per Share</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3"/>
              </w:rPr>
              <w:t>30,590,000</w:t>
            </w:r>
          </w:p>
        </w:tc>
      </w:tr>
    </w:tbl>
    <w:p>
      <w:pPr>
        <w:spacing w:after="0" w:line="187"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The total gross proceeds of the IPO were approximately $437.0 million and the total net proceeds of the IPO were approximately $400.1 million. Of the proceeds, approximately $30.6 million was used to pay underwriting discounts and commissions and $6.3 million was used to pay other offering costs. Of the remaining proceeds, $168.7 million was used to repay $168.7 million of our indebtedness under our Amended Term Loan and the Revolving Credit Facility and $216.7 million was used to purchase 12,264,438 shares of common stock from our principal stockholders and a current employee. The remaining $14.7 million of the proceeds will be used for general corporate purposes, including working capital.</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has been no material change in the planned use of the IPO net proceeds from the use of proceeds described in the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Issuances of Common Stock</w:t>
      </w:r>
    </w:p>
    <w:p>
      <w:pPr>
        <w:spacing w:after="0" w:line="225"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In connection with our Reorganization, we issued 109,673,709 shares of common stock to our principal stockholders, our senior management and board members, and our current and former employees on April 22, 2021. The shares of common stock were issued in reliance on the exemption contained in Section 4(a)(2) of the Securities Act on the basis that the transaction did not involve a public offering. No underwriters were involved in the transaction.</w:t>
      </w: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gridSpan w:val="3"/>
          </w:tcPr>
          <w:p>
            <w:pPr>
              <w:spacing w:after="0"/>
              <w:rPr>
                <w:sz w:val="20"/>
                <w:szCs w:val="20"/>
                <w:color w:val="auto"/>
              </w:rPr>
            </w:pPr>
            <w:r>
              <w:rPr>
                <w:rFonts w:ascii="Arial" w:cs="Arial" w:eastAsia="Arial" w:hAnsi="Arial"/>
                <w:sz w:val="18"/>
                <w:szCs w:val="18"/>
                <w:color w:val="auto"/>
              </w:rPr>
              <w:t>Exhibit</w:t>
            </w:r>
          </w:p>
        </w:tc>
        <w:tc>
          <w:tcPr>
            <w:tcW w:w="16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0"/>
        </w:trPr>
        <w:tc>
          <w:tcPr>
            <w:tcW w:w="860" w:type="dxa"/>
            <w:vAlign w:val="bottom"/>
            <w:gridSpan w:val="3"/>
          </w:tcPr>
          <w:p>
            <w:pPr>
              <w:spacing w:after="0"/>
              <w:rPr>
                <w:sz w:val="20"/>
                <w:szCs w:val="20"/>
                <w:color w:val="auto"/>
              </w:rPr>
            </w:pPr>
            <w:r>
              <w:rPr>
                <w:rFonts w:ascii="Arial" w:cs="Arial" w:eastAsia="Arial" w:hAnsi="Arial"/>
                <w:sz w:val="18"/>
                <w:szCs w:val="18"/>
                <w:color w:val="auto"/>
              </w:rPr>
              <w:t>No.</w:t>
            </w:r>
          </w:p>
        </w:tc>
        <w:tc>
          <w:tcPr>
            <w:tcW w:w="10180" w:type="dxa"/>
            <w:vAlign w:val="bottom"/>
            <w:gridSpan w:val="9"/>
          </w:tcPr>
          <w:p>
            <w:pPr>
              <w:ind w:left="160"/>
              <w:spacing w:after="0"/>
              <w:rPr>
                <w:sz w:val="20"/>
                <w:szCs w:val="20"/>
                <w:color w:val="auto"/>
              </w:rPr>
            </w:pPr>
            <w:r>
              <w:rPr>
                <w:rFonts w:ascii="Arial" w:cs="Arial" w:eastAsia="Arial" w:hAnsi="Arial"/>
                <w:sz w:val="18"/>
                <w:szCs w:val="18"/>
                <w:color w:val="auto"/>
              </w:rPr>
              <w:t>Description</w:t>
            </w:r>
          </w:p>
        </w:tc>
      </w:tr>
      <w:tr>
        <w:trPr>
          <w:trHeight w:val="203"/>
        </w:trPr>
        <w:tc>
          <w:tcPr>
            <w:tcW w:w="420" w:type="dxa"/>
            <w:vAlign w:val="bottom"/>
            <w:tcBorders>
              <w:bottom w:val="single" w:sz="8" w:color="0000EE"/>
            </w:tcBorders>
            <w:gridSpan w:val="2"/>
          </w:tcPr>
          <w:p>
            <w:pPr>
              <w:spacing w:after="0" w:line="202" w:lineRule="exact"/>
              <w:rPr>
                <w:rFonts w:ascii="Arial" w:cs="Arial" w:eastAsia="Arial" w:hAnsi="Arial"/>
                <w:sz w:val="18"/>
                <w:szCs w:val="18"/>
                <w:color w:val="0000EE"/>
                <w:w w:val="95"/>
              </w:rPr>
            </w:pPr>
            <w:hyperlink w:anchor="page38">
              <w:r>
                <w:rPr>
                  <w:rFonts w:ascii="Arial" w:cs="Arial" w:eastAsia="Arial" w:hAnsi="Arial"/>
                  <w:sz w:val="18"/>
                  <w:szCs w:val="18"/>
                  <w:color w:val="0000EE"/>
                  <w:w w:val="95"/>
                </w:rPr>
                <w:t>2.</w:t>
              </w:r>
              <w:r>
                <w:rPr>
                  <w:rFonts w:ascii="Arial" w:cs="Arial" w:eastAsia="Arial" w:hAnsi="Arial"/>
                  <w:sz w:val="18"/>
                  <w:szCs w:val="18"/>
                  <w:u w:val="single" w:color="auto"/>
                  <w:color w:val="0000EE"/>
                  <w:w w:val="95"/>
                </w:rPr>
                <w:t>1*#</w:t>
              </w:r>
            </w:hyperlink>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0" w:type="dxa"/>
            <w:vAlign w:val="bottom"/>
            <w:tcBorders>
              <w:bottom w:val="single" w:sz="8" w:color="0000EE"/>
            </w:tcBorders>
            <w:gridSpan w:val="5"/>
          </w:tcPr>
          <w:p>
            <w:pPr>
              <w:spacing w:after="0" w:line="202"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Merger Agreement by and between Latham Group, Inc. and Latham Investment Holdings, L.P., dated as of April 22, 2021</w:t>
              </w:r>
            </w:hyperlink>
          </w:p>
        </w:tc>
        <w:tc>
          <w:tcPr>
            <w:tcW w:w="1220" w:type="dxa"/>
            <w:vAlign w:val="bottom"/>
            <w:gridSpan w:val="3"/>
          </w:tcPr>
          <w:p>
            <w:pPr>
              <w:spacing w:after="0"/>
              <w:rPr>
                <w:sz w:val="17"/>
                <w:szCs w:val="17"/>
                <w:color w:val="auto"/>
              </w:rPr>
            </w:pPr>
          </w:p>
        </w:tc>
      </w:tr>
      <w:tr>
        <w:trPr>
          <w:trHeight w:val="223"/>
        </w:trPr>
        <w:tc>
          <w:tcPr>
            <w:tcW w:w="320" w:type="dxa"/>
            <w:vAlign w:val="bottom"/>
          </w:tcPr>
          <w:p>
            <w:pPr>
              <w:spacing w:after="0"/>
              <w:rPr>
                <w:rFonts w:ascii="Arial" w:cs="Arial" w:eastAsia="Arial" w:hAnsi="Arial"/>
                <w:sz w:val="18"/>
                <w:szCs w:val="18"/>
                <w:color w:val="0000EE"/>
                <w:w w:val="93"/>
              </w:rPr>
            </w:pPr>
            <w:hyperlink w:anchor="page92">
              <w:r>
                <w:rPr>
                  <w:rFonts w:ascii="Arial" w:cs="Arial" w:eastAsia="Arial" w:hAnsi="Arial"/>
                  <w:sz w:val="18"/>
                  <w:szCs w:val="18"/>
                  <w:color w:val="0000EE"/>
                  <w:w w:val="93"/>
                </w:rPr>
                <w:t>3.</w:t>
              </w:r>
              <w:r>
                <w:rPr>
                  <w:rFonts w:ascii="Arial" w:cs="Arial" w:eastAsia="Arial" w:hAnsi="Arial"/>
                  <w:sz w:val="18"/>
                  <w:szCs w:val="18"/>
                  <w:u w:val="single" w:color="auto"/>
                  <w:color w:val="0000EE"/>
                  <w:w w:val="93"/>
                </w:rPr>
                <w:t>1*</w:t>
              </w:r>
            </w:hyperlink>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20" w:type="dxa"/>
            <w:vAlign w:val="bottom"/>
            <w:gridSpan w:val="8"/>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Amended and Restated Certificate of Incorporation of Latham Group, Inc., dated as of April 22, 2021</w:t>
              </w:r>
            </w:hyperlink>
          </w:p>
        </w:tc>
      </w:tr>
      <w:tr>
        <w:trPr>
          <w:trHeight w:val="223"/>
        </w:trPr>
        <w:tc>
          <w:tcPr>
            <w:tcW w:w="320" w:type="dxa"/>
            <w:vAlign w:val="bottom"/>
            <w:tcBorders>
              <w:top w:val="single" w:sz="8" w:color="0000EE"/>
            </w:tcBorders>
          </w:tcPr>
          <w:p>
            <w:pPr>
              <w:spacing w:after="0"/>
              <w:rPr>
                <w:rFonts w:ascii="Arial" w:cs="Arial" w:eastAsia="Arial" w:hAnsi="Arial"/>
                <w:sz w:val="18"/>
                <w:szCs w:val="18"/>
                <w:color w:val="0000EE"/>
                <w:w w:val="93"/>
              </w:rPr>
            </w:pPr>
            <w:hyperlink w:anchor="page109">
              <w:r>
                <w:rPr>
                  <w:rFonts w:ascii="Arial" w:cs="Arial" w:eastAsia="Arial" w:hAnsi="Arial"/>
                  <w:sz w:val="18"/>
                  <w:szCs w:val="18"/>
                  <w:color w:val="0000EE"/>
                  <w:w w:val="93"/>
                </w:rPr>
                <w:t>3.</w:t>
              </w:r>
              <w:r>
                <w:rPr>
                  <w:rFonts w:ascii="Arial" w:cs="Arial" w:eastAsia="Arial" w:hAnsi="Arial"/>
                  <w:sz w:val="18"/>
                  <w:szCs w:val="18"/>
                  <w:u w:val="single" w:color="auto"/>
                  <w:color w:val="0000EE"/>
                  <w:w w:val="93"/>
                </w:rPr>
                <w:t>2*</w:t>
              </w:r>
            </w:hyperlink>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320" w:type="dxa"/>
            <w:vAlign w:val="bottom"/>
            <w:tcBorders>
              <w:top w:val="single" w:sz="8" w:color="0000EE"/>
            </w:tcBorders>
            <w:gridSpan w:val="4"/>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Amended and Restated Bylaws of Latham Group, Inc., dated as of April 22, 2021</w:t>
              </w:r>
            </w:hyperlink>
          </w:p>
        </w:tc>
        <w:tc>
          <w:tcPr>
            <w:tcW w:w="2700" w:type="dxa"/>
            <w:vAlign w:val="bottom"/>
            <w:gridSpan w:val="4"/>
          </w:tcPr>
          <w:p>
            <w:pPr>
              <w:spacing w:after="0"/>
              <w:rPr>
                <w:sz w:val="19"/>
                <w:szCs w:val="19"/>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3"/>
        </w:trPr>
        <w:tc>
          <w:tcPr>
            <w:tcW w:w="42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134">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1*</w:t>
              </w:r>
            </w:hyperlink>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9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134">
              <w:r>
                <w:rPr>
                  <w:rFonts w:ascii="Arial" w:cs="Arial" w:eastAsia="Arial" w:hAnsi="Arial"/>
                  <w:sz w:val="18"/>
                  <w:szCs w:val="18"/>
                  <w:color w:val="0000EE"/>
                  <w:w w:val="91"/>
                </w:rPr>
                <w:t>Certification of CEO, pursuant to SEC Rule 13a-14(a) and 15d-14(a)</w:t>
              </w:r>
            </w:hyperlink>
          </w:p>
        </w:tc>
        <w:tc>
          <w:tcPr>
            <w:tcW w:w="5040" w:type="dxa"/>
            <w:vAlign w:val="bottom"/>
            <w:gridSpan w:val="6"/>
          </w:tcPr>
          <w:p>
            <w:pPr>
              <w:spacing w:after="0"/>
              <w:rPr>
                <w:sz w:val="19"/>
                <w:szCs w:val="19"/>
                <w:color w:val="auto"/>
              </w:rPr>
            </w:pPr>
          </w:p>
        </w:tc>
      </w:tr>
      <w:tr>
        <w:trPr>
          <w:trHeight w:val="223"/>
        </w:trPr>
        <w:tc>
          <w:tcPr>
            <w:tcW w:w="42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136">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2*</w:t>
              </w:r>
            </w:hyperlink>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960" w:type="dxa"/>
            <w:vAlign w:val="bottom"/>
            <w:tcBorders>
              <w:bottom w:val="single" w:sz="8" w:color="0000EE"/>
            </w:tcBorders>
          </w:tcPr>
          <w:p>
            <w:pPr>
              <w:spacing w:after="0"/>
              <w:rPr>
                <w:rFonts w:ascii="Arial" w:cs="Arial" w:eastAsia="Arial" w:hAnsi="Arial"/>
                <w:sz w:val="18"/>
                <w:szCs w:val="18"/>
                <w:color w:val="0000EE"/>
                <w:w w:val="90"/>
              </w:rPr>
            </w:pPr>
            <w:hyperlink w:anchor="page136">
              <w:r>
                <w:rPr>
                  <w:rFonts w:ascii="Arial" w:cs="Arial" w:eastAsia="Arial" w:hAnsi="Arial"/>
                  <w:sz w:val="18"/>
                  <w:szCs w:val="18"/>
                  <w:color w:val="0000EE"/>
                  <w:w w:val="90"/>
                </w:rPr>
                <w:t>Certification of CFO, pursuant to SEC Rule 13a-14(a) and 15d-14(a)</w:t>
              </w:r>
            </w:hyperlink>
          </w:p>
        </w:tc>
        <w:tc>
          <w:tcPr>
            <w:tcW w:w="5060" w:type="dxa"/>
            <w:vAlign w:val="bottom"/>
            <w:gridSpan w:val="7"/>
          </w:tcPr>
          <w:p>
            <w:pPr>
              <w:spacing w:after="0"/>
              <w:rPr>
                <w:sz w:val="19"/>
                <w:szCs w:val="19"/>
                <w:color w:val="auto"/>
              </w:rPr>
            </w:pPr>
          </w:p>
        </w:tc>
      </w:tr>
      <w:tr>
        <w:trPr>
          <w:trHeight w:val="223"/>
        </w:trPr>
        <w:tc>
          <w:tcPr>
            <w:tcW w:w="42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138">
              <w:r>
                <w:rPr>
                  <w:rFonts w:ascii="Arial" w:cs="Arial" w:eastAsia="Arial" w:hAnsi="Arial"/>
                  <w:sz w:val="18"/>
                  <w:szCs w:val="18"/>
                  <w:color w:val="0000EE"/>
                  <w:w w:val="95"/>
                </w:rPr>
                <w:t>32.</w:t>
              </w:r>
              <w:r>
                <w:rPr>
                  <w:rFonts w:ascii="Arial" w:cs="Arial" w:eastAsia="Arial" w:hAnsi="Arial"/>
                  <w:sz w:val="18"/>
                  <w:szCs w:val="18"/>
                  <w:u w:val="single" w:color="auto"/>
                  <w:color w:val="0000EE"/>
                  <w:w w:val="95"/>
                </w:rPr>
                <w:t>1*</w:t>
              </w:r>
            </w:hyperlink>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2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138">
              <w:r>
                <w:rPr>
                  <w:rFonts w:ascii="Arial" w:cs="Arial" w:eastAsia="Arial" w:hAnsi="Arial"/>
                  <w:sz w:val="18"/>
                  <w:szCs w:val="18"/>
                  <w:color w:val="0000EE"/>
                  <w:w w:val="90"/>
                </w:rPr>
                <w:t>Certification by the CEO, pursuant to 18 U.S.C. Section 1350, as adopted pursuant to Section 906 of the Sarbanes-Oxley Act of 2002</w:t>
              </w:r>
            </w:hyperlink>
          </w:p>
        </w:tc>
        <w:tc>
          <w:tcPr>
            <w:tcW w:w="400" w:type="dxa"/>
            <w:vAlign w:val="bottom"/>
          </w:tcPr>
          <w:p>
            <w:pPr>
              <w:spacing w:after="0"/>
              <w:rPr>
                <w:sz w:val="19"/>
                <w:szCs w:val="19"/>
                <w:color w:val="auto"/>
              </w:rPr>
            </w:pPr>
          </w:p>
        </w:tc>
      </w:tr>
      <w:tr>
        <w:trPr>
          <w:trHeight w:val="223"/>
        </w:trPr>
        <w:tc>
          <w:tcPr>
            <w:tcW w:w="42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139">
              <w:r>
                <w:rPr>
                  <w:rFonts w:ascii="Arial" w:cs="Arial" w:eastAsia="Arial" w:hAnsi="Arial"/>
                  <w:sz w:val="18"/>
                  <w:szCs w:val="18"/>
                  <w:color w:val="0000EE"/>
                  <w:w w:val="95"/>
                </w:rPr>
                <w:t>32.</w:t>
              </w:r>
              <w:r>
                <w:rPr>
                  <w:rFonts w:ascii="Arial" w:cs="Arial" w:eastAsia="Arial" w:hAnsi="Arial"/>
                  <w:sz w:val="18"/>
                  <w:szCs w:val="18"/>
                  <w:u w:val="single" w:color="auto"/>
                  <w:color w:val="0000EE"/>
                  <w:w w:val="95"/>
                </w:rPr>
                <w:t>2*</w:t>
              </w:r>
            </w:hyperlink>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139">
              <w:r>
                <w:rPr>
                  <w:rFonts w:ascii="Arial" w:cs="Arial" w:eastAsia="Arial" w:hAnsi="Arial"/>
                  <w:sz w:val="18"/>
                  <w:szCs w:val="18"/>
                  <w:color w:val="0000EE"/>
                  <w:w w:val="90"/>
                </w:rPr>
                <w:t>Certification by the CFO, pursuant to 18 U.S.C. Section 1350, as adopted pursuant to Section 906 of the Sarbanes-Oxley Act of 2002</w:t>
              </w:r>
            </w:hyperlink>
          </w:p>
        </w:tc>
        <w:tc>
          <w:tcPr>
            <w:tcW w:w="420" w:type="dxa"/>
            <w:vAlign w:val="bottom"/>
            <w:gridSpan w:val="2"/>
          </w:tcPr>
          <w:p>
            <w:pPr>
              <w:spacing w:after="0"/>
              <w:rPr>
                <w:sz w:val="19"/>
                <w:szCs w:val="19"/>
                <w:color w:val="auto"/>
              </w:rPr>
            </w:pPr>
          </w:p>
        </w:tc>
      </w:tr>
      <w:tr>
        <w:trPr>
          <w:trHeight w:val="249"/>
        </w:trPr>
        <w:tc>
          <w:tcPr>
            <w:tcW w:w="8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180" w:type="dxa"/>
            <w:vAlign w:val="bottom"/>
            <w:gridSpan w:val="9"/>
          </w:tcPr>
          <w:p>
            <w:pPr>
              <w:ind w:left="160"/>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 embedded</w:t>
            </w:r>
          </w:p>
        </w:tc>
      </w:tr>
      <w:tr>
        <w:trPr>
          <w:trHeight w:val="230"/>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180" w:type="dxa"/>
            <w:vAlign w:val="bottom"/>
            <w:gridSpan w:val="9"/>
          </w:tcPr>
          <w:p>
            <w:pPr>
              <w:ind w:left="160"/>
              <w:spacing w:after="0"/>
              <w:rPr>
                <w:sz w:val="20"/>
                <w:szCs w:val="20"/>
                <w:color w:val="auto"/>
              </w:rPr>
            </w:pPr>
            <w:r>
              <w:rPr>
                <w:rFonts w:ascii="Arial" w:cs="Arial" w:eastAsia="Arial" w:hAnsi="Arial"/>
                <w:sz w:val="18"/>
                <w:szCs w:val="18"/>
                <w:color w:val="auto"/>
              </w:rPr>
              <w:t>within the Inline XBRL document</w:t>
            </w:r>
          </w:p>
        </w:tc>
      </w:tr>
      <w:tr>
        <w:trPr>
          <w:trHeight w:val="243"/>
        </w:trPr>
        <w:tc>
          <w:tcPr>
            <w:tcW w:w="8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180" w:type="dxa"/>
            <w:vAlign w:val="bottom"/>
            <w:gridSpan w:val="9"/>
          </w:tcPr>
          <w:p>
            <w:pPr>
              <w:ind w:left="160"/>
              <w:spacing w:after="0"/>
              <w:rPr>
                <w:sz w:val="20"/>
                <w:szCs w:val="20"/>
                <w:color w:val="auto"/>
              </w:rPr>
            </w:pPr>
            <w:r>
              <w:rPr>
                <w:rFonts w:ascii="Arial" w:cs="Arial" w:eastAsia="Arial" w:hAnsi="Arial"/>
                <w:sz w:val="18"/>
                <w:szCs w:val="18"/>
                <w:color w:val="auto"/>
              </w:rPr>
              <w:t>Inline XBRL Taxonomy Extension Schema Document</w:t>
            </w:r>
          </w:p>
        </w:tc>
      </w:tr>
      <w:tr>
        <w:trPr>
          <w:trHeight w:val="243"/>
        </w:trPr>
        <w:tc>
          <w:tcPr>
            <w:tcW w:w="8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180" w:type="dxa"/>
            <w:vAlign w:val="bottom"/>
            <w:gridSpan w:val="9"/>
          </w:tcPr>
          <w:p>
            <w:pPr>
              <w:ind w:left="16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43"/>
        </w:trPr>
        <w:tc>
          <w:tcPr>
            <w:tcW w:w="8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180" w:type="dxa"/>
            <w:vAlign w:val="bottom"/>
            <w:gridSpan w:val="9"/>
          </w:tcPr>
          <w:p>
            <w:pPr>
              <w:ind w:left="16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43"/>
        </w:trPr>
        <w:tc>
          <w:tcPr>
            <w:tcW w:w="8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180" w:type="dxa"/>
            <w:vAlign w:val="bottom"/>
            <w:gridSpan w:val="9"/>
          </w:tcPr>
          <w:p>
            <w:pPr>
              <w:ind w:left="16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43"/>
        </w:trPr>
        <w:tc>
          <w:tcPr>
            <w:tcW w:w="8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180" w:type="dxa"/>
            <w:vAlign w:val="bottom"/>
            <w:gridSpan w:val="9"/>
          </w:tcPr>
          <w:p>
            <w:pPr>
              <w:ind w:left="16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43"/>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180" w:type="dxa"/>
            <w:vAlign w:val="bottom"/>
            <w:gridSpan w:val="9"/>
          </w:tcPr>
          <w:p>
            <w:pPr>
              <w:ind w:left="16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56" w:lineRule="exact"/>
        <w:rPr>
          <w:sz w:val="20"/>
          <w:szCs w:val="20"/>
          <w:color w:val="auto"/>
        </w:rPr>
      </w:pPr>
    </w:p>
    <w:p>
      <w:pPr>
        <w:ind w:left="1020" w:hanging="1012"/>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6" w:lineRule="exact"/>
        <w:rPr>
          <w:sz w:val="20"/>
          <w:szCs w:val="20"/>
          <w:color w:val="auto"/>
        </w:rPr>
      </w:pPr>
    </w:p>
    <w:p>
      <w:pPr>
        <w:ind w:left="5540" w:right="3660" w:hanging="5532"/>
        <w:spacing w:after="0" w:line="778"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Item 601(a)(v) of Regulation S-K.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904" w:right="539" w:bottom="1440" w:gutter="0" w:footer="0" w:header="0"/>
        </w:sectPr>
      </w:pPr>
    </w:p>
    <w:bookmarkStart w:id="36" w:name="page37"/>
    <w:bookmarkEnd w:id="36"/>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3, 2021</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LATHAM GROUP, INC.</w:t>
      </w:r>
    </w:p>
    <w:p>
      <w:pPr>
        <w:spacing w:after="0" w:line="27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James Mark Borseth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James Mark Borseth</w:t>
      </w:r>
    </w:p>
    <w:p>
      <w:pPr>
        <w:spacing w:after="0" w:line="3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4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0"/>
          </w:cols>
          <w:pgMar w:left="320" w:top="904" w:right="69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 AND PLAN OF MERGER</w:t>
      </w:r>
    </w:p>
    <w:p>
      <w:pPr>
        <w:spacing w:after="0" w:line="229" w:lineRule="exact"/>
        <w:rPr>
          <w:sz w:val="20"/>
          <w:szCs w:val="20"/>
          <w:color w:val="auto"/>
        </w:rPr>
      </w:pPr>
    </w:p>
    <w:p>
      <w:pPr>
        <w:ind w:right="40" w:firstLine="1296"/>
        <w:spacing w:after="0" w:line="263" w:lineRule="auto"/>
        <w:rPr>
          <w:sz w:val="20"/>
          <w:szCs w:val="20"/>
          <w:color w:val="auto"/>
        </w:rPr>
      </w:pPr>
      <w:r>
        <w:rPr>
          <w:rFonts w:ascii="Arial" w:cs="Arial" w:eastAsia="Arial" w:hAnsi="Arial"/>
          <w:sz w:val="18"/>
          <w:szCs w:val="18"/>
          <w:color w:val="auto"/>
        </w:rPr>
        <w:t>AGREEMENT AND PLAN OF MERGER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April 22, 2021, by and between Latham Investment Holdings, L.P., a Delaware limited partnership (the “</w:t>
      </w:r>
      <w:r>
        <w:rPr>
          <w:rFonts w:ascii="Arial" w:cs="Arial" w:eastAsia="Arial" w:hAnsi="Arial"/>
          <w:sz w:val="18"/>
          <w:szCs w:val="18"/>
          <w:u w:val="single" w:color="auto"/>
          <w:color w:val="auto"/>
        </w:rPr>
        <w:t>Partnership</w:t>
      </w:r>
      <w:r>
        <w:rPr>
          <w:rFonts w:ascii="Arial" w:cs="Arial" w:eastAsia="Arial" w:hAnsi="Arial"/>
          <w:sz w:val="18"/>
          <w:szCs w:val="18"/>
          <w:color w:val="auto"/>
        </w:rPr>
        <w:t>”), and Latham Group, Inc., a Delaware corporation (“</w:t>
      </w:r>
      <w:r>
        <w:rPr>
          <w:rFonts w:ascii="Arial" w:cs="Arial" w:eastAsia="Arial" w:hAnsi="Arial"/>
          <w:sz w:val="18"/>
          <w:szCs w:val="18"/>
          <w:u w:val="single" w:color="auto"/>
          <w:color w:val="auto"/>
        </w:rPr>
        <w:t>Topco</w:t>
      </w:r>
      <w:r>
        <w:rPr>
          <w:rFonts w:ascii="Arial" w:cs="Arial" w:eastAsia="Arial" w:hAnsi="Arial"/>
          <w:sz w:val="18"/>
          <w:szCs w:val="18"/>
          <w:color w:val="auto"/>
        </w:rPr>
        <w:t>” and together with the Partnership, collectively, the “</w:t>
      </w:r>
      <w:r>
        <w:rPr>
          <w:rFonts w:ascii="Arial" w:cs="Arial" w:eastAsia="Arial" w:hAnsi="Arial"/>
          <w:sz w:val="18"/>
          <w:szCs w:val="18"/>
          <w:u w:val="single" w:color="auto"/>
          <w:color w:val="auto"/>
        </w:rPr>
        <w:t>Constituent Companies</w:t>
      </w:r>
      <w:r>
        <w:rPr>
          <w:rFonts w:ascii="Arial" w:cs="Arial" w:eastAsia="Arial" w:hAnsi="Arial"/>
          <w:sz w:val="18"/>
          <w:szCs w:val="18"/>
          <w:color w:val="auto"/>
        </w:rPr>
        <w:t>”).</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Topco is a direct wholly-owned subsidiary of the Partnership;</w:t>
      </w:r>
    </w:p>
    <w:p>
      <w:pPr>
        <w:spacing w:after="0" w:line="225" w:lineRule="exact"/>
        <w:rPr>
          <w:sz w:val="20"/>
          <w:szCs w:val="20"/>
          <w:color w:val="auto"/>
        </w:rPr>
      </w:pPr>
    </w:p>
    <w:p>
      <w:pPr>
        <w:ind w:firstLine="1296"/>
        <w:spacing w:after="0" w:line="259" w:lineRule="auto"/>
        <w:rPr>
          <w:sz w:val="20"/>
          <w:szCs w:val="20"/>
          <w:color w:val="auto"/>
        </w:rPr>
      </w:pPr>
      <w:r>
        <w:rPr>
          <w:rFonts w:ascii="Arial" w:cs="Arial" w:eastAsia="Arial" w:hAnsi="Arial"/>
          <w:sz w:val="18"/>
          <w:szCs w:val="18"/>
          <w:color w:val="auto"/>
        </w:rPr>
        <w:t>WHEREAS, the Partnership previously entered into that certain Amended and Restated Limited Partnership Agreement of the Partnership, dated as of December 18, 2018, as amended by that certain Amendment No. 1 and Amendment No. 2 to the Amended and Restated Agreement of Limited Partnership of the Partnership (as the same may be further amended, restated, supplement or otherwise modified from time to time, the “</w:t>
      </w:r>
      <w:r>
        <w:rPr>
          <w:rFonts w:ascii="Arial" w:cs="Arial" w:eastAsia="Arial" w:hAnsi="Arial"/>
          <w:sz w:val="18"/>
          <w:szCs w:val="18"/>
          <w:u w:val="single" w:color="auto"/>
          <w:color w:val="auto"/>
        </w:rPr>
        <w:t>Partnership Agreement</w:t>
      </w:r>
      <w:r>
        <w:rPr>
          <w:rFonts w:ascii="Arial" w:cs="Arial" w:eastAsia="Arial" w:hAnsi="Arial"/>
          <w:sz w:val="18"/>
          <w:szCs w:val="18"/>
          <w:color w:val="auto"/>
        </w:rPr>
        <w: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WHEREAS, the Constituent Companies are entering into this Agreement in contemplation of the initial public offering of Topco;</w:t>
      </w:r>
    </w:p>
    <w:p>
      <w:pPr>
        <w:spacing w:after="0" w:line="237" w:lineRule="exact"/>
        <w:rPr>
          <w:sz w:val="20"/>
          <w:szCs w:val="20"/>
          <w:color w:val="auto"/>
        </w:rPr>
      </w:pPr>
    </w:p>
    <w:p>
      <w:pPr>
        <w:ind w:right="240" w:firstLine="1296"/>
        <w:spacing w:after="0" w:line="277" w:lineRule="auto"/>
        <w:rPr>
          <w:sz w:val="20"/>
          <w:szCs w:val="20"/>
          <w:color w:val="auto"/>
        </w:rPr>
      </w:pPr>
      <w:r>
        <w:rPr>
          <w:rFonts w:ascii="Arial" w:cs="Arial" w:eastAsia="Arial" w:hAnsi="Arial"/>
          <w:sz w:val="18"/>
          <w:szCs w:val="18"/>
          <w:color w:val="auto"/>
        </w:rPr>
        <w:t>WHEREAS, Section 264 of the Delaware General Corporation Law and Section 17-211 of the Delaware Revised Uniform Partnership Act (collectively, the “</w:t>
      </w:r>
      <w:r>
        <w:rPr>
          <w:rFonts w:ascii="Arial" w:cs="Arial" w:eastAsia="Arial" w:hAnsi="Arial"/>
          <w:sz w:val="18"/>
          <w:szCs w:val="18"/>
          <w:u w:val="single" w:color="auto"/>
          <w:color w:val="auto"/>
        </w:rPr>
        <w:t>Delaware Acts</w:t>
      </w:r>
      <w:r>
        <w:rPr>
          <w:rFonts w:ascii="Arial" w:cs="Arial" w:eastAsia="Arial" w:hAnsi="Arial"/>
          <w:sz w:val="18"/>
          <w:szCs w:val="18"/>
          <w:color w:val="auto"/>
        </w:rPr>
        <w:t>”), as applicable, permit the merger contemplated herein; and</w:t>
      </w:r>
    </w:p>
    <w:p>
      <w:pPr>
        <w:spacing w:after="0" w:line="170" w:lineRule="exact"/>
        <w:rPr>
          <w:sz w:val="20"/>
          <w:szCs w:val="20"/>
          <w:color w:val="auto"/>
        </w:rPr>
      </w:pPr>
    </w:p>
    <w:p>
      <w:pPr>
        <w:jc w:val="both"/>
        <w:ind w:right="300" w:firstLine="1296"/>
        <w:spacing w:after="0" w:line="277" w:lineRule="auto"/>
        <w:rPr>
          <w:sz w:val="20"/>
          <w:szCs w:val="20"/>
          <w:color w:val="auto"/>
        </w:rPr>
      </w:pPr>
      <w:r>
        <w:rPr>
          <w:rFonts w:ascii="Arial" w:cs="Arial" w:eastAsia="Arial" w:hAnsi="Arial"/>
          <w:sz w:val="18"/>
          <w:szCs w:val="18"/>
          <w:color w:val="auto"/>
        </w:rPr>
        <w:t>WHEREAS, the applicable governing bodies of each Constituent Company has approved and adopted this Agreement and the merger contemplated herein.</w:t>
      </w:r>
    </w:p>
    <w:p>
      <w:pPr>
        <w:spacing w:after="0" w:line="170" w:lineRule="exact"/>
        <w:rPr>
          <w:sz w:val="20"/>
          <w:szCs w:val="20"/>
          <w:color w:val="auto"/>
        </w:rPr>
      </w:pPr>
    </w:p>
    <w:p>
      <w:pPr>
        <w:ind w:right="380" w:firstLine="1296"/>
        <w:spacing w:after="0" w:line="277" w:lineRule="auto"/>
        <w:rPr>
          <w:sz w:val="20"/>
          <w:szCs w:val="20"/>
          <w:color w:val="auto"/>
        </w:rPr>
      </w:pPr>
      <w:r>
        <w:rPr>
          <w:rFonts w:ascii="Arial" w:cs="Arial" w:eastAsia="Arial" w:hAnsi="Arial"/>
          <w:sz w:val="18"/>
          <w:szCs w:val="18"/>
          <w:color w:val="auto"/>
        </w:rPr>
        <w:t>NOW, THEREFORE, in consideration of the mutual agreements contained herein and for other good and valuable consideration, the value, receipt and sufficiency of which are hereby acknowledged, the parties hereto agree as follows:</w:t>
      </w:r>
    </w:p>
    <w:p>
      <w:pPr>
        <w:spacing w:after="0" w:line="170" w:lineRule="exact"/>
        <w:rPr>
          <w:sz w:val="20"/>
          <w:szCs w:val="20"/>
          <w:color w:val="auto"/>
        </w:rPr>
      </w:pPr>
    </w:p>
    <w:p>
      <w:pPr>
        <w:jc w:val="both"/>
        <w:ind w:right="320" w:firstLine="1296"/>
        <w:spacing w:after="0" w:line="286"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The Merger</w:t>
      </w:r>
      <w:r>
        <w:rPr>
          <w:rFonts w:ascii="Arial" w:cs="Arial" w:eastAsia="Arial" w:hAnsi="Arial"/>
          <w:sz w:val="17"/>
          <w:szCs w:val="17"/>
          <w:i w:val="1"/>
          <w:iCs w:val="1"/>
          <w:color w:val="auto"/>
        </w:rPr>
        <w:t>.</w:t>
      </w:r>
      <w:r>
        <w:rPr>
          <w:rFonts w:ascii="Arial" w:cs="Arial" w:eastAsia="Arial" w:hAnsi="Arial"/>
          <w:sz w:val="17"/>
          <w:szCs w:val="17"/>
          <w:color w:val="auto"/>
        </w:rPr>
        <w:t xml:space="preserve"> Upon the terms and conditions of this Agreement and subject to the applicable provisions of the Delaware Acts, at the Effective Time (as defined in Section 1.2) the Partnership will be merged with and into Topco (the “</w:t>
      </w:r>
      <w:r>
        <w:rPr>
          <w:rFonts w:ascii="Arial" w:cs="Arial" w:eastAsia="Arial" w:hAnsi="Arial"/>
          <w:sz w:val="17"/>
          <w:szCs w:val="17"/>
          <w:u w:val="single" w:color="auto"/>
          <w:color w:val="auto"/>
        </w:rPr>
        <w:t>Merger</w:t>
      </w:r>
      <w:r>
        <w:rPr>
          <w:rFonts w:ascii="Arial" w:cs="Arial" w:eastAsia="Arial" w:hAnsi="Arial"/>
          <w:sz w:val="17"/>
          <w:szCs w:val="17"/>
          <w:color w:val="auto"/>
        </w:rPr>
        <w:t>”). Following the Merger, Topco will continue as the surviving corporation (the “</w:t>
      </w:r>
      <w:r>
        <w:rPr>
          <w:rFonts w:ascii="Arial" w:cs="Arial" w:eastAsia="Arial" w:hAnsi="Arial"/>
          <w:sz w:val="17"/>
          <w:szCs w:val="17"/>
          <w:u w:val="single" w:color="auto"/>
          <w:color w:val="auto"/>
        </w:rPr>
        <w:t>Surviving Corporation</w:t>
      </w:r>
      <w:r>
        <w:rPr>
          <w:rFonts w:ascii="Arial" w:cs="Arial" w:eastAsia="Arial" w:hAnsi="Arial"/>
          <w:sz w:val="17"/>
          <w:szCs w:val="17"/>
          <w:color w:val="auto"/>
        </w:rPr>
        <w:t>”) and the separate existence of the Partnership will cease.</w:t>
      </w:r>
    </w:p>
    <w:p>
      <w:pPr>
        <w:spacing w:after="0" w:line="165" w:lineRule="exact"/>
        <w:rPr>
          <w:sz w:val="20"/>
          <w:szCs w:val="20"/>
          <w:color w:val="auto"/>
        </w:rPr>
      </w:pPr>
    </w:p>
    <w:p>
      <w:pPr>
        <w:ind w:right="180" w:firstLine="1296"/>
        <w:spacing w:after="0" w:line="301"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Effective Time</w:t>
      </w:r>
      <w:r>
        <w:rPr>
          <w:rFonts w:ascii="Arial" w:cs="Arial" w:eastAsia="Arial" w:hAnsi="Arial"/>
          <w:sz w:val="16"/>
          <w:szCs w:val="16"/>
          <w:color w:val="auto"/>
        </w:rPr>
        <w:t xml:space="preserve">. The Merger shall become effective at such time as the certificate of merger,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is duly filed with the Secretary of State of the State of Delaware or at such other time as specified in the certificate of merger (the “</w:t>
      </w:r>
      <w:r>
        <w:rPr>
          <w:rFonts w:ascii="Arial" w:cs="Arial" w:eastAsia="Arial" w:hAnsi="Arial"/>
          <w:sz w:val="16"/>
          <w:szCs w:val="16"/>
          <w:u w:val="single" w:color="auto"/>
          <w:color w:val="auto"/>
        </w:rPr>
        <w:t>Effective</w:t>
      </w:r>
      <w:r>
        <w:rPr>
          <w:rFonts w:ascii="Arial" w:cs="Arial" w:eastAsia="Arial" w:hAnsi="Arial"/>
          <w:sz w:val="16"/>
          <w:szCs w:val="16"/>
          <w:color w:val="auto"/>
        </w:rPr>
        <w:t xml:space="preserve"> </w:t>
      </w:r>
      <w:r>
        <w:rPr>
          <w:rFonts w:ascii="Arial" w:cs="Arial" w:eastAsia="Arial" w:hAnsi="Arial"/>
          <w:sz w:val="16"/>
          <w:szCs w:val="16"/>
          <w:u w:val="single" w:color="auto"/>
          <w:color w:val="auto"/>
        </w:rPr>
        <w:t>Time</w:t>
      </w:r>
      <w:r>
        <w:rPr>
          <w:rFonts w:ascii="Arial" w:cs="Arial" w:eastAsia="Arial" w:hAnsi="Arial"/>
          <w:sz w:val="16"/>
          <w:szCs w:val="16"/>
          <w:color w:val="auto"/>
        </w:rPr>
        <w:t>”). The Constituent Companies agree that they will cause to be executed and filed or recorded any document or documents prescribed by the laws of the State of Delaware, and that they will cause to be performed all necessary acts within the State of Delaware and elsewhere to effectuate the Merger.</w:t>
      </w:r>
    </w:p>
    <w:p>
      <w:pPr>
        <w:spacing w:after="0" w:line="157" w:lineRule="exact"/>
        <w:rPr>
          <w:sz w:val="20"/>
          <w:szCs w:val="20"/>
          <w:color w:val="auto"/>
        </w:rPr>
      </w:pPr>
    </w:p>
    <w:p>
      <w:pPr>
        <w:ind w:right="80" w:firstLine="1296"/>
        <w:spacing w:after="0" w:line="259"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Effects of the Merger</w:t>
      </w:r>
      <w:r>
        <w:rPr>
          <w:rFonts w:ascii="Arial" w:cs="Arial" w:eastAsia="Arial" w:hAnsi="Arial"/>
          <w:sz w:val="18"/>
          <w:szCs w:val="18"/>
          <w:color w:val="auto"/>
        </w:rPr>
        <w:t>. The Merger will have the effects set forth in this Agreement and the applicable Delaware Acts. Without limiting the generality of the foregoing, as of the Effective Time, all properties, assets, rights, privileges, powers and franchises of the Partnership will vest in Topco, as the Surviving Corporation, and all claims, obligations, debts, liabilities and duties of the Partnership will become claims, obligations, debts, liabilities and duties of Topco, as the Surviving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ind w:firstLine="1296"/>
        <w:spacing w:after="0" w:line="275"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Certificate of Incorporation and Bylaws</w:t>
      </w:r>
      <w:r>
        <w:rPr>
          <w:rFonts w:ascii="Arial" w:cs="Arial" w:eastAsia="Arial" w:hAnsi="Arial"/>
          <w:sz w:val="17"/>
          <w:szCs w:val="17"/>
          <w:color w:val="auto"/>
        </w:rPr>
        <w:t xml:space="preserve">. At the Effective Time and without any further action by Topco or the Partnership, the certificate of incorporation of Topco, as in effect immediately prior to the Effective Time, shall be amended and restated in its entirety as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and, as so amended and restated, will be the certificate of incorporation of the Surviving Corporation until thereafter amended in accordance with the terms thereof or as provided by applicable law and (b) the parties hereto shall take all necessary action such that the bylaws of the Surviving Corporation, as in effect immediately prior to the Effective Time, shall be amended and restated as set forth on </w:t>
      </w:r>
      <w:r>
        <w:rPr>
          <w:rFonts w:ascii="Arial" w:cs="Arial" w:eastAsia="Arial" w:hAnsi="Arial"/>
          <w:sz w:val="17"/>
          <w:szCs w:val="17"/>
          <w:u w:val="single" w:color="auto"/>
          <w:color w:val="auto"/>
        </w:rPr>
        <w:t>Exhibit C</w:t>
      </w:r>
      <w:r>
        <w:rPr>
          <w:rFonts w:ascii="Arial" w:cs="Arial" w:eastAsia="Arial" w:hAnsi="Arial"/>
          <w:sz w:val="17"/>
          <w:szCs w:val="17"/>
          <w:color w:val="auto"/>
        </w:rPr>
        <w:t>.</w:t>
      </w:r>
    </w:p>
    <w:p>
      <w:pPr>
        <w:spacing w:after="0" w:line="176" w:lineRule="exact"/>
        <w:rPr>
          <w:sz w:val="20"/>
          <w:szCs w:val="20"/>
          <w:color w:val="auto"/>
        </w:rPr>
      </w:pPr>
    </w:p>
    <w:p>
      <w:pPr>
        <w:ind w:right="300" w:firstLine="1296"/>
        <w:spacing w:after="0" w:line="301"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Directors and Officers</w:t>
      </w:r>
      <w:r>
        <w:rPr>
          <w:rFonts w:ascii="Arial" w:cs="Arial" w:eastAsia="Arial" w:hAnsi="Arial"/>
          <w:sz w:val="16"/>
          <w:szCs w:val="16"/>
          <w:color w:val="auto"/>
        </w:rPr>
        <w:t>. The directors and officers of Topco serving in those positions immediately prior to the Effective Time shall continue as directors and officers of Topco, as the Surviving Corporation, and shall remain the directors and officers of the Surviving Corporation after the Merger, in each case, until their respective successors are duly elected or appointed and qualified or until the earlier of their death, resignation or removal in the manner provided in the Bylaws of Topco, as the Surviving Corporation, or as otherwise provided by law.</w:t>
      </w:r>
    </w:p>
    <w:p>
      <w:pPr>
        <w:spacing w:after="0" w:line="157" w:lineRule="exact"/>
        <w:rPr>
          <w:sz w:val="20"/>
          <w:szCs w:val="20"/>
          <w:color w:val="auto"/>
        </w:rPr>
      </w:pPr>
    </w:p>
    <w:p>
      <w:pPr>
        <w:ind w:right="60" w:firstLine="1296"/>
        <w:spacing w:after="0" w:line="255"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Merger Consideration</w:t>
      </w:r>
      <w:r>
        <w:rPr>
          <w:rFonts w:ascii="Arial" w:cs="Arial" w:eastAsia="Arial" w:hAnsi="Arial"/>
          <w:sz w:val="18"/>
          <w:szCs w:val="18"/>
          <w:color w:val="auto"/>
        </w:rPr>
        <w:t>. Upon the Effective Time, by virtue of the Merger and without any action on the part of the holder thereof, each Unit (as defined in the Partnership Agreement) of the Partnership outstanding immediately prior to the Effective Time shall be cancelled and converted into the right to receive, as determined in accordance with Sections 9.11 and 4.1 of the Partnership Agreement, shares of common stock of Topco, par value $0.0001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such that, immediately following the Effective Time, each former holder of Units shall hold the number of shares of vested and unvested Common Stock as further set forth opposite such person’s name on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 and subject to the conditions as set forth on Exhibit D attached hereto.</w:t>
      </w:r>
    </w:p>
    <w:p>
      <w:pPr>
        <w:spacing w:after="0" w:line="192" w:lineRule="exact"/>
        <w:rPr>
          <w:sz w:val="20"/>
          <w:szCs w:val="20"/>
          <w:color w:val="auto"/>
        </w:rPr>
      </w:pPr>
    </w:p>
    <w:p>
      <w:pPr>
        <w:ind w:right="300" w:firstLine="1296"/>
        <w:spacing w:after="0" w:line="342" w:lineRule="auto"/>
        <w:rPr>
          <w:sz w:val="20"/>
          <w:szCs w:val="20"/>
          <w:color w:val="auto"/>
        </w:rPr>
      </w:pPr>
      <w:r>
        <w:rPr>
          <w:rFonts w:ascii="Arial" w:cs="Arial" w:eastAsia="Arial" w:hAnsi="Arial"/>
          <w:sz w:val="16"/>
          <w:szCs w:val="16"/>
          <w:color w:val="auto"/>
        </w:rPr>
        <w:t xml:space="preserve">Section 1.7 </w:t>
      </w:r>
      <w:r>
        <w:rPr>
          <w:rFonts w:ascii="Arial" w:cs="Arial" w:eastAsia="Arial" w:hAnsi="Arial"/>
          <w:sz w:val="16"/>
          <w:szCs w:val="16"/>
          <w:u w:val="single" w:color="auto"/>
          <w:color w:val="auto"/>
        </w:rPr>
        <w:t>Fractional Shares</w:t>
      </w:r>
      <w:r>
        <w:rPr>
          <w:rFonts w:ascii="Arial" w:cs="Arial" w:eastAsia="Arial" w:hAnsi="Arial"/>
          <w:sz w:val="16"/>
          <w:szCs w:val="16"/>
          <w:color w:val="auto"/>
        </w:rPr>
        <w:t>. No fractional shares shall be issued in connection with the Merger. Former holders of Units who otherwise would be entitled to receive fractional shares of Common Stock shall be entitled to be rounded up to the next whole share of Common Stock.</w:t>
      </w:r>
    </w:p>
    <w:p>
      <w:pPr>
        <w:spacing w:after="0" w:line="124" w:lineRule="exact"/>
        <w:rPr>
          <w:sz w:val="20"/>
          <w:szCs w:val="20"/>
          <w:color w:val="auto"/>
        </w:rPr>
      </w:pPr>
    </w:p>
    <w:p>
      <w:pPr>
        <w:ind w:right="80" w:firstLine="1296"/>
        <w:spacing w:after="0" w:line="257"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Tax Treatment of the Merger</w:t>
      </w:r>
      <w:r>
        <w:rPr>
          <w:rFonts w:ascii="Arial" w:cs="Arial" w:eastAsia="Arial" w:hAnsi="Arial"/>
          <w:sz w:val="18"/>
          <w:szCs w:val="18"/>
          <w:color w:val="auto"/>
        </w:rPr>
        <w:t xml:space="preserve">. The Constituent Companies intend that the Merger constitutes a distribution by the Partnership of its Topco common stock to its partners in liquidation of the Partnership under Section 731 of the Internal Revenue Code of 1986, as amended, and the applicable Treasury regulations promulgated thereunder. The Constituent Companies shall not take any position (whether in audits, tax returns or otherwise) that is inconsistent with the intended treatment set forth in this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unless required to do so by a change in applicable law or a final determination.</w:t>
      </w:r>
    </w:p>
    <w:p>
      <w:pPr>
        <w:spacing w:after="0" w:line="188" w:lineRule="exact"/>
        <w:rPr>
          <w:sz w:val="20"/>
          <w:szCs w:val="20"/>
          <w:color w:val="auto"/>
        </w:rPr>
      </w:pPr>
    </w:p>
    <w:p>
      <w:pPr>
        <w:ind w:right="360" w:firstLine="1296"/>
        <w:spacing w:after="0" w:line="263"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(which may be delivered by facsimile or electronic transmission), all of which shall be considered one and the same agreement, and shall become effective when one or more such counterparts have been signed by the Constituent Companies and delivered to the other parties hereto.</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9" w:name="page40"/>
    <w:bookmarkEnd w:id="39"/>
    <w:p>
      <w:pPr>
        <w:ind w:left="1300"/>
        <w:spacing w:after="0"/>
        <w:rPr>
          <w:sz w:val="20"/>
          <w:szCs w:val="20"/>
          <w:color w:val="auto"/>
        </w:rPr>
      </w:pPr>
      <w:r>
        <w:rPr>
          <w:rFonts w:ascii="Arial" w:cs="Arial" w:eastAsia="Arial" w:hAnsi="Arial"/>
          <w:sz w:val="16"/>
          <w:szCs w:val="16"/>
          <w:color w:val="auto"/>
        </w:rPr>
        <w:t xml:space="preserve">Section 1.10  </w:t>
      </w:r>
      <w:r>
        <w:rPr>
          <w:rFonts w:ascii="Arial" w:cs="Arial" w:eastAsia="Arial" w:hAnsi="Arial"/>
          <w:sz w:val="16"/>
          <w:szCs w:val="16"/>
          <w:u w:val="single" w:color="auto"/>
          <w:color w:val="auto"/>
        </w:rPr>
        <w:t>Amendment</w:t>
      </w:r>
      <w:r>
        <w:rPr>
          <w:rFonts w:ascii="Arial" w:cs="Arial" w:eastAsia="Arial" w:hAnsi="Arial"/>
          <w:sz w:val="16"/>
          <w:szCs w:val="16"/>
          <w:color w:val="auto"/>
        </w:rPr>
        <w:t>. This Agreement may be amended or modified only by a written instrument executed by each of the parties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disputes arising under or related thereto (whether for breach of contract, tortious conduct or otherwise) shall be governed by and construed in accordance with the internal laws of the State of Delaware applicable to agreements made and to be performed entirely within such state, without regard to the conflicts of law principles of such state.</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40" w:name="page41"/>
    <w:bookmarkEnd w:id="40"/>
    <w:p>
      <w:pPr>
        <w:ind w:left="180"/>
        <w:spacing w:after="0"/>
        <w:rPr>
          <w:sz w:val="20"/>
          <w:szCs w:val="20"/>
          <w:color w:val="auto"/>
        </w:rPr>
      </w:pPr>
      <w:r>
        <w:rPr>
          <w:rFonts w:ascii="Arial" w:cs="Arial" w:eastAsia="Arial" w:hAnsi="Arial"/>
          <w:sz w:val="16"/>
          <w:szCs w:val="16"/>
          <w:color w:val="auto"/>
        </w:rPr>
        <w:t>IN WITNESS WHEREOF, the parties hereto have caused this Agreement to be duly executed as of the date first written above.</w:t>
      </w:r>
    </w:p>
    <w:p>
      <w:pPr>
        <w:spacing w:after="0" w:line="24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LATHAM GROUP, INC.</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Jason Duva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Jason Duva</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General Counsel and Chief Administrative Officer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LATHAM INVESTMENT HOLDINGS, 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 xml:space="preserve">By: Latham Investment Holdings GP, Inc., </w:t>
      </w:r>
      <w:r>
        <w:rPr>
          <w:rFonts w:ascii="Arial" w:cs="Arial" w:eastAsia="Arial" w:hAnsi="Arial"/>
          <w:sz w:val="17"/>
          <w:szCs w:val="17"/>
          <w:i w:val="1"/>
          <w:iCs w:val="1"/>
          <w:color w:val="auto"/>
        </w:rPr>
        <w:t>its general partner</w:t>
      </w:r>
    </w:p>
    <w:p>
      <w:pPr>
        <w:spacing w:after="0" w:line="23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Andrew 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Andrew Singer</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and Secretary</w:t>
      </w:r>
    </w:p>
    <w:p>
      <w:pPr>
        <w:spacing w:after="0" w:line="211"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Agreement and Plan of Merger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426085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360"/>
          </w:cols>
          <w:pgMar w:left="1440" w:top="908" w:right="109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Certificate of Merger</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426085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42" w:name="page43"/>
    <w:bookmarkEnd w:id="42"/>
    <w:p>
      <w:pPr>
        <w:jc w:val="center"/>
        <w:ind w:right="-39"/>
        <w:spacing w:after="0"/>
        <w:rPr>
          <w:sz w:val="20"/>
          <w:szCs w:val="20"/>
          <w:color w:val="auto"/>
        </w:rPr>
      </w:pPr>
      <w:r>
        <w:rPr>
          <w:rFonts w:ascii="Arial" w:cs="Arial" w:eastAsia="Arial" w:hAnsi="Arial"/>
          <w:sz w:val="18"/>
          <w:szCs w:val="18"/>
          <w:b w:val="1"/>
          <w:bCs w:val="1"/>
          <w:color w:val="auto"/>
        </w:rPr>
        <w:t>CERTIFICATE OF MERGER OF</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Latham Investment Holdings, L.P.</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 Delaware limited partnership)</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WITH AND INTO</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Delaware corporation)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Pursuant to Section 263 of the Delaware General Corporation Law (“</w:t>
      </w:r>
      <w:r>
        <w:rPr>
          <w:rFonts w:ascii="Arial" w:cs="Arial" w:eastAsia="Arial" w:hAnsi="Arial"/>
          <w:sz w:val="18"/>
          <w:szCs w:val="18"/>
          <w:u w:val="single" w:color="auto"/>
          <w:color w:val="auto"/>
        </w:rPr>
        <w:t>DGCL</w:t>
      </w:r>
      <w:r>
        <w:rPr>
          <w:rFonts w:ascii="Arial" w:cs="Arial" w:eastAsia="Arial" w:hAnsi="Arial"/>
          <w:sz w:val="18"/>
          <w:szCs w:val="18"/>
          <w:color w:val="auto"/>
        </w:rPr>
        <w:t>”) and</w:t>
      </w:r>
    </w:p>
    <w:p>
      <w:pPr>
        <w:spacing w:after="0" w:line="23"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Section 17-211 of the Delaware Revised Uniform Limited Partnership Act</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Dated as of </w:t>
      </w:r>
      <w:r>
        <w:rPr>
          <w:rFonts w:ascii="Arial" w:cs="Arial" w:eastAsia="Arial" w:hAnsi="Arial"/>
          <w:sz w:val="18"/>
          <w:szCs w:val="18"/>
          <w:u w:val="single" w:color="auto"/>
          <w:color w:val="auto"/>
        </w:rPr>
        <w:t>April 22</w:t>
      </w:r>
      <w:r>
        <w:rPr>
          <w:rFonts w:ascii="Arial" w:cs="Arial" w:eastAsia="Arial" w:hAnsi="Arial"/>
          <w:sz w:val="18"/>
          <w:szCs w:val="18"/>
          <w:color w:val="auto"/>
        </w:rPr>
        <w:t>, 2021</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Latham Group, Inc. (the “</w:t>
      </w:r>
      <w:r>
        <w:rPr>
          <w:rFonts w:ascii="Arial" w:cs="Arial" w:eastAsia="Arial" w:hAnsi="Arial"/>
          <w:sz w:val="18"/>
          <w:szCs w:val="18"/>
          <w:u w:val="single" w:color="auto"/>
          <w:color w:val="auto"/>
        </w:rPr>
        <w:t>Company</w:t>
      </w:r>
      <w:r>
        <w:rPr>
          <w:rFonts w:ascii="Arial" w:cs="Arial" w:eastAsia="Arial" w:hAnsi="Arial"/>
          <w:sz w:val="18"/>
          <w:szCs w:val="18"/>
          <w:color w:val="auto"/>
        </w:rPr>
        <w:t>”), a Delaware corporation, hereby certifies as follows:</w:t>
      </w:r>
    </w:p>
    <w:p>
      <w:pPr>
        <w:spacing w:after="0" w:line="221" w:lineRule="exact"/>
        <w:rPr>
          <w:sz w:val="20"/>
          <w:szCs w:val="20"/>
          <w:color w:val="auto"/>
        </w:rPr>
      </w:pPr>
    </w:p>
    <w:p>
      <w:pPr>
        <w:ind w:right="640" w:firstLine="1296"/>
        <w:spacing w:after="0" w:line="282" w:lineRule="auto"/>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name, jurisdiction of formation or organization and types of entities which are to merge (each entity, a “</w:t>
      </w:r>
      <w:r>
        <w:rPr>
          <w:rFonts w:ascii="Arial" w:cs="Arial" w:eastAsia="Arial" w:hAnsi="Arial"/>
          <w:sz w:val="18"/>
          <w:szCs w:val="18"/>
          <w:u w:val="single" w:color="auto"/>
          <w:color w:val="auto"/>
        </w:rPr>
        <w:t>Constituent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Entity</w:t>
      </w:r>
      <w:r>
        <w:rPr>
          <w:rFonts w:ascii="Arial" w:cs="Arial" w:eastAsia="Arial" w:hAnsi="Arial"/>
          <w:sz w:val="18"/>
          <w:szCs w:val="18"/>
          <w:color w:val="auto"/>
        </w:rPr>
        <w:t>”)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3400" w:type="dxa"/>
            <w:vAlign w:val="bottom"/>
          </w:tcPr>
          <w:p>
            <w:pPr>
              <w:ind w:left="1400"/>
              <w:spacing w:after="0"/>
              <w:rPr>
                <w:sz w:val="20"/>
                <w:szCs w:val="20"/>
                <w:color w:val="auto"/>
              </w:rPr>
            </w:pPr>
            <w:r>
              <w:rPr>
                <w:rFonts w:ascii="Arial" w:cs="Arial" w:eastAsia="Arial" w:hAnsi="Arial"/>
                <w:sz w:val="18"/>
                <w:szCs w:val="18"/>
                <w:b w:val="1"/>
                <w:bCs w:val="1"/>
                <w:color w:val="auto"/>
              </w:rPr>
              <w:t>Jurisdiction:</w:t>
            </w:r>
          </w:p>
        </w:tc>
        <w:tc>
          <w:tcPr>
            <w:tcW w:w="2440" w:type="dxa"/>
            <w:vAlign w:val="bottom"/>
          </w:tcPr>
          <w:p>
            <w:pPr>
              <w:ind w:left="1020"/>
              <w:spacing w:after="0"/>
              <w:rPr>
                <w:sz w:val="20"/>
                <w:szCs w:val="20"/>
                <w:color w:val="auto"/>
              </w:rPr>
            </w:pPr>
            <w:r>
              <w:rPr>
                <w:rFonts w:ascii="Arial" w:cs="Arial" w:eastAsia="Arial" w:hAnsi="Arial"/>
                <w:sz w:val="18"/>
                <w:szCs w:val="18"/>
                <w:b w:val="1"/>
                <w:bCs w:val="1"/>
                <w:color w:val="auto"/>
              </w:rPr>
              <w:t>Entity Type:</w:t>
            </w:r>
          </w:p>
        </w:tc>
      </w:tr>
      <w:tr>
        <w:trPr>
          <w:trHeight w:val="432"/>
        </w:trPr>
        <w:tc>
          <w:tcPr>
            <w:tcW w:w="3860" w:type="dxa"/>
            <w:vAlign w:val="bottom"/>
          </w:tcPr>
          <w:p>
            <w:pPr>
              <w:spacing w:after="0"/>
              <w:rPr>
                <w:sz w:val="20"/>
                <w:szCs w:val="20"/>
                <w:color w:val="auto"/>
              </w:rPr>
            </w:pPr>
            <w:r>
              <w:rPr>
                <w:rFonts w:ascii="Arial" w:cs="Arial" w:eastAsia="Arial" w:hAnsi="Arial"/>
                <w:sz w:val="18"/>
                <w:szCs w:val="18"/>
                <w:color w:val="auto"/>
              </w:rPr>
              <w:t>Latham Investment Holdings, L.P.</w:t>
            </w:r>
          </w:p>
        </w:tc>
        <w:tc>
          <w:tcPr>
            <w:tcW w:w="3400" w:type="dxa"/>
            <w:vAlign w:val="bottom"/>
          </w:tcPr>
          <w:p>
            <w:pPr>
              <w:ind w:left="1400"/>
              <w:spacing w:after="0"/>
              <w:rPr>
                <w:sz w:val="20"/>
                <w:szCs w:val="20"/>
                <w:color w:val="auto"/>
              </w:rPr>
            </w:pPr>
            <w:r>
              <w:rPr>
                <w:rFonts w:ascii="Arial" w:cs="Arial" w:eastAsia="Arial" w:hAnsi="Arial"/>
                <w:sz w:val="18"/>
                <w:szCs w:val="18"/>
                <w:color w:val="auto"/>
              </w:rPr>
              <w:t>Delaware</w:t>
            </w:r>
          </w:p>
        </w:tc>
        <w:tc>
          <w:tcPr>
            <w:tcW w:w="2440" w:type="dxa"/>
            <w:vAlign w:val="bottom"/>
          </w:tcPr>
          <w:p>
            <w:pPr>
              <w:ind w:left="1020"/>
              <w:spacing w:after="0"/>
              <w:rPr>
                <w:sz w:val="20"/>
                <w:szCs w:val="20"/>
                <w:color w:val="auto"/>
              </w:rPr>
            </w:pPr>
            <w:r>
              <w:rPr>
                <w:rFonts w:ascii="Arial" w:cs="Arial" w:eastAsia="Arial" w:hAnsi="Arial"/>
                <w:sz w:val="18"/>
                <w:szCs w:val="18"/>
                <w:color w:val="auto"/>
                <w:w w:val="91"/>
              </w:rPr>
              <w:t>Limited partnership</w:t>
            </w:r>
          </w:p>
        </w:tc>
      </w:tr>
      <w:tr>
        <w:trPr>
          <w:trHeight w:val="432"/>
        </w:trPr>
        <w:tc>
          <w:tcPr>
            <w:tcW w:w="3860" w:type="dxa"/>
            <w:vAlign w:val="bottom"/>
          </w:tcPr>
          <w:p>
            <w:pPr>
              <w:spacing w:after="0"/>
              <w:rPr>
                <w:sz w:val="20"/>
                <w:szCs w:val="20"/>
                <w:color w:val="auto"/>
              </w:rPr>
            </w:pPr>
            <w:r>
              <w:rPr>
                <w:rFonts w:ascii="Arial" w:cs="Arial" w:eastAsia="Arial" w:hAnsi="Arial"/>
                <w:sz w:val="18"/>
                <w:szCs w:val="18"/>
                <w:color w:val="auto"/>
              </w:rPr>
              <w:t>Latham Group, Inc.</w:t>
            </w:r>
          </w:p>
        </w:tc>
        <w:tc>
          <w:tcPr>
            <w:tcW w:w="3400" w:type="dxa"/>
            <w:vAlign w:val="bottom"/>
          </w:tcPr>
          <w:p>
            <w:pPr>
              <w:ind w:left="1400"/>
              <w:spacing w:after="0"/>
              <w:rPr>
                <w:sz w:val="20"/>
                <w:szCs w:val="20"/>
                <w:color w:val="auto"/>
              </w:rPr>
            </w:pPr>
            <w:r>
              <w:rPr>
                <w:rFonts w:ascii="Arial" w:cs="Arial" w:eastAsia="Arial" w:hAnsi="Arial"/>
                <w:sz w:val="18"/>
                <w:szCs w:val="18"/>
                <w:color w:val="auto"/>
              </w:rPr>
              <w:t>Delaware</w:t>
            </w:r>
          </w:p>
        </w:tc>
        <w:tc>
          <w:tcPr>
            <w:tcW w:w="2440" w:type="dxa"/>
            <w:vAlign w:val="bottom"/>
          </w:tcPr>
          <w:p>
            <w:pPr>
              <w:ind w:left="1020"/>
              <w:spacing w:after="0"/>
              <w:rPr>
                <w:sz w:val="20"/>
                <w:szCs w:val="20"/>
                <w:color w:val="auto"/>
              </w:rPr>
            </w:pPr>
            <w:r>
              <w:rPr>
                <w:rFonts w:ascii="Arial" w:cs="Arial" w:eastAsia="Arial" w:hAnsi="Arial"/>
                <w:sz w:val="18"/>
                <w:szCs w:val="18"/>
                <w:color w:val="auto"/>
              </w:rPr>
              <w:t>Corporation</w:t>
            </w:r>
          </w:p>
        </w:tc>
      </w:tr>
    </w:tbl>
    <w:p>
      <w:pPr>
        <w:spacing w:after="0" w:line="198" w:lineRule="exact"/>
        <w:rPr>
          <w:sz w:val="20"/>
          <w:szCs w:val="20"/>
          <w:color w:val="auto"/>
        </w:rPr>
      </w:pPr>
    </w:p>
    <w:p>
      <w:pPr>
        <w:ind w:right="760" w:firstLine="1296"/>
        <w:spacing w:after="0" w:line="282" w:lineRule="auto"/>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18"/>
          <w:szCs w:val="18"/>
          <w:color w:val="auto"/>
        </w:rPr>
        <w:t>The Agreement and Plan of Merger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has been approved, adopted, certified, executed and</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by each Constituent Entity in accordance with Section 263 of the DGCL.</w:t>
      </w:r>
    </w:p>
    <w:p>
      <w:pPr>
        <w:spacing w:after="0" w:line="162" w:lineRule="exact"/>
        <w:rPr>
          <w:sz w:val="20"/>
          <w:szCs w:val="20"/>
          <w:color w:val="auto"/>
        </w:rPr>
      </w:pPr>
    </w:p>
    <w:p>
      <w:pPr>
        <w:ind w:right="660" w:firstLine="1296"/>
        <w:spacing w:after="0" w:line="282"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Pursuant to the Merger Agreement, Latham Investment Holdings, L.P. shall merge with and into the Company,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shall be the surviving corporation. The name of the surviving corporation shall be “Latham Group, Inc.”.</w:t>
      </w:r>
    </w:p>
    <w:p>
      <w:pPr>
        <w:spacing w:after="0" w:line="162" w:lineRule="exact"/>
        <w:rPr>
          <w:sz w:val="20"/>
          <w:szCs w:val="20"/>
          <w:color w:val="auto"/>
        </w:rPr>
      </w:pPr>
    </w:p>
    <w:p>
      <w:pPr>
        <w:ind w:firstLine="1296"/>
        <w:spacing w:after="0" w:line="282" w:lineRule="auto"/>
        <w:rPr>
          <w:sz w:val="20"/>
          <w:szCs w:val="20"/>
          <w:color w:val="auto"/>
        </w:rPr>
      </w:pPr>
      <w:r>
        <w:rPr>
          <w:rFonts w:ascii="Arial" w:cs="Arial" w:eastAsia="Arial" w:hAnsi="Arial"/>
          <w:sz w:val="18"/>
          <w:szCs w:val="18"/>
          <w:b w:val="1"/>
          <w:bCs w:val="1"/>
          <w:color w:val="auto"/>
        </w:rPr>
        <w:t xml:space="preserve">FOURTH: </w:t>
      </w:r>
      <w:r>
        <w:rPr>
          <w:rFonts w:ascii="Arial" w:cs="Arial" w:eastAsia="Arial" w:hAnsi="Arial"/>
          <w:sz w:val="18"/>
          <w:szCs w:val="18"/>
          <w:color w:val="auto"/>
        </w:rPr>
        <w:t>The merger of the Constituent Entities shall be effective at the date and time of the filing of this certificate of merger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Office of the Secretary of State of the State of Delaware.</w:t>
      </w:r>
    </w:p>
    <w:p>
      <w:pPr>
        <w:spacing w:after="0" w:line="162" w:lineRule="exact"/>
        <w:rPr>
          <w:sz w:val="20"/>
          <w:szCs w:val="20"/>
          <w:color w:val="auto"/>
        </w:rPr>
      </w:pPr>
    </w:p>
    <w:p>
      <w:pPr>
        <w:ind w:right="140" w:firstLine="1296"/>
        <w:spacing w:after="0" w:line="282" w:lineRule="auto"/>
        <w:rPr>
          <w:sz w:val="20"/>
          <w:szCs w:val="20"/>
          <w:color w:val="auto"/>
        </w:rPr>
      </w:pPr>
      <w:r>
        <w:rPr>
          <w:rFonts w:ascii="Arial" w:cs="Arial" w:eastAsia="Arial" w:hAnsi="Arial"/>
          <w:sz w:val="18"/>
          <w:szCs w:val="18"/>
          <w:b w:val="1"/>
          <w:bCs w:val="1"/>
          <w:color w:val="auto"/>
        </w:rPr>
        <w:t xml:space="preserve">FIFTH: </w:t>
      </w:r>
      <w:r>
        <w:rPr>
          <w:rFonts w:ascii="Arial" w:cs="Arial" w:eastAsia="Arial" w:hAnsi="Arial"/>
          <w:sz w:val="18"/>
          <w:szCs w:val="18"/>
          <w:color w:val="auto"/>
        </w:rPr>
        <w:t>The executed Merger Agreement is on file at One Radnor Corporate Center, 787 Watervliet Shaker Road, Latham, NY, 12110,</w:t>
      </w:r>
      <w:r>
        <w:rPr>
          <w:rFonts w:ascii="Arial" w:cs="Arial" w:eastAsia="Arial" w:hAnsi="Arial"/>
          <w:sz w:val="18"/>
          <w:szCs w:val="18"/>
          <w:b w:val="1"/>
          <w:bCs w:val="1"/>
          <w:color w:val="auto"/>
        </w:rPr>
        <w:t xml:space="preserve"> </w:t>
      </w:r>
      <w:r>
        <w:rPr>
          <w:rFonts w:ascii="Arial" w:cs="Arial" w:eastAsia="Arial" w:hAnsi="Arial"/>
          <w:sz w:val="18"/>
          <w:szCs w:val="18"/>
          <w:color w:val="auto"/>
        </w:rPr>
        <w:t>which is a place of business of the surviving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3" w:name="page44"/>
    <w:bookmarkEnd w:id="43"/>
    <w:p>
      <w:pPr>
        <w:ind w:right="300" w:firstLine="1296"/>
        <w:spacing w:after="0" w:line="282" w:lineRule="auto"/>
        <w:rPr>
          <w:sz w:val="20"/>
          <w:szCs w:val="20"/>
          <w:color w:val="auto"/>
        </w:rPr>
      </w:pPr>
      <w:r>
        <w:rPr>
          <w:rFonts w:ascii="Arial" w:cs="Arial" w:eastAsia="Arial" w:hAnsi="Arial"/>
          <w:sz w:val="18"/>
          <w:szCs w:val="18"/>
          <w:b w:val="1"/>
          <w:bCs w:val="1"/>
          <w:color w:val="auto"/>
        </w:rPr>
        <w:t xml:space="preserve">SIXTH: </w:t>
      </w:r>
      <w:r>
        <w:rPr>
          <w:rFonts w:ascii="Arial" w:cs="Arial" w:eastAsia="Arial" w:hAnsi="Arial"/>
          <w:sz w:val="18"/>
          <w:szCs w:val="18"/>
          <w:color w:val="auto"/>
        </w:rPr>
        <w:t>A copy of the Merger Agreement shall be furnished by the Company on request, without cost, to any stockholder or</w:t>
      </w:r>
      <w:r>
        <w:rPr>
          <w:rFonts w:ascii="Arial" w:cs="Arial" w:eastAsia="Arial" w:hAnsi="Arial"/>
          <w:sz w:val="18"/>
          <w:szCs w:val="18"/>
          <w:b w:val="1"/>
          <w:bCs w:val="1"/>
          <w:color w:val="auto"/>
        </w:rPr>
        <w:t xml:space="preserve"> </w:t>
      </w:r>
      <w:r>
        <w:rPr>
          <w:rFonts w:ascii="Arial" w:cs="Arial" w:eastAsia="Arial" w:hAnsi="Arial"/>
          <w:sz w:val="18"/>
          <w:szCs w:val="18"/>
          <w:color w:val="auto"/>
        </w:rPr>
        <w:t>partner of any Constituent Entity.</w:t>
      </w:r>
    </w:p>
    <w:p>
      <w:pPr>
        <w:spacing w:after="0" w:line="162" w:lineRule="exact"/>
        <w:rPr>
          <w:sz w:val="20"/>
          <w:szCs w:val="20"/>
          <w:color w:val="auto"/>
        </w:rPr>
      </w:pPr>
    </w:p>
    <w:p>
      <w:pPr>
        <w:ind w:firstLine="1296"/>
        <w:spacing w:after="0" w:line="266" w:lineRule="auto"/>
        <w:rPr>
          <w:sz w:val="20"/>
          <w:szCs w:val="20"/>
          <w:color w:val="auto"/>
        </w:rPr>
      </w:pPr>
      <w:r>
        <w:rPr>
          <w:rFonts w:ascii="Arial" w:cs="Arial" w:eastAsia="Arial" w:hAnsi="Arial"/>
          <w:sz w:val="18"/>
          <w:szCs w:val="18"/>
          <w:b w:val="1"/>
          <w:bCs w:val="1"/>
          <w:color w:val="auto"/>
        </w:rPr>
        <w:t xml:space="preserve">SEVENTH: </w:t>
      </w:r>
      <w:r>
        <w:rPr>
          <w:rFonts w:ascii="Arial" w:cs="Arial" w:eastAsia="Arial" w:hAnsi="Arial"/>
          <w:sz w:val="18"/>
          <w:szCs w:val="18"/>
          <w:color w:val="auto"/>
        </w:rPr>
        <w:t>The Amended and Restated Certificate of Incorporation of the surviving corporation shall be amended and restated in its</w:t>
      </w:r>
      <w:r>
        <w:rPr>
          <w:rFonts w:ascii="Arial" w:cs="Arial" w:eastAsia="Arial" w:hAnsi="Arial"/>
          <w:sz w:val="18"/>
          <w:szCs w:val="18"/>
          <w:b w:val="1"/>
          <w:bCs w:val="1"/>
          <w:color w:val="auto"/>
        </w:rPr>
        <w:t xml:space="preserve"> </w:t>
      </w:r>
      <w:r>
        <w:rPr>
          <w:rFonts w:ascii="Arial" w:cs="Arial" w:eastAsia="Arial" w:hAnsi="Arial"/>
          <w:sz w:val="18"/>
          <w:szCs w:val="18"/>
          <w:color w:val="auto"/>
        </w:rPr>
        <w:t>entirety to read as set forth on Exhibit A, and, as so amended and restated, shall constitute the Second Amended and Restated Certificate of Incorporation of the surviving corporation.</w:t>
      </w:r>
    </w:p>
    <w:p>
      <w:pPr>
        <w:spacing w:after="0" w:line="18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follow</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04" w:right="519" w:bottom="1440" w:gutter="0" w:footer="0" w:header="0"/>
        </w:sectPr>
      </w:pPr>
    </w:p>
    <w:bookmarkStart w:id="44" w:name="page45"/>
    <w:bookmarkEnd w:id="44"/>
    <w:p>
      <w:pPr>
        <w:ind w:left="180"/>
        <w:spacing w:after="0"/>
        <w:rPr>
          <w:sz w:val="20"/>
          <w:szCs w:val="20"/>
          <w:color w:val="auto"/>
        </w:rPr>
      </w:pPr>
      <w:r>
        <w:rPr>
          <w:rFonts w:ascii="Arial" w:cs="Arial" w:eastAsia="Arial" w:hAnsi="Arial"/>
          <w:sz w:val="16"/>
          <w:szCs w:val="16"/>
          <w:color w:val="auto"/>
        </w:rPr>
        <w:t>IN WITNESS WHEREOF, the undersigned has caused this certificate of merger to be duly executed as of the date first above written.</w:t>
      </w:r>
    </w:p>
    <w:p>
      <w:pPr>
        <w:spacing w:after="0" w:line="24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Latham Group, Inc.</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Merger Certificate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426085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820"/>
          </w:cols>
          <w:pgMar w:left="1440" w:top="908" w:right="6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Second Amended and Restated Certificate of Incorporation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426085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46" w:name="page47"/>
    <w:bookmarkEnd w:id="46"/>
    <w:p>
      <w:pPr>
        <w:jc w:val="center"/>
        <w:ind w:right="-139"/>
        <w:spacing w:after="0"/>
        <w:rPr>
          <w:sz w:val="20"/>
          <w:szCs w:val="20"/>
          <w:color w:val="auto"/>
        </w:rPr>
      </w:pPr>
      <w:r>
        <w:rPr>
          <w:rFonts w:ascii="Arial" w:cs="Arial" w:eastAsia="Arial" w:hAnsi="Arial"/>
          <w:sz w:val="18"/>
          <w:szCs w:val="18"/>
          <w:b w:val="1"/>
          <w:bCs w:val="1"/>
          <w:color w:val="auto"/>
        </w:rPr>
        <w:t>SECOND AMENDED AND RESTATED CERTIFICATE OF INCORPORATION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LATHAM GROUP, INC.</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 * * *</w:t>
      </w: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ind w:left="5340"/>
        <w:spacing w:after="0"/>
        <w:rPr>
          <w:sz w:val="20"/>
          <w:szCs w:val="20"/>
          <w:color w:val="auto"/>
        </w:rPr>
      </w:pPr>
      <w:r>
        <w:rPr>
          <w:rFonts w:ascii="Arial" w:cs="Arial" w:eastAsia="Arial" w:hAnsi="Arial"/>
          <w:sz w:val="18"/>
          <w:szCs w:val="18"/>
          <w:b w:val="1"/>
          <w:bCs w:val="1"/>
          <w:u w:val="single" w:color="auto"/>
          <w:color w:val="auto"/>
        </w:rPr>
        <w:t>NAME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(the “</w:t>
      </w:r>
      <w:r>
        <w:rPr>
          <w:rFonts w:ascii="Arial" w:cs="Arial" w:eastAsia="Arial" w:hAnsi="Arial"/>
          <w:sz w:val="18"/>
          <w:szCs w:val="18"/>
          <w:u w:val="single" w:color="auto"/>
          <w:color w:val="auto"/>
        </w:rPr>
        <w:t>Corporation</w:t>
      </w:r>
      <w:r>
        <w:rPr>
          <w:rFonts w:ascii="Arial" w:cs="Arial" w:eastAsia="Arial" w:hAnsi="Arial"/>
          <w:sz w:val="18"/>
          <w:szCs w:val="18"/>
          <w:color w:val="auto"/>
        </w:rPr>
        <w:t>”) is Latham Group, Inc.</w:t>
      </w: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REGISTERED OFFICE AND AGENT</w:t>
      </w:r>
    </w:p>
    <w:p>
      <w:pPr>
        <w:spacing w:after="0" w:line="229"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The address of the registered office of the Corporation in the State of Delaware is Corporation Trust Center, 1209 Orange Street in the City of Wilmington, County of New Castle, 19801. The name of the registered agent of the Corporation in the State of Delaware at such address is The Corporation Trust Company.</w:t>
      </w:r>
    </w:p>
    <w:p>
      <w:pPr>
        <w:spacing w:after="0" w:line="18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PURPOSE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CAPITAL STOCK</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total number of shares of all classes of stock that the Corporation shall have authority to issue is 1,000,000,000, which shall be divided into two classes as follows: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900,000,000 shares of common stock, par value $0.0001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and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100,000,000 shares of preferred stock, par value $0.0001 per share (“</w:t>
      </w: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47" w:name="page48"/>
    <w:bookmarkEnd w:id="47"/>
    <w:p>
      <w:pPr>
        <w:ind w:left="652" w:hanging="652"/>
        <w:spacing w:after="0"/>
        <w:tabs>
          <w:tab w:leader="none" w:pos="65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w:t>
      </w:r>
    </w:p>
    <w:p>
      <w:pPr>
        <w:spacing w:after="0" w:line="229" w:lineRule="exact"/>
        <w:rPr>
          <w:rFonts w:ascii="Arial" w:cs="Arial" w:eastAsia="Arial" w:hAnsi="Arial"/>
          <w:sz w:val="18"/>
          <w:szCs w:val="18"/>
          <w:b w:val="1"/>
          <w:bCs w:val="1"/>
          <w:color w:val="auto"/>
        </w:rPr>
      </w:pPr>
    </w:p>
    <w:p>
      <w:pPr>
        <w:ind w:left="-8" w:firstLine="656"/>
        <w:spacing w:after="0" w:line="291" w:lineRule="auto"/>
        <w:tabs>
          <w:tab w:leader="none" w:pos="1197" w:val="left"/>
        </w:tabs>
        <w:numPr>
          <w:ilvl w:val="1"/>
          <w:numId w:val="13"/>
        </w:numPr>
        <w:rPr>
          <w:rFonts w:ascii="Arial" w:cs="Arial" w:eastAsia="Arial" w:hAnsi="Arial"/>
          <w:sz w:val="16"/>
          <w:szCs w:val="16"/>
          <w:color w:val="auto"/>
        </w:rPr>
      </w:pPr>
      <w:r>
        <w:rPr>
          <w:rFonts w:ascii="Arial" w:cs="Arial" w:eastAsia="Arial" w:hAnsi="Arial"/>
          <w:sz w:val="16"/>
          <w:szCs w:val="16"/>
          <w:color w:val="auto"/>
        </w:rPr>
        <w:t>Common Stock and Preferred Stock may be issued from time to time by the Corporation for such consideration as may be fixed by the Board of Directors of the Corporation (the “</w:t>
      </w:r>
      <w:r>
        <w:rPr>
          <w:rFonts w:ascii="Arial" w:cs="Arial" w:eastAsia="Arial" w:hAnsi="Arial"/>
          <w:sz w:val="16"/>
          <w:szCs w:val="16"/>
          <w:u w:val="single" w:color="auto"/>
          <w:color w:val="auto"/>
        </w:rPr>
        <w:t>Board of Directors</w:t>
      </w:r>
      <w:r>
        <w:rPr>
          <w:rFonts w:ascii="Arial" w:cs="Arial" w:eastAsia="Arial" w:hAnsi="Arial"/>
          <w:sz w:val="16"/>
          <w:szCs w:val="16"/>
          <w:color w:val="auto"/>
        </w:rPr>
        <w:t>”). The Board of Directors is hereby expressly authorized, by resolution or resolutions, to provide, out of the unissued shares of Preferred Stock, for one or more series of Preferred Stock and, with respect to each such series, to fix, without further stockholder approval, the designation of such series, the powers (including voting powers), preferences and relative, participating, optional and other special rights, and the qualifications, limitations or restrictions thereof, of such series of Preferred Stock and the number of shares of such series, and as may be permitted by the DGCL. The powers, preferences and relative, participating, optional and other special rights of, and the qualifications, limitations or restrictions thereof, of each series of Preferred Stock, if any, may differ from those of any and all other series at any time outstanding.</w:t>
      </w:r>
    </w:p>
    <w:p>
      <w:pPr>
        <w:spacing w:after="0" w:line="166" w:lineRule="exact"/>
        <w:rPr>
          <w:rFonts w:ascii="Arial" w:cs="Arial" w:eastAsia="Arial" w:hAnsi="Arial"/>
          <w:sz w:val="16"/>
          <w:szCs w:val="16"/>
          <w:color w:val="auto"/>
        </w:rPr>
      </w:pPr>
    </w:p>
    <w:p>
      <w:pPr>
        <w:ind w:left="-8" w:right="80" w:firstLine="656"/>
        <w:spacing w:after="0" w:line="254" w:lineRule="auto"/>
        <w:tabs>
          <w:tab w:leader="none" w:pos="121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Each holder of record of Common Stock, as such, shall have one vote for each share of Common Stock which is outstanding in his, her or its name on the books of the Corporation on all matters on which stockholders are entitled to vote generally. Except as otherwise required by law, holders of Common Stock shall not be entitled to vote on any amendment to this Second Amended and Restated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this Second Amended and Restated Certificate of Incorporation (including any certificate of designation relating to any series of Preferred Stock) or pursuant to the DGCL.</w:t>
      </w:r>
    </w:p>
    <w:p>
      <w:pPr>
        <w:spacing w:after="0" w:line="194" w:lineRule="exact"/>
        <w:rPr>
          <w:rFonts w:ascii="Arial" w:cs="Arial" w:eastAsia="Arial" w:hAnsi="Arial"/>
          <w:sz w:val="18"/>
          <w:szCs w:val="18"/>
          <w:color w:val="auto"/>
        </w:rPr>
      </w:pPr>
    </w:p>
    <w:p>
      <w:pPr>
        <w:jc w:val="both"/>
        <w:ind w:left="-8" w:right="260" w:firstLine="656"/>
        <w:spacing w:after="0" w:line="263" w:lineRule="auto"/>
        <w:tabs>
          <w:tab w:leader="none" w:pos="121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Except as otherwise required by law, holders of any series of Preferred Stock shall be entitled to only such voting rights, if any, as shall expressly be granted thereto by this Second Amended and Restated Certificate of Incorporation (including any certificate of designation relating to such series of Preferred Stock).</w:t>
      </w:r>
    </w:p>
    <w:p>
      <w:pPr>
        <w:spacing w:after="0" w:line="183" w:lineRule="exact"/>
        <w:rPr>
          <w:rFonts w:ascii="Arial" w:cs="Arial" w:eastAsia="Arial" w:hAnsi="Arial"/>
          <w:sz w:val="18"/>
          <w:szCs w:val="18"/>
          <w:color w:val="auto"/>
        </w:rPr>
      </w:pPr>
    </w:p>
    <w:p>
      <w:pPr>
        <w:ind w:left="-8" w:right="140" w:firstLine="656"/>
        <w:spacing w:after="0" w:line="259" w:lineRule="auto"/>
        <w:tabs>
          <w:tab w:leader="none" w:pos="1197" w:val="left"/>
        </w:tabs>
        <w:numPr>
          <w:ilvl w:val="1"/>
          <w:numId w:val="13"/>
        </w:numPr>
        <w:rPr>
          <w:rFonts w:ascii="Arial" w:cs="Arial" w:eastAsia="Arial" w:hAnsi="Arial"/>
          <w:sz w:val="18"/>
          <w:szCs w:val="18"/>
          <w:color w:val="auto"/>
        </w:rPr>
      </w:pPr>
      <w:r>
        <w:rPr>
          <w:rFonts w:ascii="Arial" w:cs="Arial" w:eastAsia="Arial" w:hAnsi="Arial"/>
          <w:sz w:val="18"/>
          <w:szCs w:val="18"/>
          <w:color w:val="auto"/>
        </w:rPr>
        <w:t>Subject to applicable law and the rights, if any, of the holders of any outstanding series of Preferred Stock or any class or series of stock having a preference over or the right to participate with the Common Stock with respect to the payment of dividends, dividends may be declared and paid ratably on the Common Stock out of the assets of the Corporation which are legally available for this purpose at such times and in such amounts as the Board of Directors in its discretion shall determine.</w:t>
      </w:r>
    </w:p>
    <w:p>
      <w:pPr>
        <w:spacing w:after="0" w:line="186" w:lineRule="exact"/>
        <w:rPr>
          <w:rFonts w:ascii="Arial" w:cs="Arial" w:eastAsia="Arial" w:hAnsi="Arial"/>
          <w:sz w:val="18"/>
          <w:szCs w:val="18"/>
          <w:color w:val="auto"/>
        </w:rPr>
      </w:pPr>
    </w:p>
    <w:p>
      <w:pPr>
        <w:ind w:left="-8" w:right="60" w:firstLine="656"/>
        <w:spacing w:after="0" w:line="257" w:lineRule="auto"/>
        <w:tabs>
          <w:tab w:leader="none" w:pos="12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Upon the dissolution, liquidation or winding up of the Corporation, after payment or provision for payment of the debts and other liabilities of the Corporation and subject to the rights, if any, of the holders of any outstanding series of Preferred Stock or any class or series of stock having a preference over or the right to participate with the Common Stock with respect to the distribution of assets of the Corporation upon such dissolution, liquidation or winding up of the Corporation, the holders of Common Stock shall be entitled to receive the remaining assets of the Corporation available for distribution to its stockholders ratably in proportion to the number of shares held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402590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31" w:right="359" w:bottom="1440" w:gutter="0" w:footer="0" w:header="0"/>
        </w:sectPr>
      </w:pPr>
    </w:p>
    <w:bookmarkStart w:id="48" w:name="page49"/>
    <w:bookmarkEnd w:id="48"/>
    <w:p>
      <w:pPr>
        <w:ind w:left="-60" w:right="220" w:firstLine="656"/>
        <w:spacing w:after="0" w:line="296" w:lineRule="auto"/>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number of authorized shares of Preferred Stock or Common Stock may be increased or decreased (but not below the number of shares thereof then outstanding) by the affirmative vote of the holders of a majority in voting power of the stock of the Corporation entitled to vote thereon irrespective of the provisions of Section 242(b)(2) of the DGCL (or any successor provision thereto), and no vote of the holders of any of the Common Stock or the Preferred Stock voting separately as a class shall be required therefor, unless a vote of any such holder is required pursuant to this Second Amended and Restated Certificate of Incorporation (including any certificate of designation relating to any series of Preferred Stock).</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OF THE CERTIFICATE OF INCORPORATION AND BYLAWS</w:t>
      </w:r>
    </w:p>
    <w:p>
      <w:pPr>
        <w:spacing w:after="0" w:line="229" w:lineRule="exact"/>
        <w:rPr>
          <w:sz w:val="20"/>
          <w:szCs w:val="20"/>
          <w:color w:val="auto"/>
        </w:rPr>
      </w:pPr>
    </w:p>
    <w:p>
      <w:pPr>
        <w:ind w:left="-60" w:right="140" w:firstLine="656"/>
        <w:spacing w:after="0" w:line="269" w:lineRule="auto"/>
        <w:tabs>
          <w:tab w:leader="none" w:pos="1145" w:val="left"/>
        </w:tabs>
        <w:numPr>
          <w:ilvl w:val="0"/>
          <w:numId w:val="15"/>
        </w:numPr>
        <w:rPr>
          <w:rFonts w:ascii="Arial" w:cs="Arial" w:eastAsia="Arial" w:hAnsi="Arial"/>
          <w:sz w:val="17"/>
          <w:szCs w:val="17"/>
          <w:color w:val="auto"/>
        </w:rPr>
      </w:pPr>
      <w:r>
        <w:rPr>
          <w:rFonts w:ascii="Arial" w:cs="Arial" w:eastAsia="Arial" w:hAnsi="Arial"/>
          <w:sz w:val="17"/>
          <w:szCs w:val="17"/>
          <w:color w:val="auto"/>
        </w:rPr>
        <w:t>Notwithstanding anything contained in this Second Amended and Restated Certificate of Incorporation to the contrary, at any time when the Principal Stockholders (as defined in the Stockholders Agreement, dated as of April 27, 2021, by and among the Corporation and the Principal Stockholders (as the same may be amended, supplemented, restated or otherwise modified from time to time, the “</w:t>
      </w:r>
      <w:r>
        <w:rPr>
          <w:rFonts w:ascii="Arial" w:cs="Arial" w:eastAsia="Arial" w:hAnsi="Arial"/>
          <w:sz w:val="17"/>
          <w:szCs w:val="17"/>
          <w:u w:val="single" w:color="auto"/>
          <w:color w:val="auto"/>
        </w:rPr>
        <w:t>Stockholders Agreement</w:t>
      </w:r>
      <w:r>
        <w:rPr>
          <w:rFonts w:ascii="Arial" w:cs="Arial" w:eastAsia="Arial" w:hAnsi="Arial"/>
          <w:sz w:val="17"/>
          <w:szCs w:val="17"/>
          <w:color w:val="auto"/>
        </w:rPr>
        <w:t>”)) do not beneficially own, in the aggregate, at least a majority of the voting power of the stock of the Corporation entitled to vote generally in the election of directors, in addition to any vote required by applicable law, the following provisions in this Second Amended and Restated Certificate of Incorporation may be amended, altered, repealed or rescinded, in whole or in part, or any provision inconsistent therewith or herewith may be adopted, only by the affirmative vote of the holders of at least 66⅔% in voting power of all the then-outstanding shares of stock of the Corporation entitled to vote thereon, voting together as a single class: this Article V, Article VI, Article VII, Article VIII, Article IX and Article X. For the purposes of this Second Amended and Restated Certificate of Incorporation, beneficial ownership of shares shall be determined in accordance with Rule 13d-3 promulgated under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w:t>
      </w:r>
    </w:p>
    <w:p>
      <w:pPr>
        <w:spacing w:after="0" w:line="185" w:lineRule="exact"/>
        <w:rPr>
          <w:rFonts w:ascii="Arial" w:cs="Arial" w:eastAsia="Arial" w:hAnsi="Arial"/>
          <w:sz w:val="17"/>
          <w:szCs w:val="17"/>
          <w:color w:val="auto"/>
        </w:rPr>
      </w:pPr>
    </w:p>
    <w:p>
      <w:pPr>
        <w:ind w:left="-60" w:firstLine="656"/>
        <w:spacing w:after="0" w:line="269" w:lineRule="auto"/>
        <w:tabs>
          <w:tab w:leader="none" w:pos="11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Board of Directors is expressly authorized to make, repeal, alter, amend and rescind, in whole or in part, the bylaws of the Corporation (as in effect from time to time, the “</w:t>
      </w:r>
      <w:r>
        <w:rPr>
          <w:rFonts w:ascii="Arial" w:cs="Arial" w:eastAsia="Arial" w:hAnsi="Arial"/>
          <w:sz w:val="17"/>
          <w:szCs w:val="17"/>
          <w:u w:val="single" w:color="auto"/>
          <w:color w:val="auto"/>
        </w:rPr>
        <w:t>Bylaws</w:t>
      </w:r>
      <w:r>
        <w:rPr>
          <w:rFonts w:ascii="Arial" w:cs="Arial" w:eastAsia="Arial" w:hAnsi="Arial"/>
          <w:sz w:val="17"/>
          <w:szCs w:val="17"/>
          <w:color w:val="auto"/>
        </w:rPr>
        <w:t>”) without the assent or vote of the stockholders in any manner not inconsistent with the laws of the State of Delaware or this Second Amended and Restated Certificate of Incorporation. Notwithstanding anything to the contrary contained in this Second Amended and Restated Certificate of Incorporation or any provision of law which might otherwise permit a lesser vote of the stockholders, at any time when the Principal Stockholders do not beneficially own, in the aggregate, at least a majority of the voting power of the stock of the Corporation entitled to vote generally in the election of directors, in addition to any vote of the holders of any class or series of capital stock of the Corporation required herein (including any certificate of designation relating to any series of Preferred Stock), the Bylaws or applicable law, the affirmative vote of the holders of at least 66⅔% in voting power of all the then-outstanding shares of stock of the Corporation entitled to vote thereon, voting together as a single class, shall be required in order for the stockholders of the Corporation to alter, amend, repeal or rescind, in whole or in part, any provision of the Bylaws or to adopt any provision inconsistent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400685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80" w:top="908" w:right="39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BOARD OF DIRECTORS</w:t>
      </w:r>
    </w:p>
    <w:p>
      <w:pPr>
        <w:spacing w:after="0" w:line="229" w:lineRule="exact"/>
        <w:rPr>
          <w:sz w:val="20"/>
          <w:szCs w:val="20"/>
          <w:color w:val="auto"/>
        </w:rPr>
      </w:pPr>
    </w:p>
    <w:p>
      <w:pPr>
        <w:ind w:firstLine="656"/>
        <w:spacing w:after="0" w:line="285" w:lineRule="auto"/>
        <w:tabs>
          <w:tab w:leader="none" w:pos="125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Except as otherwise provided in this Second Amended and Restated Certificate of Incorporation or the DGCL, the business and affairs of the Corporation shall be managed by or under the direction of the Board of Directors. Except as otherwise provided for or fixed pursuant to the provisions of Article IV (including any certificate of designation with respect to any series of Preferred Stock) and this Article VI relating to the rights of the holders of any series of Preferred Stock to elect additional directors, the total number of directors shall be determined from time to time exclusively by resolution adopted by the Board of Directors. The directors (other than those directors elected by the holders of any series of Preferred Stock, voting separately as a series or together with one or more other such series, as the case may be) shall be divided into three classes designated Class I, Class II and Class III. Each class shall consist, as nearly as possible, of one-third of the total number of such directors. Class I directors shall initially serve for a term expiring at the first annual meeting of stockholders following the date the Common Stock is first publicly traded (the “</w:t>
      </w:r>
      <w:r>
        <w:rPr>
          <w:rFonts w:ascii="Arial" w:cs="Arial" w:eastAsia="Arial" w:hAnsi="Arial"/>
          <w:sz w:val="16"/>
          <w:szCs w:val="16"/>
          <w:u w:val="single" w:color="auto"/>
          <w:color w:val="auto"/>
        </w:rPr>
        <w:t>IPO Date</w:t>
      </w:r>
      <w:r>
        <w:rPr>
          <w:rFonts w:ascii="Arial" w:cs="Arial" w:eastAsia="Arial" w:hAnsi="Arial"/>
          <w:sz w:val="16"/>
          <w:szCs w:val="16"/>
          <w:color w:val="auto"/>
        </w:rPr>
        <w:t>”), Class II directors shall initially serve for a term expiring at the second annual meeting of stockholders following the IPO Date and Class III directors shall initially serve for a term expiring at the third annual meeting of stockholders following the IPO Date. At each succeeding annual meeting, successors to the class of directors whose term expires at that annual meeting shall be elected for a term expiring at the third succeeding annual meeting of stockholders. If the number of such directors is changed, any increase or decrease shall be apportioned among the classes so as to maintain the number of directors in each class as nearly equal as possible, and any such additional director of any class elected to fill a newly created directorship resulting from an increase in such class shall hold office for a term that shall coincide with the remaining term of that class, but in no case shall a decrease in the number of directors remove or shorten the term of any incumbent director. Subject to the terms of the Stockholders Agreement, any such director shall hold office until the annual meeting at which his or her term expires and until his or her successor shall be elected and qualified, or his or her death, resignation, retirement, disqualification or removal from office. The Board of Directors is authorized to assign members of the Board of Directors to their respective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ind w:left="-656" w:firstLine="656"/>
        <w:spacing w:after="0" w:line="268" w:lineRule="auto"/>
        <w:tabs>
          <w:tab w:leader="none" w:pos="562"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Subject to the rights granted to the holders of any one or more series of Preferred Stock then outstanding or the rights granted to the Principal Stockholders pursuant to the Stockholders Agreement, any newly-created directorship on the Board of Directors that results from an increase in the number of directors and any vacancy occurring in the Board of Directors (whether by death, resignation, retirement, disqualification, removal or other cause) shall be filled by a majority of the directors then in office, although less than a quorum, by a sole remaining director or by the stockholders by the affirmative vote of a majority in voting power of all outstanding shares of stock of the Corporation entitled to vote thereon, voting as a single class;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subject to the rights granted to the holders of any one or more series of Preferred Stock then outstanding and the rights granted to the Principal Stockholders pursuant to the Stockholders Agreement, at any time when the Principal Stockholders do not beneficially own, in the aggregate, at least a majority of the voting power of the stock of the Corporation entitled to vote generally in the election of directors, any newly-created directorship on the Board of Directors that results from an increase in the number of directors and any vacancy occurring in the Board of Directors shall, unless otherwise required by law or by resolution of the Board of Directors, be filled only by a majority of the directors then in office, although less than a quorum, or by a sole remaining director (and not by the stockholders). Any director elected to fill a vacancy or newly created directorship shall hold office until the next election of the class for which such director shall have been chosen and until his or her successor shall be elected and qualified, or until his or her earlier death, resignation, retirement, disqualification or removal.</w:t>
      </w:r>
    </w:p>
    <w:p>
      <w:pPr>
        <w:spacing w:after="0" w:line="186" w:lineRule="exact"/>
        <w:rPr>
          <w:rFonts w:ascii="Arial" w:cs="Arial" w:eastAsia="Arial" w:hAnsi="Arial"/>
          <w:sz w:val="17"/>
          <w:szCs w:val="17"/>
          <w:color w:val="auto"/>
        </w:rPr>
      </w:pPr>
    </w:p>
    <w:p>
      <w:pPr>
        <w:ind w:left="-656" w:firstLine="656"/>
        <w:spacing w:after="0" w:line="291" w:lineRule="auto"/>
        <w:tabs>
          <w:tab w:leader="none" w:pos="562"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Subject to rights granted to the Principal Stockholders under the Stockholders Agreement, any or all of the directors (other than the directors elected by the holders of any series of Preferred Stock of the Corporation, voting separately as a series or together with one or more other such series, as the case may be) may be removed at any time either with or without cause by the affirmative vote of a majority in voting power of all outstanding shares of stock of the Corporation entitled to vote thereon, voting as a single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at any time when the Principal Stockholders do not beneficially own, in the aggregate, at least a majority of the voting power of the stock of the Corporation entitled to vote generally in the election of directors, any such director or all such directors may be removed only for cause and only by the affirmative vote of the holders of at least 66⅔% in voting power of all the then-outstanding shares of stock of the Corporation entitled to vote thereon, voting together as a single class.</w:t>
      </w:r>
    </w:p>
    <w:p>
      <w:pPr>
        <w:spacing w:after="0" w:line="166" w:lineRule="exact"/>
        <w:rPr>
          <w:rFonts w:ascii="Arial" w:cs="Arial" w:eastAsia="Arial" w:hAnsi="Arial"/>
          <w:sz w:val="16"/>
          <w:szCs w:val="16"/>
          <w:color w:val="auto"/>
        </w:rPr>
      </w:pPr>
    </w:p>
    <w:p>
      <w:pPr>
        <w:ind w:left="564" w:hanging="564"/>
        <w:spacing w:after="0"/>
        <w:tabs>
          <w:tab w:leader="none" w:pos="5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Elections of directors need not be by written ballot unless the Bylaws shall so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426085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4"/>
          </w:cols>
          <w:pgMar w:left="976" w:top="908" w:right="379" w:bottom="1440" w:gutter="0" w:footer="0" w:header="0"/>
        </w:sectPr>
      </w:pPr>
    </w:p>
    <w:bookmarkStart w:id="51" w:name="page52"/>
    <w:bookmarkEnd w:id="51"/>
    <w:p>
      <w:pPr>
        <w:ind w:left="-80" w:right="200" w:firstLine="656"/>
        <w:spacing w:after="0" w:line="269" w:lineRule="auto"/>
        <w:tabs>
          <w:tab w:leader="none" w:pos="1128" w:val="left"/>
        </w:tabs>
        <w:numPr>
          <w:ilvl w:val="0"/>
          <w:numId w:val="18"/>
        </w:numPr>
        <w:rPr>
          <w:rFonts w:ascii="Arial" w:cs="Arial" w:eastAsia="Arial" w:hAnsi="Arial"/>
          <w:sz w:val="17"/>
          <w:szCs w:val="17"/>
          <w:color w:val="auto"/>
        </w:rPr>
      </w:pPr>
      <w:r>
        <w:rPr>
          <w:rFonts w:ascii="Arial" w:cs="Arial" w:eastAsia="Arial" w:hAnsi="Arial"/>
          <w:sz w:val="17"/>
          <w:szCs w:val="17"/>
          <w:color w:val="auto"/>
        </w:rPr>
        <w:t>During any period when the holders of any series of Preferred Stock, voting separately as a series or together with one or more series, have the right to elect additional directors,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resignation, retirement, disqualification or removal. Except as otherwise provided by the Board of Directors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and the total authorized number of directors of the Corporation shall be reduced accordingly.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LIMITATION OF DIRECTOR LIABILITY</w:t>
      </w:r>
    </w:p>
    <w:p>
      <w:pPr>
        <w:spacing w:after="0" w:line="229" w:lineRule="exact"/>
        <w:rPr>
          <w:sz w:val="20"/>
          <w:szCs w:val="20"/>
          <w:color w:val="auto"/>
        </w:rPr>
      </w:pPr>
    </w:p>
    <w:p>
      <w:pPr>
        <w:ind w:left="-80" w:right="340" w:firstLine="656"/>
        <w:spacing w:after="0" w:line="342" w:lineRule="auto"/>
        <w:tabs>
          <w:tab w:leader="none" w:pos="1122"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the fullest extent permitted by the DGCL as it now exists or may hereafter be amended, a director of the Corporation shall not be personally liable to the Corporation or its stockholders for monetary damages for breach of fiduciary duty owed to the Corporation or its stockholders.</w:t>
      </w:r>
    </w:p>
    <w:p>
      <w:pPr>
        <w:spacing w:after="0" w:line="123" w:lineRule="exact"/>
        <w:rPr>
          <w:rFonts w:ascii="Arial" w:cs="Arial" w:eastAsia="Arial" w:hAnsi="Arial"/>
          <w:sz w:val="16"/>
          <w:szCs w:val="16"/>
          <w:color w:val="auto"/>
        </w:rPr>
      </w:pPr>
    </w:p>
    <w:p>
      <w:pPr>
        <w:jc w:val="both"/>
        <w:ind w:left="-80" w:right="80" w:firstLine="656"/>
        <w:spacing w:after="0" w:line="311" w:lineRule="auto"/>
        <w:tabs>
          <w:tab w:leader="none" w:pos="1115" w:val="left"/>
        </w:tabs>
        <w:numPr>
          <w:ilvl w:val="0"/>
          <w:numId w:val="19"/>
        </w:numPr>
        <w:rPr>
          <w:rFonts w:ascii="Arial" w:cs="Arial" w:eastAsia="Arial" w:hAnsi="Arial"/>
          <w:sz w:val="16"/>
          <w:szCs w:val="16"/>
          <w:color w:val="auto"/>
        </w:rPr>
      </w:pPr>
      <w:r>
        <w:rPr>
          <w:rFonts w:ascii="Arial" w:cs="Arial" w:eastAsia="Arial" w:hAnsi="Arial"/>
          <w:sz w:val="16"/>
          <w:szCs w:val="16"/>
          <w:color w:val="auto"/>
        </w:rPr>
        <w:t>Neither the amendment nor repeal of this Article VII, nor the adoption of any provision of this Second Amended and Restated Certificate of Incorporation, nor, to the fullest extent permitted by the DGCL, any modification of law shall eliminate, reduce or otherwise adversely affect any right or protection of a current or former director of the Corporation existing at the time of such amendment, repeal, adoption or modification.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STOCKHOLDERS IN LIEU OF MEETING, ANNUAL AND SPECIAL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MEETINGS OF STOCKHOLDERS</w:t>
      </w:r>
    </w:p>
    <w:p>
      <w:pPr>
        <w:spacing w:after="0" w:line="211" w:lineRule="exact"/>
        <w:rPr>
          <w:sz w:val="20"/>
          <w:szCs w:val="20"/>
          <w:color w:val="auto"/>
        </w:rPr>
      </w:pPr>
    </w:p>
    <w:p>
      <w:pPr>
        <w:ind w:left="-80" w:firstLine="656"/>
        <w:spacing w:after="0" w:line="286" w:lineRule="auto"/>
        <w:tabs>
          <w:tab w:leader="none" w:pos="1093"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At any time when the Principal Stockholders beneficially own, in the aggregate, at least a majority of the voting power of the stock of the Corporation entitled to vote generally in the election of directors, any action required or permitted to be taken at any annual or special meeting of stockholders of the Corporation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books in which proceedings of meetings of stockholders are recorded. Delivery made to the Corporation’s registered office shall be made by hand, overnight courier or by certified or registered mail, return receipt requested. At any time when the Principal Stockholders do not beneficially own, in the aggregate, at least a majority of the voting power of the stock of the Corporation entitled to vote generally in the election of directors, any action required or permitted to be taken by the stockholders of the Corporation must be effected at a duly called annual or special meeting of such holders and may not be effected by any consent in writing by such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393700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400" w:top="908" w:right="419" w:bottom="1440" w:gutter="0" w:footer="0" w:header="0"/>
        </w:sectPr>
      </w:pPr>
    </w:p>
    <w:bookmarkStart w:id="52" w:name="page53"/>
    <w:bookmarkEnd w:id="52"/>
    <w:p>
      <w:pPr>
        <w:ind w:left="-20" w:firstLine="656"/>
        <w:spacing w:after="0" w:line="255" w:lineRule="auto"/>
        <w:tabs>
          <w:tab w:leader="none" w:pos="1153"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Except as otherwise required by law and subject to the rights of the holders of any series of Preferred Stock, special meetings of the stockholders of the Corporation for any purpose or purposes may be called at any time only by or at the direction of the Board of Directors or the Chairman of the Board of Directors;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at any time when the Principal Stockholders beneficially own, in the aggregate, at least a majority in voting power of the stock of the Corporation entitled to vote generally in the election of directors, special meetings of the stockholders of the Corporation for any purpose or purposes shall also be called by or at the direction of the Board of Directors or the Chairman of the Board of Directors at the request of the Principal Stockholders.</w:t>
      </w:r>
    </w:p>
    <w:p>
      <w:pPr>
        <w:spacing w:after="0" w:line="192" w:lineRule="exact"/>
        <w:rPr>
          <w:rFonts w:ascii="Arial" w:cs="Arial" w:eastAsia="Arial" w:hAnsi="Arial"/>
          <w:sz w:val="18"/>
          <w:szCs w:val="18"/>
          <w:color w:val="auto"/>
        </w:rPr>
      </w:pPr>
    </w:p>
    <w:p>
      <w:pPr>
        <w:jc w:val="both"/>
        <w:ind w:left="-20" w:right="180" w:firstLine="656"/>
        <w:spacing w:after="0" w:line="263"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annual meeting of stockholders for the election of directors to succeed those whose terms expire and for the transaction of such other business as may properly come before the meeting, shall be held at such place, if any, on such date, and at such time as shall be fixed exclusively by resolution of the Board of Directors or a duly authorized committee thereof.</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COMPETITION AND CORPORATE OPPORTUNITIES</w:t>
      </w:r>
    </w:p>
    <w:p>
      <w:pPr>
        <w:spacing w:after="0" w:line="229" w:lineRule="exact"/>
        <w:rPr>
          <w:sz w:val="20"/>
          <w:szCs w:val="20"/>
          <w:color w:val="auto"/>
        </w:rPr>
      </w:pPr>
    </w:p>
    <w:p>
      <w:pPr>
        <w:ind w:left="-20" w:firstLine="656"/>
        <w:spacing w:after="0" w:line="269" w:lineRule="auto"/>
        <w:tabs>
          <w:tab w:leader="none" w:pos="1118"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 recognition and anticipation that (i) certain directors, members, officers, employees and/or other representatives of the Principal Stockholders and their Affiliates (as defined below) may serve as directors, officers and/or agents of the Corporation, (ii) the Principal Stockholders and their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(iii) members of the Board of Directors who are not employees of the Corporation (“</w:t>
      </w:r>
      <w:r>
        <w:rPr>
          <w:rFonts w:ascii="Arial" w:cs="Arial" w:eastAsia="Arial" w:hAnsi="Arial"/>
          <w:sz w:val="17"/>
          <w:szCs w:val="17"/>
          <w:u w:val="single" w:color="auto"/>
          <w:color w:val="auto"/>
        </w:rPr>
        <w:t>Non-Employee Directors</w:t>
      </w:r>
      <w:r>
        <w:rPr>
          <w:rFonts w:ascii="Arial" w:cs="Arial" w:eastAsia="Arial" w:hAnsi="Arial"/>
          <w:sz w:val="17"/>
          <w:szCs w:val="17"/>
          <w:color w:val="auto"/>
        </w:rPr>
        <w:t>”) but who are affiliated with the Principal Stockholders or their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and (iv) the Corporation may engage in material business transactions with the Principal Stockholders and their Affiliates and the Corporation is expected to benefit therefrom, the provisions of this Article IX are set forth to regulate and define the conduct of certain affairs of the Corporation with respect to certain classes or categories of business opportunities as they may involve any of the Principal Stockholders, the Non-Employee Directors or their respective Affiliates and the powers, rights, duties and liabilities of the Corporation and its directors, officers and stockholders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396875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53" w:name="page54"/>
    <w:bookmarkEnd w:id="53"/>
    <w:p>
      <w:pPr>
        <w:ind w:left="-8" w:firstLine="656"/>
        <w:spacing w:after="0" w:line="283" w:lineRule="auto"/>
        <w:tabs>
          <w:tab w:leader="none" w:pos="1142" w:val="left"/>
        </w:tabs>
        <w:numPr>
          <w:ilvl w:val="1"/>
          <w:numId w:val="23"/>
        </w:numPr>
        <w:rPr>
          <w:rFonts w:ascii="Arial" w:cs="Arial" w:eastAsia="Arial" w:hAnsi="Arial"/>
          <w:sz w:val="16"/>
          <w:szCs w:val="16"/>
          <w:color w:val="auto"/>
        </w:rPr>
      </w:pPr>
      <w:r>
        <w:rPr>
          <w:rFonts w:ascii="Arial" w:cs="Arial" w:eastAsia="Arial" w:hAnsi="Arial"/>
          <w:sz w:val="16"/>
          <w:szCs w:val="16"/>
          <w:color w:val="auto"/>
        </w:rPr>
        <w:t>None of (i) the Principal Stockholders or any of their Affiliates or any of their respective principals, members, directors, partners, stockholders, officers, employees or other representatives or (ii) any Non-Employee Director (including any Non-Employee Director who serves as an officer of the Corporation in both his or her director and officer capacities) or his or her Affiliates (the Persons (as defined below) identified in (i) and (ii) above being referred to, collectively, as “</w:t>
      </w:r>
      <w:r>
        <w:rPr>
          <w:rFonts w:ascii="Arial" w:cs="Arial" w:eastAsia="Arial" w:hAnsi="Arial"/>
          <w:sz w:val="16"/>
          <w:szCs w:val="16"/>
          <w:u w:val="single" w:color="auto"/>
          <w:color w:val="auto"/>
        </w:rPr>
        <w:t>Identified Persons</w:t>
      </w:r>
      <w:r>
        <w:rPr>
          <w:rFonts w:ascii="Arial" w:cs="Arial" w:eastAsia="Arial" w:hAnsi="Arial"/>
          <w:sz w:val="16"/>
          <w:szCs w:val="16"/>
          <w:color w:val="auto"/>
        </w:rPr>
        <w:t xml:space="preserve">” and, individually, as an “ </w:t>
      </w:r>
      <w:r>
        <w:rPr>
          <w:rFonts w:ascii="Arial" w:cs="Arial" w:eastAsia="Arial" w:hAnsi="Arial"/>
          <w:sz w:val="16"/>
          <w:szCs w:val="16"/>
          <w:u w:val="single" w:color="auto"/>
          <w:color w:val="auto"/>
        </w:rPr>
        <w:t>Identified Person</w:t>
      </w:r>
      <w:r>
        <w:rPr>
          <w:rFonts w:ascii="Arial" w:cs="Arial" w:eastAsia="Arial" w:hAnsi="Arial"/>
          <w:sz w:val="16"/>
          <w:szCs w:val="16"/>
          <w:color w:val="auto"/>
        </w:rPr>
        <w:t>”) shall, to the fullest extent permitted by law, have any duty to refrain from directly or indirectly (1) engaging in the same or similar business activities or lines of business in which the Corporation or any of its Affiliates now engages or proposes to engage or (2) otherwise competing with the Corporation or any of its Affiliates, and, to the fullest extent permitted by law, no Identified Person shall be liable to the Corporation or its stockholders or to any Affiliate of the Corporation for breach of any fiduciary duty solely by reason of the fact that such Identified Person engages in any such activities. To the fullest extent permitted by law, the Corporation hereby renounces any interest or expectancy in, or right to be offered an opportunity to participate in, any business opportunity which may be a corporate opportunity for an Identified Person and the Corporation or any of its Affiliates, except as provided in Section (D) of this Article IX. Subject to said Section</w:t>
      </w:r>
    </w:p>
    <w:p>
      <w:pPr>
        <w:spacing w:after="0" w:line="4" w:lineRule="exact"/>
        <w:rPr>
          <w:rFonts w:ascii="Arial" w:cs="Arial" w:eastAsia="Arial" w:hAnsi="Arial"/>
          <w:sz w:val="16"/>
          <w:szCs w:val="16"/>
          <w:color w:val="auto"/>
        </w:rPr>
      </w:pPr>
    </w:p>
    <w:p>
      <w:pPr>
        <w:ind w:left="-8" w:right="60" w:firstLine="8"/>
        <w:spacing w:after="0" w:line="268" w:lineRule="auto"/>
        <w:tabs>
          <w:tab w:leader="none" w:pos="287" w:val="left"/>
        </w:tabs>
        <w:numPr>
          <w:ilvl w:val="0"/>
          <w:numId w:val="24"/>
        </w:numPr>
        <w:rPr>
          <w:rFonts w:ascii="Arial" w:cs="Arial" w:eastAsia="Arial" w:hAnsi="Arial"/>
          <w:sz w:val="17"/>
          <w:szCs w:val="17"/>
          <w:color w:val="auto"/>
        </w:rPr>
      </w:pPr>
      <w:r>
        <w:rPr>
          <w:rFonts w:ascii="Arial" w:cs="Arial" w:eastAsia="Arial" w:hAnsi="Arial"/>
          <w:sz w:val="17"/>
          <w:szCs w:val="17"/>
          <w:color w:val="auto"/>
        </w:rPr>
        <w:t>of this Article IX, in the event that any Identified Person acquires knowledge of a potential transaction or other matter or business opportunity which may be a corporate opportunity for itself, herself or himself and the Corporation or any of its Affiliates, such Identified Person shall, to the fullest extent permitted by law, have no fiduciary duty or other duty (contractual or otherwise) to communicate, present or offer such transaction or other business opportunity to the Corporation or any of its Affiliates and, to the fullest extent permitted by law, shall not be liable to the Corporation or its stockholders or to any Affiliate of the Corporation for breach of any fiduciary duty or other duty (contractual or otherwise) as a stockholder, director or officer of the Corporation solely by reason of the fact that such Identified Person pursues or acquires such corporate opportunity for itself, herself or himself, offers or directs such corporate opportunity to another Person, or does not present such corporate opportunity to the Corporation or any of its Affiliates and shall be deemed to have fully satisfied and fulfilled such person’s duties to the Corporation and its stockholders with respect to any such corporate opportunity and to have acted in accordance with the standard of care set forth in the DGCL, or any successor statute, or law that is otherwise applicable to such Identified Persons under Delaware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396875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54" w:name="page55"/>
    <w:bookmarkEnd w:id="54"/>
    <w:p>
      <w:pPr>
        <w:ind w:left="-656" w:right="20" w:firstLine="656"/>
        <w:spacing w:after="0" w:line="263" w:lineRule="auto"/>
        <w:tabs>
          <w:tab w:leader="none" w:pos="69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Corporation and its Affiliates do not have any rights in and to the business ventures of any Identified Person, or the income or profits derived therefrom, and the Corporation agrees that each of the Identified Persons may do business with any potential or actual customer or supplier of the Corporation or may employ or otherwise engage any officer or employee of the Corporation.</w:t>
      </w:r>
    </w:p>
    <w:p>
      <w:pPr>
        <w:spacing w:after="0" w:line="183" w:lineRule="exact"/>
        <w:rPr>
          <w:rFonts w:ascii="Arial" w:cs="Arial" w:eastAsia="Arial" w:hAnsi="Arial"/>
          <w:sz w:val="18"/>
          <w:szCs w:val="18"/>
          <w:color w:val="auto"/>
        </w:rPr>
      </w:pPr>
    </w:p>
    <w:p>
      <w:pPr>
        <w:ind w:left="-656" w:firstLine="656"/>
        <w:spacing w:after="0" w:line="259" w:lineRule="auto"/>
        <w:tabs>
          <w:tab w:leader="none" w:pos="70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Corporation does not renounce its interest in any corporate opportunity offered to any Non-Employee Director (including any Non-Employee Director who serves as an officer of this Corporation) if such opportunity is expressly offered to such person solely in his or her capacity as a director, officer, or employee of the Corporation as reasonably determined by such persons, and the provisions of Section (B) of this Article IX shall not apply to any such corporate opportunity.</w:t>
      </w:r>
    </w:p>
    <w:p>
      <w:pPr>
        <w:spacing w:after="0" w:line="186" w:lineRule="exact"/>
        <w:rPr>
          <w:rFonts w:ascii="Arial" w:cs="Arial" w:eastAsia="Arial" w:hAnsi="Arial"/>
          <w:sz w:val="18"/>
          <w:szCs w:val="18"/>
          <w:color w:val="auto"/>
        </w:rPr>
      </w:pPr>
    </w:p>
    <w:p>
      <w:pPr>
        <w:ind w:left="-656" w:right="120" w:firstLine="656"/>
        <w:spacing w:after="0" w:line="259" w:lineRule="auto"/>
        <w:tabs>
          <w:tab w:leader="none" w:pos="732"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addition to and notwithstanding the foregoing provisions of this Article IX, a corporate opportunity shall not be deemed to be a potential corporate opportunity for the Corporation if it is a business opportunity that (i) the Corporation is neither financially or legally able, nor contractually permitted to undertake, (ii) from its nature, is not in the line of the Corporation’s business or is of no practical advantage to the Corporation or (iii) is one in which the Corporation has no interest or reasonable expectancy.</w:t>
      </w:r>
    </w:p>
    <w:p>
      <w:pPr>
        <w:spacing w:after="0" w:line="186" w:lineRule="exact"/>
        <w:rPr>
          <w:rFonts w:ascii="Arial" w:cs="Arial" w:eastAsia="Arial" w:hAnsi="Arial"/>
          <w:sz w:val="18"/>
          <w:szCs w:val="18"/>
          <w:color w:val="auto"/>
        </w:rPr>
      </w:pPr>
    </w:p>
    <w:p>
      <w:pPr>
        <w:ind w:left="-656" w:right="20" w:firstLine="656"/>
        <w:spacing w:after="0" w:line="272" w:lineRule="auto"/>
        <w:tabs>
          <w:tab w:leader="none" w:pos="707" w:val="left"/>
        </w:tabs>
        <w:numPr>
          <w:ilvl w:val="0"/>
          <w:numId w:val="25"/>
        </w:numPr>
        <w:rPr>
          <w:rFonts w:ascii="Arial" w:cs="Arial" w:eastAsia="Arial" w:hAnsi="Arial"/>
          <w:sz w:val="17"/>
          <w:szCs w:val="17"/>
          <w:color w:val="auto"/>
        </w:rPr>
      </w:pPr>
      <w:r>
        <w:rPr>
          <w:rFonts w:ascii="Arial" w:cs="Arial" w:eastAsia="Arial" w:hAnsi="Arial"/>
          <w:sz w:val="17"/>
          <w:szCs w:val="17"/>
          <w:color w:val="auto"/>
        </w:rPr>
        <w:t>For purposes of this Article IX, (i) “</w:t>
      </w:r>
      <w:r>
        <w:rPr>
          <w:rFonts w:ascii="Arial" w:cs="Arial" w:eastAsia="Arial" w:hAnsi="Arial"/>
          <w:sz w:val="17"/>
          <w:szCs w:val="17"/>
          <w:u w:val="single" w:color="auto"/>
          <w:color w:val="auto"/>
        </w:rPr>
        <w:t>Affiliate</w:t>
      </w:r>
      <w:r>
        <w:rPr>
          <w:rFonts w:ascii="Arial" w:cs="Arial" w:eastAsia="Arial" w:hAnsi="Arial"/>
          <w:sz w:val="17"/>
          <w:szCs w:val="17"/>
          <w:color w:val="auto"/>
        </w:rPr>
        <w:t>” shall mean (a) in respect of the Principal Stockholders, any Person that, directly or indirectly, is controlled by the Principal Stockholders, controls the Principal Stockholders or is under common control with the Principal Stockholders and shall include any principal, member, director, partner, stockholder, officer, employee or other representative of any of the foregoing (other than the Corporation and any entity that is controlled by the Corporation), (b) in respect of a Non-Employee Director, any Person that, directly or indirectly, is controlled by such Non-Employee Director (other than the Corporation and any entity that is controlled by the Corporation) and (c) in respect of the Corporation, any Person that, directly or indirectly, is controlled by the Corporation; and (ii) “</w:t>
      </w:r>
      <w:r>
        <w:rPr>
          <w:rFonts w:ascii="Arial" w:cs="Arial" w:eastAsia="Arial" w:hAnsi="Arial"/>
          <w:sz w:val="17"/>
          <w:szCs w:val="17"/>
          <w:u w:val="single" w:color="auto"/>
          <w:color w:val="auto"/>
        </w:rPr>
        <w:t>Person</w:t>
      </w:r>
      <w:r>
        <w:rPr>
          <w:rFonts w:ascii="Arial" w:cs="Arial" w:eastAsia="Arial" w:hAnsi="Arial"/>
          <w:sz w:val="17"/>
          <w:szCs w:val="17"/>
          <w:color w:val="auto"/>
        </w:rPr>
        <w:t>” shall mean any individual, corporation, general or limited partnership, limited liability company, joint venture, trust, association or any other entity.</w:t>
      </w:r>
    </w:p>
    <w:p>
      <w:pPr>
        <w:spacing w:after="0" w:line="177" w:lineRule="exact"/>
        <w:rPr>
          <w:rFonts w:ascii="Arial" w:cs="Arial" w:eastAsia="Arial" w:hAnsi="Arial"/>
          <w:sz w:val="17"/>
          <w:szCs w:val="17"/>
          <w:color w:val="auto"/>
        </w:rPr>
      </w:pPr>
    </w:p>
    <w:p>
      <w:pPr>
        <w:ind w:left="-656" w:right="500" w:firstLine="656"/>
        <w:spacing w:after="0" w:line="277" w:lineRule="auto"/>
        <w:tabs>
          <w:tab w:leader="none" w:pos="74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Article IX shall not limit any protections or defenses available to, or indemnification rights of, any director or officer of the Corporation under this Second Amended and Restated Certificate of Incorporation, the bylaws or applicable law.</w:t>
      </w:r>
    </w:p>
    <w:p>
      <w:pPr>
        <w:spacing w:after="0" w:line="170" w:lineRule="exact"/>
        <w:rPr>
          <w:rFonts w:ascii="Arial" w:cs="Arial" w:eastAsia="Arial" w:hAnsi="Arial"/>
          <w:sz w:val="18"/>
          <w:szCs w:val="18"/>
          <w:color w:val="auto"/>
        </w:rPr>
      </w:pPr>
    </w:p>
    <w:p>
      <w:pPr>
        <w:jc w:val="both"/>
        <w:ind w:left="-656" w:right="100" w:firstLine="656"/>
        <w:spacing w:after="0" w:line="301" w:lineRule="auto"/>
        <w:tabs>
          <w:tab w:leader="none" w:pos="707" w:val="left"/>
        </w:tabs>
        <w:numPr>
          <w:ilvl w:val="0"/>
          <w:numId w:val="25"/>
        </w:numPr>
        <w:rPr>
          <w:rFonts w:ascii="Arial" w:cs="Arial" w:eastAsia="Arial" w:hAnsi="Arial"/>
          <w:sz w:val="16"/>
          <w:szCs w:val="16"/>
          <w:color w:val="auto"/>
        </w:rPr>
      </w:pPr>
      <w:r>
        <w:rPr>
          <w:rFonts w:ascii="Arial" w:cs="Arial" w:eastAsia="Arial" w:hAnsi="Arial"/>
          <w:sz w:val="16"/>
          <w:szCs w:val="16"/>
          <w:color w:val="auto"/>
        </w:rPr>
        <w:t>Neither the alteration, amendment, addition to or repeal of this Article IX, nor the adoption of any provision of this Second Amended and Restated Certificate of Incorporation (including any certificate of designation relating to any series of Preferred Stock) inconsistent with this Article IX, shall eliminate or reduce the effect of this Article IX in respect of any business opportunity first identified or any other matter occurring, or any cause of action, suit or claim that, but for this Article IX, would accrue or arise, prior to such alteration, amendment, addition, repeal or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400050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84"/>
          </w:cols>
          <w:pgMar w:left="976" w:top="908" w:right="439" w:bottom="1440" w:gutter="0" w:footer="0" w:header="0"/>
        </w:sectPr>
      </w:pPr>
    </w:p>
    <w:bookmarkStart w:id="55" w:name="page56"/>
    <w:bookmarkEnd w:id="55"/>
    <w:p>
      <w:pPr>
        <w:ind w:left="-60" w:right="460" w:firstLine="656"/>
        <w:spacing w:after="0" w:line="263" w:lineRule="auto"/>
        <w:tabs>
          <w:tab w:leader="none" w:pos="1323"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so long as the Principal Stockholders collectively beneficially own any of the outstanding shares of Common Stock, any modification, supplement, edit or other change or amendment to this Article IX shall require the approval of each Principal Stockholder Designee (as defined in the Stockholders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DGCL SECTION 203 AND BUSINESS COMBINATIONS</w:t>
      </w:r>
    </w:p>
    <w:p>
      <w:pPr>
        <w:spacing w:after="0" w:line="229" w:lineRule="exact"/>
        <w:rPr>
          <w:sz w:val="20"/>
          <w:szCs w:val="20"/>
          <w:color w:val="auto"/>
        </w:rPr>
      </w:pPr>
    </w:p>
    <w:p>
      <w:pPr>
        <w:ind w:left="1300" w:hanging="70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Corporation hereby expressly elects not to be governed by Section 203 of the DGCL.</w:t>
      </w:r>
    </w:p>
    <w:p>
      <w:pPr>
        <w:spacing w:after="0" w:line="225" w:lineRule="exact"/>
        <w:rPr>
          <w:rFonts w:ascii="Arial" w:cs="Arial" w:eastAsia="Arial" w:hAnsi="Arial"/>
          <w:sz w:val="18"/>
          <w:szCs w:val="18"/>
          <w:color w:val="auto"/>
        </w:rPr>
      </w:pPr>
    </w:p>
    <w:p>
      <w:pPr>
        <w:jc w:val="both"/>
        <w:ind w:left="-60" w:firstLine="656"/>
        <w:spacing w:after="0" w:line="263" w:lineRule="auto"/>
        <w:tabs>
          <w:tab w:leader="none" w:pos="1338"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Notwithstanding the foregoing, the Corporation shall not engage in any business combination (as defined below), at any point in time at which the Corporation’s Common Stock is registered under Section 12(b) or 12(g) of the Exchange Act, with any interested stockholder (as defined below) for a period of three years following the time that such stockholder became an interested stockholder, unless:</w:t>
      </w:r>
    </w:p>
    <w:p>
      <w:pPr>
        <w:spacing w:after="0" w:line="183" w:lineRule="exact"/>
        <w:rPr>
          <w:rFonts w:ascii="Arial" w:cs="Arial" w:eastAsia="Arial" w:hAnsi="Arial"/>
          <w:sz w:val="18"/>
          <w:szCs w:val="18"/>
          <w:color w:val="auto"/>
        </w:rPr>
      </w:pPr>
    </w:p>
    <w:p>
      <w:pPr>
        <w:ind w:left="600" w:right="280" w:firstLine="644"/>
        <w:spacing w:after="0" w:line="277" w:lineRule="auto"/>
        <w:tabs>
          <w:tab w:leader="none" w:pos="2013" w:val="left"/>
        </w:tabs>
        <w:numPr>
          <w:ilvl w:val="1"/>
          <w:numId w:val="27"/>
        </w:numPr>
        <w:rPr>
          <w:rFonts w:ascii="Arial" w:cs="Arial" w:eastAsia="Arial" w:hAnsi="Arial"/>
          <w:sz w:val="18"/>
          <w:szCs w:val="18"/>
          <w:color w:val="auto"/>
        </w:rPr>
      </w:pPr>
      <w:r>
        <w:rPr>
          <w:rFonts w:ascii="Arial" w:cs="Arial" w:eastAsia="Arial" w:hAnsi="Arial"/>
          <w:sz w:val="18"/>
          <w:szCs w:val="18"/>
          <w:color w:val="auto"/>
        </w:rPr>
        <w:t>prior to such time, the Board of Directors approved either the business combination or the transaction which resulted in the stockholder becoming an interested stockholder, or</w:t>
      </w:r>
    </w:p>
    <w:p>
      <w:pPr>
        <w:spacing w:after="0" w:line="170" w:lineRule="exact"/>
        <w:rPr>
          <w:rFonts w:ascii="Arial" w:cs="Arial" w:eastAsia="Arial" w:hAnsi="Arial"/>
          <w:sz w:val="18"/>
          <w:szCs w:val="18"/>
          <w:color w:val="auto"/>
        </w:rPr>
      </w:pPr>
    </w:p>
    <w:p>
      <w:pPr>
        <w:ind w:left="600" w:right="240" w:firstLine="644"/>
        <w:spacing w:after="0" w:line="296" w:lineRule="auto"/>
        <w:tabs>
          <w:tab w:leader="none" w:pos="2013" w:val="left"/>
        </w:tabs>
        <w:numPr>
          <w:ilvl w:val="1"/>
          <w:numId w:val="27"/>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(as defined below) of the Corporation outstanding at the time the transaction commenced,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61" w:lineRule="exact"/>
        <w:rPr>
          <w:rFonts w:ascii="Arial" w:cs="Arial" w:eastAsia="Arial" w:hAnsi="Arial"/>
          <w:sz w:val="16"/>
          <w:szCs w:val="16"/>
          <w:color w:val="auto"/>
        </w:rPr>
      </w:pPr>
    </w:p>
    <w:p>
      <w:pPr>
        <w:ind w:left="600" w:right="140" w:firstLine="644"/>
        <w:spacing w:after="0" w:line="263" w:lineRule="auto"/>
        <w:tabs>
          <w:tab w:leader="none" w:pos="2013" w:val="left"/>
        </w:tabs>
        <w:numPr>
          <w:ilvl w:val="1"/>
          <w:numId w:val="27"/>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stockholders, and not by written consent, by the affirmative vote of at least 66⅔% of the outstanding voting stock of the Corporation which is not owned by the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80" w:top="908" w:right="379" w:bottom="1440" w:gutter="0" w:footer="0" w:header="0"/>
        </w:sectPr>
      </w:pPr>
    </w:p>
    <w:bookmarkStart w:id="56" w:name="page57"/>
    <w:bookmarkEnd w:id="56"/>
    <w:p>
      <w:pPr>
        <w:ind w:left="1292" w:hanging="644"/>
        <w:spacing w:after="0"/>
        <w:tabs>
          <w:tab w:leader="none" w:pos="1292" w:val="left"/>
        </w:tabs>
        <w:numPr>
          <w:ilvl w:val="1"/>
          <w:numId w:val="28"/>
        </w:numPr>
        <w:rPr>
          <w:rFonts w:ascii="Arial" w:cs="Arial" w:eastAsia="Arial" w:hAnsi="Arial"/>
          <w:sz w:val="18"/>
          <w:szCs w:val="18"/>
          <w:color w:val="auto"/>
        </w:rPr>
      </w:pPr>
      <w:r>
        <w:rPr>
          <w:rFonts w:ascii="Arial" w:cs="Arial" w:eastAsia="Arial" w:hAnsi="Arial"/>
          <w:sz w:val="18"/>
          <w:szCs w:val="18"/>
          <w:color w:val="auto"/>
        </w:rPr>
        <w:t>For purposes of this Article X, references to:</w:t>
      </w:r>
    </w:p>
    <w:p>
      <w:pPr>
        <w:spacing w:after="0" w:line="225" w:lineRule="exact"/>
        <w:rPr>
          <w:rFonts w:ascii="Arial" w:cs="Arial" w:eastAsia="Arial" w:hAnsi="Arial"/>
          <w:sz w:val="18"/>
          <w:szCs w:val="18"/>
          <w:color w:val="auto"/>
        </w:rPr>
      </w:pPr>
    </w:p>
    <w:p>
      <w:pPr>
        <w:ind w:left="652" w:right="280" w:firstLine="644"/>
        <w:spacing w:after="0" w:line="277" w:lineRule="auto"/>
        <w:tabs>
          <w:tab w:leader="none" w:pos="2020" w:val="left"/>
        </w:tabs>
        <w:numPr>
          <w:ilvl w:val="2"/>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 person that directly, or indirectly through one or more intermediaries, controls, or is controlled by, or is under common control with, another person.</w:t>
      </w:r>
    </w:p>
    <w:p>
      <w:pPr>
        <w:spacing w:after="0" w:line="170" w:lineRule="exact"/>
        <w:rPr>
          <w:rFonts w:ascii="Arial" w:cs="Arial" w:eastAsia="Arial" w:hAnsi="Arial"/>
          <w:sz w:val="18"/>
          <w:szCs w:val="18"/>
          <w:color w:val="auto"/>
        </w:rPr>
      </w:pPr>
    </w:p>
    <w:p>
      <w:pPr>
        <w:ind w:left="1952" w:hanging="656"/>
        <w:spacing w:after="0"/>
        <w:tabs>
          <w:tab w:leader="none" w:pos="1952" w:val="left"/>
        </w:tabs>
        <w:numPr>
          <w:ilvl w:val="2"/>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associate</w:t>
      </w:r>
      <w:r>
        <w:rPr>
          <w:rFonts w:ascii="Arial" w:cs="Arial" w:eastAsia="Arial" w:hAnsi="Arial"/>
          <w:sz w:val="18"/>
          <w:szCs w:val="18"/>
          <w:color w:val="auto"/>
        </w:rPr>
        <w:t>,” when used to indicate a relationship with any person, means:</w:t>
      </w:r>
    </w:p>
    <w:p>
      <w:pPr>
        <w:spacing w:after="0" w:line="225" w:lineRule="exact"/>
        <w:rPr>
          <w:rFonts w:ascii="Arial" w:cs="Arial" w:eastAsia="Arial" w:hAnsi="Arial"/>
          <w:sz w:val="18"/>
          <w:szCs w:val="18"/>
          <w:color w:val="auto"/>
        </w:rPr>
      </w:pPr>
    </w:p>
    <w:p>
      <w:pPr>
        <w:ind w:left="-8" w:right="40" w:firstLine="1952"/>
        <w:spacing w:after="0" w:line="259" w:lineRule="auto"/>
        <w:tabs>
          <w:tab w:leader="none" w:pos="2151" w:val="left"/>
        </w:tabs>
        <w:numPr>
          <w:ilvl w:val="3"/>
          <w:numId w:val="28"/>
        </w:numPr>
        <w:rPr>
          <w:rFonts w:ascii="Arial" w:cs="Arial" w:eastAsia="Arial" w:hAnsi="Arial"/>
          <w:sz w:val="18"/>
          <w:szCs w:val="18"/>
          <w:color w:val="auto"/>
        </w:rPr>
      </w:pPr>
      <w:r>
        <w:rPr>
          <w:rFonts w:ascii="Arial" w:cs="Arial" w:eastAsia="Arial" w:hAnsi="Arial"/>
          <w:sz w:val="18"/>
          <w:szCs w:val="18"/>
          <w:color w:val="auto"/>
        </w:rPr>
        <w:t>any corporation, partnership, unincorporated association or other entity of which such person is a director, officer or partner or is, directly or indirectly, the owner of 20% or more of any class of voting stock;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spacing w:after="0" w:line="186" w:lineRule="exact"/>
        <w:rPr>
          <w:rFonts w:ascii="Arial" w:cs="Arial" w:eastAsia="Arial" w:hAnsi="Arial"/>
          <w:sz w:val="18"/>
          <w:szCs w:val="18"/>
          <w:color w:val="auto"/>
        </w:rPr>
      </w:pPr>
    </w:p>
    <w:p>
      <w:pPr>
        <w:ind w:left="2212" w:hanging="916"/>
        <w:spacing w:after="0"/>
        <w:tabs>
          <w:tab w:leader="none" w:pos="2212" w:val="left"/>
        </w:tabs>
        <w:numPr>
          <w:ilvl w:val="2"/>
          <w:numId w:val="2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combination</w:t>
      </w:r>
      <w:r>
        <w:rPr>
          <w:rFonts w:ascii="Arial" w:cs="Arial" w:eastAsia="Arial" w:hAnsi="Arial"/>
          <w:sz w:val="17"/>
          <w:szCs w:val="17"/>
          <w:color w:val="auto"/>
        </w:rPr>
        <w:t>,” when used in reference to the Corporation and any interested stockholder of the Corporation,</w:t>
      </w:r>
    </w:p>
    <w:p>
      <w:pPr>
        <w:spacing w:after="0" w:line="34" w:lineRule="exact"/>
        <w:rPr>
          <w:rFonts w:ascii="Arial" w:cs="Arial" w:eastAsia="Arial" w:hAnsi="Arial"/>
          <w:sz w:val="17"/>
          <w:szCs w:val="17"/>
          <w:color w:val="auto"/>
        </w:rPr>
      </w:pPr>
    </w:p>
    <w:p>
      <w:pPr>
        <w:ind w:left="652"/>
        <w:spacing w:after="0"/>
        <w:rPr>
          <w:rFonts w:ascii="Arial" w:cs="Arial" w:eastAsia="Arial" w:hAnsi="Arial"/>
          <w:sz w:val="17"/>
          <w:szCs w:val="17"/>
          <w:color w:val="auto"/>
        </w:rPr>
      </w:pPr>
      <w:r>
        <w:rPr>
          <w:rFonts w:ascii="Arial" w:cs="Arial" w:eastAsia="Arial" w:hAnsi="Arial"/>
          <w:sz w:val="18"/>
          <w:szCs w:val="18"/>
          <w:color w:val="auto"/>
        </w:rPr>
        <w:t>means:</w:t>
      </w:r>
    </w:p>
    <w:p>
      <w:pPr>
        <w:spacing w:after="0" w:line="210" w:lineRule="exact"/>
        <w:rPr>
          <w:rFonts w:ascii="Arial" w:cs="Arial" w:eastAsia="Arial" w:hAnsi="Arial"/>
          <w:sz w:val="17"/>
          <w:szCs w:val="17"/>
          <w:color w:val="auto"/>
        </w:rPr>
      </w:pPr>
    </w:p>
    <w:p>
      <w:pPr>
        <w:ind w:left="-8" w:right="100" w:firstLine="1952"/>
        <w:spacing w:after="0" w:line="311" w:lineRule="auto"/>
        <w:tabs>
          <w:tab w:leader="none" w:pos="2151" w:val="left"/>
        </w:tabs>
        <w:numPr>
          <w:ilvl w:val="3"/>
          <w:numId w:val="28"/>
        </w:numPr>
        <w:rPr>
          <w:rFonts w:ascii="Arial" w:cs="Arial" w:eastAsia="Arial" w:hAnsi="Arial"/>
          <w:sz w:val="16"/>
          <w:szCs w:val="16"/>
          <w:color w:val="auto"/>
        </w:rPr>
      </w:pPr>
      <w:r>
        <w:rPr>
          <w:rFonts w:ascii="Arial" w:cs="Arial" w:eastAsia="Arial" w:hAnsi="Arial"/>
          <w:sz w:val="16"/>
          <w:szCs w:val="16"/>
          <w:color w:val="auto"/>
        </w:rPr>
        <w:t>any merger or consolidation of the Corporation or any direct or indirect majority-owned subsidiary of the Corporation (a) with the interested stockholder, or (b) with any other corporation, partnership, unincorporated association or other entity if the merger or consolidation is caused by the interested stockholder and as a result of such merger or consolidation Section (B) of this Article X is not applicable to the surviving entity;</w:t>
      </w:r>
    </w:p>
    <w:p>
      <w:pPr>
        <w:spacing w:after="0" w:line="148" w:lineRule="exact"/>
        <w:rPr>
          <w:rFonts w:ascii="Arial" w:cs="Arial" w:eastAsia="Arial" w:hAnsi="Arial"/>
          <w:sz w:val="16"/>
          <w:szCs w:val="16"/>
          <w:color w:val="auto"/>
        </w:rPr>
      </w:pPr>
    </w:p>
    <w:p>
      <w:pPr>
        <w:ind w:left="-8" w:right="40" w:firstLine="1952"/>
        <w:spacing w:after="0" w:line="257" w:lineRule="auto"/>
        <w:tabs>
          <w:tab w:leader="none" w:pos="2201" w:val="left"/>
        </w:tabs>
        <w:numPr>
          <w:ilvl w:val="3"/>
          <w:numId w:val="28"/>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stock of the Corporation;</w:t>
      </w:r>
    </w:p>
    <w:p>
      <w:pPr>
        <w:spacing w:after="0" w:line="187" w:lineRule="exact"/>
        <w:rPr>
          <w:rFonts w:ascii="Arial" w:cs="Arial" w:eastAsia="Arial" w:hAnsi="Arial"/>
          <w:sz w:val="18"/>
          <w:szCs w:val="18"/>
          <w:color w:val="auto"/>
        </w:rPr>
      </w:pPr>
    </w:p>
    <w:p>
      <w:pPr>
        <w:ind w:left="-8" w:firstLine="1952"/>
        <w:spacing w:after="0" w:line="284" w:lineRule="auto"/>
        <w:tabs>
          <w:tab w:leader="none" w:pos="2251" w:val="left"/>
        </w:tabs>
        <w:numPr>
          <w:ilvl w:val="3"/>
          <w:numId w:val="28"/>
        </w:numPr>
        <w:rPr>
          <w:rFonts w:ascii="Arial" w:cs="Arial" w:eastAsia="Arial" w:hAnsi="Arial"/>
          <w:sz w:val="16"/>
          <w:szCs w:val="16"/>
          <w:color w:val="auto"/>
        </w:rPr>
      </w:pPr>
      <w:r>
        <w:rPr>
          <w:rFonts w:ascii="Arial" w:cs="Arial" w:eastAsia="Arial" w:hAnsi="Arial"/>
          <w:sz w:val="16"/>
          <w:szCs w:val="16"/>
          <w:color w:val="auto"/>
        </w:rPr>
        <w:t xml:space="preserve">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 DGCL; (c)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case under items (c)-(e) of this subsection</w:t>
      </w:r>
    </w:p>
    <w:p>
      <w:pPr>
        <w:ind w:left="-8" w:right="360" w:firstLine="8"/>
        <w:spacing w:after="0" w:line="260" w:lineRule="auto"/>
        <w:tabs>
          <w:tab w:leader="none" w:pos="307"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shall there be an increase in the interested stockholder’s proportionate share of the stock of any class or series of the Corporation or of the voting stock of the Corporation (except as a result of immaterial changes due to fractional share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418465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92"/>
          </w:cols>
          <w:pgMar w:left="328" w:top="908" w:right="479" w:bottom="1440" w:gutter="0" w:footer="0" w:header="0"/>
        </w:sectPr>
      </w:pPr>
    </w:p>
    <w:bookmarkStart w:id="57" w:name="page58"/>
    <w:bookmarkEnd w:id="57"/>
    <w:p>
      <w:pPr>
        <w:ind w:left="-1120" w:right="100" w:firstLine="1952"/>
        <w:spacing w:after="0" w:line="257" w:lineRule="auto"/>
        <w:tabs>
          <w:tab w:leader="none" w:pos="1129"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spacing w:after="0" w:line="187" w:lineRule="exact"/>
        <w:rPr>
          <w:rFonts w:ascii="Arial" w:cs="Arial" w:eastAsia="Arial" w:hAnsi="Arial"/>
          <w:sz w:val="18"/>
          <w:szCs w:val="18"/>
          <w:color w:val="auto"/>
        </w:rPr>
      </w:pPr>
    </w:p>
    <w:p>
      <w:pPr>
        <w:ind w:left="-1120" w:right="160" w:firstLine="1952"/>
        <w:spacing w:after="0" w:line="263" w:lineRule="auto"/>
        <w:tabs>
          <w:tab w:leader="none" w:pos="1079"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receipt by the interested stockholder of the benefit, directly or indirectly (except proportionately as a stockholder of the Corporation), of any loans, advances, guarantees, pledges, or other financial benefits (other than those expressly permitted in subsections (i)-(iv) above) provided by or through the Corporation or any direct or indirect majority-owned subsidiary.</w:t>
      </w:r>
    </w:p>
    <w:p>
      <w:pPr>
        <w:spacing w:after="0" w:line="183" w:lineRule="exact"/>
        <w:rPr>
          <w:rFonts w:ascii="Arial" w:cs="Arial" w:eastAsia="Arial" w:hAnsi="Arial"/>
          <w:sz w:val="18"/>
          <w:szCs w:val="18"/>
          <w:color w:val="auto"/>
        </w:rPr>
      </w:pPr>
    </w:p>
    <w:p>
      <w:pPr>
        <w:ind w:left="-1120" w:right="80" w:firstLine="1304"/>
        <w:spacing w:after="0" w:line="254" w:lineRule="auto"/>
        <w:tabs>
          <w:tab w:leader="none" w:pos="896"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controlling</w:t>
      </w:r>
      <w:r>
        <w:rPr>
          <w:rFonts w:ascii="Arial" w:cs="Arial" w:eastAsia="Arial" w:hAnsi="Arial"/>
          <w:sz w:val="18"/>
          <w:szCs w:val="18"/>
          <w:color w:val="auto"/>
        </w:rPr>
        <w:t>,”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the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Article X, as an agent, bank, broker, nominee, custodian or trustee for one or more owners who do not individually or as a group have control of such entity.</w:t>
      </w:r>
    </w:p>
    <w:p>
      <w:pPr>
        <w:spacing w:after="0" w:line="194" w:lineRule="exact"/>
        <w:rPr>
          <w:rFonts w:ascii="Arial" w:cs="Arial" w:eastAsia="Arial" w:hAnsi="Arial"/>
          <w:sz w:val="18"/>
          <w:szCs w:val="18"/>
          <w:color w:val="auto"/>
        </w:rPr>
      </w:pPr>
    </w:p>
    <w:p>
      <w:pPr>
        <w:ind w:left="-1120" w:firstLine="1304"/>
        <w:spacing w:after="0" w:line="286" w:lineRule="auto"/>
        <w:tabs>
          <w:tab w:leader="none" w:pos="896" w:val="left"/>
        </w:tabs>
        <w:numPr>
          <w:ilvl w:val="0"/>
          <w:numId w:val="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interested stockholder</w:t>
      </w:r>
      <w:r>
        <w:rPr>
          <w:rFonts w:ascii="Arial" w:cs="Arial" w:eastAsia="Arial" w:hAnsi="Arial"/>
          <w:sz w:val="16"/>
          <w:szCs w:val="16"/>
          <w:color w:val="auto"/>
        </w:rPr>
        <w:t xml:space="preserve">” means any person (other than the Corporation or any direct or indirect majority-owned subsidiary of the Corporation) that (i) is the owner of 15% or more of the outstanding voting stock of the Corporation, or (ii) is an affiliate or associate of the Corporation and was the owner of 15% or more of the outstanding voting stock of the Corporation at any time within the three year period immediately prior to the date on which it is sought to be determined whether such person is an interested stockholder; and the affiliates and associates of such person; but “interested stockholder” shall not include or be deemed to include, in any case, (a) the Pamplona Investor (as defined in the Stockholders Agreement), any Pamplona Investors Direct Transferee, any Pamplona Investors Indirect Transferee or any of their respective affiliates or successors or any “group”, or any member of any such group, to which such persons are a party under Rule 13d-5 of the Exchange Act, (b) the Wynnchurch Investor (as defined in the Stockholders Agreement), any Wynnchurch Investors Direct Transferee, any Wynnchurch Investors Indirect Transferee or any of their respective affiliates or successors or any “group”, or any member of any such group, to which such persons are a party under Rule 13d-5 of the Exchange Act, or (c) any person whose ownership of shares in excess of the 15% limitation set forth herein is the result of any action taken solely by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person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407035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58" w:name="page59"/>
    <w:bookmarkEnd w:id="58"/>
    <w:p>
      <w:pPr>
        <w:ind w:left="-1120" w:right="320" w:firstLine="1304"/>
        <w:spacing w:after="0" w:line="277" w:lineRule="auto"/>
        <w:tabs>
          <w:tab w:leader="none" w:pos="896"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owner</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own</w:t>
      </w:r>
      <w:r>
        <w:rPr>
          <w:rFonts w:ascii="Arial" w:cs="Arial" w:eastAsia="Arial" w:hAnsi="Arial"/>
          <w:sz w:val="18"/>
          <w:szCs w:val="18"/>
          <w:color w:val="auto"/>
        </w:rPr>
        <w:t>” and “</w:t>
      </w:r>
      <w:r>
        <w:rPr>
          <w:rFonts w:ascii="Arial" w:cs="Arial" w:eastAsia="Arial" w:hAnsi="Arial"/>
          <w:sz w:val="18"/>
          <w:szCs w:val="18"/>
          <w:u w:val="single" w:color="auto"/>
          <w:color w:val="auto"/>
        </w:rPr>
        <w:t>owned</w:t>
      </w:r>
      <w:r>
        <w:rPr>
          <w:rFonts w:ascii="Arial" w:cs="Arial" w:eastAsia="Arial" w:hAnsi="Arial"/>
          <w:sz w:val="18"/>
          <w:szCs w:val="18"/>
          <w:color w:val="auto"/>
        </w:rPr>
        <w:t>,” when used with respect to any stock, means a person that individually or with or through any of its affiliates or associates:</w:t>
      </w:r>
    </w:p>
    <w:p>
      <w:pPr>
        <w:spacing w:after="0" w:line="170" w:lineRule="exact"/>
        <w:rPr>
          <w:rFonts w:ascii="Arial" w:cs="Arial" w:eastAsia="Arial" w:hAnsi="Arial"/>
          <w:sz w:val="18"/>
          <w:szCs w:val="18"/>
          <w:color w:val="auto"/>
        </w:rPr>
      </w:pPr>
    </w:p>
    <w:p>
      <w:pPr>
        <w:ind w:left="1480" w:hanging="648"/>
        <w:spacing w:after="0"/>
        <w:tabs>
          <w:tab w:leader="none" w:pos="14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beneficially owns such stock, directly or indirectly; or</w:t>
      </w:r>
    </w:p>
    <w:p>
      <w:pPr>
        <w:spacing w:after="0" w:line="225" w:lineRule="exact"/>
        <w:rPr>
          <w:rFonts w:ascii="Arial" w:cs="Arial" w:eastAsia="Arial" w:hAnsi="Arial"/>
          <w:sz w:val="18"/>
          <w:szCs w:val="18"/>
          <w:color w:val="auto"/>
        </w:rPr>
      </w:pPr>
    </w:p>
    <w:p>
      <w:pPr>
        <w:ind w:left="-1120" w:firstLine="1952"/>
        <w:spacing w:after="0" w:line="272" w:lineRule="auto"/>
        <w:tabs>
          <w:tab w:leader="none" w:pos="1584" w:val="left"/>
        </w:tabs>
        <w:numPr>
          <w:ilvl w:val="1"/>
          <w:numId w:val="32"/>
        </w:numPr>
        <w:rPr>
          <w:rFonts w:ascii="Arial" w:cs="Arial" w:eastAsia="Arial" w:hAnsi="Arial"/>
          <w:sz w:val="17"/>
          <w:szCs w:val="17"/>
          <w:color w:val="auto"/>
        </w:rPr>
      </w:pPr>
      <w:r>
        <w:rPr>
          <w:rFonts w:ascii="Arial" w:cs="Arial" w:eastAsia="Arial" w:hAnsi="Arial"/>
          <w:sz w:val="17"/>
          <w:szCs w:val="17"/>
          <w:color w:val="auto"/>
        </w:rPr>
        <w:t xml:space="preserve">has (a)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or more persons; or</w:t>
      </w:r>
    </w:p>
    <w:p>
      <w:pPr>
        <w:spacing w:after="0" w:line="177" w:lineRule="exact"/>
        <w:rPr>
          <w:rFonts w:ascii="Arial" w:cs="Arial" w:eastAsia="Arial" w:hAnsi="Arial"/>
          <w:sz w:val="17"/>
          <w:szCs w:val="17"/>
          <w:color w:val="auto"/>
        </w:rPr>
      </w:pPr>
    </w:p>
    <w:p>
      <w:pPr>
        <w:ind w:left="-1120" w:right="560" w:firstLine="1952"/>
        <w:spacing w:after="0" w:line="263" w:lineRule="auto"/>
        <w:tabs>
          <w:tab w:leader="none" w:pos="1634" w:val="left"/>
        </w:tabs>
        <w:numPr>
          <w:ilvl w:val="1"/>
          <w:numId w:val="32"/>
        </w:numPr>
        <w:rPr>
          <w:rFonts w:ascii="Arial" w:cs="Arial" w:eastAsia="Arial" w:hAnsi="Arial"/>
          <w:sz w:val="18"/>
          <w:szCs w:val="18"/>
          <w:color w:val="auto"/>
        </w:rPr>
      </w:pPr>
      <w:r>
        <w:rPr>
          <w:rFonts w:ascii="Arial" w:cs="Arial" w:eastAsia="Arial" w:hAnsi="Arial"/>
          <w:sz w:val="18"/>
          <w:szCs w:val="18"/>
          <w:color w:val="auto"/>
        </w:rPr>
        <w:t>has any agreement, arrangement or understanding for the purpose of acquiring, holding, voting (except voting pursuant to a revocable proxy or consent as described in item (b) of subsection (ii) above), or disposing of such stock with any other person that beneficially owns, or whose affiliates or associates beneficially own, directly or indirectly, such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417195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59" w:name="page60"/>
    <w:bookmarkEnd w:id="59"/>
    <w:p>
      <w:pPr>
        <w:ind w:left="2020" w:hanging="716"/>
        <w:spacing w:after="0"/>
        <w:tabs>
          <w:tab w:leader="none" w:pos="2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unincorporated association or other entity.</w:t>
      </w:r>
    </w:p>
    <w:p>
      <w:pPr>
        <w:spacing w:after="0" w:line="225" w:lineRule="exact"/>
        <w:rPr>
          <w:rFonts w:ascii="Arial" w:cs="Arial" w:eastAsia="Arial" w:hAnsi="Arial"/>
          <w:sz w:val="18"/>
          <w:szCs w:val="18"/>
          <w:color w:val="auto"/>
        </w:rPr>
      </w:pPr>
    </w:p>
    <w:p>
      <w:pPr>
        <w:ind w:right="80" w:firstLine="1304"/>
        <w:spacing w:after="0" w:line="259" w:lineRule="auto"/>
        <w:tabs>
          <w:tab w:leader="none" w:pos="2016"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Pamplona Investors Direct Transferee</w:t>
      </w:r>
      <w:r>
        <w:rPr>
          <w:rFonts w:ascii="Arial" w:cs="Arial" w:eastAsia="Arial" w:hAnsi="Arial"/>
          <w:sz w:val="18"/>
          <w:szCs w:val="18"/>
          <w:color w:val="auto"/>
        </w:rPr>
        <w:t>” means any person that acquires (other than in a registered public offering or through a broker’s transaction executed on any securities exchange or other over-the-counter market) directly from either the Pamplona Investor or any of its affiliates or successors or any “group”, or any member of any such group, of which such persons are a party under Rule 13d-5 of the Exchange Act beneficial ownership of 15% or more of the then outstanding voting stock of the Corporation.</w:t>
      </w:r>
    </w:p>
    <w:p>
      <w:pPr>
        <w:spacing w:after="0" w:line="186" w:lineRule="exact"/>
        <w:rPr>
          <w:rFonts w:ascii="Arial" w:cs="Arial" w:eastAsia="Arial" w:hAnsi="Arial"/>
          <w:sz w:val="18"/>
          <w:szCs w:val="18"/>
          <w:color w:val="auto"/>
        </w:rPr>
      </w:pPr>
    </w:p>
    <w:p>
      <w:pPr>
        <w:jc w:val="both"/>
        <w:ind w:right="680" w:firstLine="1304"/>
        <w:spacing w:after="0" w:line="287" w:lineRule="auto"/>
        <w:tabs>
          <w:tab w:leader="none" w:pos="2016" w:val="left"/>
        </w:tabs>
        <w:numPr>
          <w:ilvl w:val="0"/>
          <w:numId w:val="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Pamplona Investors Indirect Transferee</w:t>
      </w:r>
      <w:r>
        <w:rPr>
          <w:rFonts w:ascii="Arial" w:cs="Arial" w:eastAsia="Arial" w:hAnsi="Arial"/>
          <w:sz w:val="16"/>
          <w:szCs w:val="16"/>
          <w:color w:val="auto"/>
        </w:rPr>
        <w:t>” means any person that acquires (other than in a registered public offering or through a broker’s transaction executed on any securities exchange or other over-the-counter market) directly from any Pamplona Investors Direct Transferee or any other Pamplona Investors Indirect Transferee beneficial ownership of 15% or more of the then outstanding voting stock of</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Corporation.</w:t>
      </w:r>
    </w:p>
    <w:p>
      <w:pPr>
        <w:spacing w:after="0" w:line="210" w:lineRule="exact"/>
        <w:rPr>
          <w:rFonts w:ascii="Arial" w:cs="Arial" w:eastAsia="Arial" w:hAnsi="Arial"/>
          <w:sz w:val="16"/>
          <w:szCs w:val="16"/>
          <w:color w:val="auto"/>
        </w:rPr>
      </w:pPr>
    </w:p>
    <w:p>
      <w:pPr>
        <w:ind w:left="2020" w:hanging="716"/>
        <w:spacing w:after="0"/>
        <w:tabs>
          <w:tab w:leader="none" w:pos="2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w:t>
      </w:r>
      <w:r>
        <w:rPr>
          <w:rFonts w:ascii="Arial" w:cs="Arial" w:eastAsia="Arial" w:hAnsi="Arial"/>
          <w:sz w:val="17"/>
          <w:szCs w:val="17"/>
          <w:color w:val="auto"/>
        </w:rPr>
        <w:t>” means, with respect to any corporation, capital stock and, with respect to any other entity, any equity interest.</w:t>
      </w:r>
    </w:p>
    <w:p>
      <w:pPr>
        <w:spacing w:after="0" w:line="236" w:lineRule="exact"/>
        <w:rPr>
          <w:rFonts w:ascii="Arial" w:cs="Arial" w:eastAsia="Arial" w:hAnsi="Arial"/>
          <w:sz w:val="17"/>
          <w:szCs w:val="17"/>
          <w:color w:val="auto"/>
        </w:rPr>
      </w:pPr>
    </w:p>
    <w:p>
      <w:pPr>
        <w:ind w:left="2020" w:hanging="716"/>
        <w:spacing w:after="0"/>
        <w:tabs>
          <w:tab w:leader="none" w:pos="2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stock of any class or series entitled to vote generally in the election of directors.</w:t>
      </w:r>
    </w:p>
    <w:p>
      <w:pPr>
        <w:spacing w:after="0" w:line="225" w:lineRule="exact"/>
        <w:rPr>
          <w:rFonts w:ascii="Arial" w:cs="Arial" w:eastAsia="Arial" w:hAnsi="Arial"/>
          <w:sz w:val="18"/>
          <w:szCs w:val="18"/>
          <w:color w:val="auto"/>
        </w:rPr>
      </w:pPr>
    </w:p>
    <w:p>
      <w:pPr>
        <w:ind w:firstLine="1304"/>
        <w:spacing w:after="0" w:line="259" w:lineRule="auto"/>
        <w:tabs>
          <w:tab w:leader="none" w:pos="2016"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Wynnchurch Investors Direct Transferee</w:t>
      </w:r>
      <w:r>
        <w:rPr>
          <w:rFonts w:ascii="Arial" w:cs="Arial" w:eastAsia="Arial" w:hAnsi="Arial"/>
          <w:sz w:val="18"/>
          <w:szCs w:val="18"/>
          <w:color w:val="auto"/>
        </w:rPr>
        <w:t>” means any person that acquires (other than in a registered public offering or through a broker’s transaction executed on any securities exchange or other over-the-counter market) directly from either the Wynnchurch Investor or any of its affiliates or successors or any “group”, or any member of any such group, of which such persons are a party under Rule 13d-5 of the Exchange Act beneficial ownership of 15% or more of the then outstanding voting stock of the Corporation.</w:t>
      </w:r>
    </w:p>
    <w:p>
      <w:pPr>
        <w:spacing w:after="0" w:line="186" w:lineRule="exact"/>
        <w:rPr>
          <w:rFonts w:ascii="Arial" w:cs="Arial" w:eastAsia="Arial" w:hAnsi="Arial"/>
          <w:sz w:val="18"/>
          <w:szCs w:val="18"/>
          <w:color w:val="auto"/>
        </w:rPr>
      </w:pPr>
    </w:p>
    <w:p>
      <w:pPr>
        <w:jc w:val="both"/>
        <w:ind w:right="120" w:firstLine="1304"/>
        <w:spacing w:after="0" w:line="259" w:lineRule="auto"/>
        <w:tabs>
          <w:tab w:leader="none" w:pos="2272"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Wynnchurch Investors Indirect Transferee</w:t>
      </w:r>
      <w:r>
        <w:rPr>
          <w:rFonts w:ascii="Arial" w:cs="Arial" w:eastAsia="Arial" w:hAnsi="Arial"/>
          <w:sz w:val="18"/>
          <w:szCs w:val="18"/>
          <w:color w:val="auto"/>
        </w:rPr>
        <w:t>” means any person that acquires (other than in a registered public offering or through a broker’s transaction executed on any securities exchange or other over-the-counter market) directly from any Wynnchurch Investors Direct Transferee or any other Wynnchurch Investors Indirect Transferee beneficial ownership of 15% or more of the then outstanding voting stock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9" w:lineRule="exact"/>
        <w:rPr>
          <w:sz w:val="20"/>
          <w:szCs w:val="20"/>
          <w:color w:val="auto"/>
        </w:rPr>
      </w:pPr>
    </w:p>
    <w:p>
      <w:pPr>
        <w:ind w:left="-120" w:firstLine="656"/>
        <w:spacing w:after="0" w:line="270" w:lineRule="auto"/>
        <w:tabs>
          <w:tab w:leader="none" w:pos="1243" w:val="left"/>
        </w:tabs>
        <w:numPr>
          <w:ilvl w:val="0"/>
          <w:numId w:val="34"/>
        </w:numPr>
        <w:rPr>
          <w:rFonts w:ascii="Arial" w:cs="Arial" w:eastAsia="Arial" w:hAnsi="Arial"/>
          <w:sz w:val="17"/>
          <w:szCs w:val="17"/>
          <w:color w:val="auto"/>
        </w:rPr>
      </w:pPr>
      <w:r>
        <w:rPr>
          <w:rFonts w:ascii="Arial" w:cs="Arial" w:eastAsia="Arial" w:hAnsi="Arial"/>
          <w:sz w:val="17"/>
          <w:szCs w:val="17"/>
          <w:color w:val="auto"/>
        </w:rPr>
        <w:t>If any provision or provisions of this Second Amended and Restated Certificate of Incorporation shall be held to be invalid, illegal or unenforceable as applied to any circumstance for any reason whatsoever: (i) the validity, legality and enforceability of such provisions in any other circumstance and of the remaining provisions of this Second Amended and Restated Certificate of Incorporation (including, without limitation, each portion of any paragraph of this Second Amended and Restated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Second Amended and Restated Certificate of Incorporation (including, without limitation, each such portion of any paragraph of this Second Amended and Restated Certificate of Incorporation containing any such provision held to be invalid, illegal or unenforceable) shall be construed so as to permit the Corporation to protect its directors, officers, employees and agents from personal liability in respect of their good faith service or for the benefit of the Corporation to the fullest extent permitted by law.</w:t>
      </w:r>
    </w:p>
    <w:p>
      <w:pPr>
        <w:spacing w:after="0" w:line="180" w:lineRule="exact"/>
        <w:rPr>
          <w:rFonts w:ascii="Arial" w:cs="Arial" w:eastAsia="Arial" w:hAnsi="Arial"/>
          <w:sz w:val="17"/>
          <w:szCs w:val="17"/>
          <w:color w:val="auto"/>
        </w:rPr>
      </w:pPr>
    </w:p>
    <w:p>
      <w:pPr>
        <w:ind w:left="-120" w:right="100" w:firstLine="656"/>
        <w:spacing w:after="0" w:line="288" w:lineRule="auto"/>
        <w:tabs>
          <w:tab w:leader="none" w:pos="1278"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Unless the Corporation consents in writing to the selection of an alternative forum, the Court of Chancery of the State of Delaware shall, to the fullest extent permitted by law, be the sole and exclusive forum for (i) any derivative action or proceeding brought on behalf of the Corporation, (ii) any action asserting a claim of breach of a fiduciary duty owed by any director or officer of the Corporation to the Corporation or the Corporation’s stockholders, creditors or other constituents, (iii) any action asserting a claim against the Corporation or any director or officer of the Corporation arising pursuant to any provision of the DGCL or this Second Amended and Restated Certificate of Incorporation or the Bylaws (as either may be amended and/or restated from time to time), or (iv) any action asserting a claim against the Corporation or any director or officer of the Corporation governed by the internal affairs doctrine; </w:t>
      </w:r>
      <w:r>
        <w:rPr>
          <w:rFonts w:ascii="Arial" w:cs="Arial" w:eastAsia="Arial" w:hAnsi="Arial"/>
          <w:sz w:val="16"/>
          <w:szCs w:val="16"/>
          <w:u w:val="single" w:color="auto"/>
          <w:color w:val="auto"/>
        </w:rPr>
        <w:t>provided</w:t>
      </w:r>
      <w:r>
        <w:rPr>
          <w:rFonts w:ascii="Arial" w:cs="Arial" w:eastAsia="Arial" w:hAnsi="Arial"/>
          <w:sz w:val="16"/>
          <w:szCs w:val="16"/>
          <w:color w:val="auto"/>
        </w:rPr>
        <w:t>, that, if and only if the Court of Chancery of the State of Delaware dismisses any such action for lack of subject matter jurisdiction, such action may be brought in another state court sitting in the State of Delaware. Notwithstanding anything contrary in the foregoing, the provisions of this Section (B) shall not apply to claims arising under the Securities Act of 1933, as amended, the Exchange Act or other federal securities laws for which there is exclusive federal or concurrent federal and state jurisdiction.</w:t>
      </w:r>
    </w:p>
    <w:p>
      <w:pPr>
        <w:spacing w:after="0" w:line="168" w:lineRule="exact"/>
        <w:rPr>
          <w:rFonts w:ascii="Arial" w:cs="Arial" w:eastAsia="Arial" w:hAnsi="Arial"/>
          <w:sz w:val="16"/>
          <w:szCs w:val="16"/>
          <w:color w:val="auto"/>
        </w:rPr>
      </w:pPr>
    </w:p>
    <w:p>
      <w:pPr>
        <w:ind w:left="-120" w:right="60" w:firstLine="656"/>
        <w:spacing w:after="0" w:line="342" w:lineRule="auto"/>
        <w:tabs>
          <w:tab w:leader="none" w:pos="1278" w:val="left"/>
        </w:tabs>
        <w:numPr>
          <w:ilvl w:val="0"/>
          <w:numId w:val="34"/>
        </w:numPr>
        <w:rPr>
          <w:rFonts w:ascii="Arial" w:cs="Arial" w:eastAsia="Arial" w:hAnsi="Arial"/>
          <w:sz w:val="16"/>
          <w:szCs w:val="16"/>
          <w:color w:val="auto"/>
        </w:rPr>
      </w:pPr>
      <w:r>
        <w:rPr>
          <w:rFonts w:ascii="Arial" w:cs="Arial" w:eastAsia="Arial" w:hAnsi="Arial"/>
          <w:sz w:val="16"/>
          <w:szCs w:val="16"/>
          <w:color w:val="auto"/>
        </w:rPr>
        <w:t>Unless the Corporation consents in writing to the selection of an alternative forum, the federal district courts of the United States of America shall be the exclusive forum for the resolution of any complaint asserting a cause of action arising under the Securities Act of 1933, as amended.</w:t>
      </w:r>
    </w:p>
    <w:p>
      <w:pPr>
        <w:spacing w:after="0" w:line="123" w:lineRule="exact"/>
        <w:rPr>
          <w:rFonts w:ascii="Arial" w:cs="Arial" w:eastAsia="Arial" w:hAnsi="Arial"/>
          <w:sz w:val="16"/>
          <w:szCs w:val="16"/>
          <w:color w:val="auto"/>
        </w:rPr>
      </w:pPr>
    </w:p>
    <w:p>
      <w:pPr>
        <w:ind w:left="-120" w:right="60" w:firstLine="656"/>
        <w:spacing w:after="0" w:line="342" w:lineRule="auto"/>
        <w:tabs>
          <w:tab w:leader="none" w:pos="1239" w:val="left"/>
        </w:tabs>
        <w:numPr>
          <w:ilvl w:val="0"/>
          <w:numId w:val="34"/>
        </w:numPr>
        <w:rPr>
          <w:rFonts w:ascii="Arial" w:cs="Arial" w:eastAsia="Arial" w:hAnsi="Arial"/>
          <w:sz w:val="16"/>
          <w:szCs w:val="16"/>
          <w:color w:val="auto"/>
        </w:rPr>
      </w:pPr>
      <w:r>
        <w:rPr>
          <w:rFonts w:ascii="Arial" w:cs="Arial" w:eastAsia="Arial" w:hAnsi="Arial"/>
          <w:sz w:val="16"/>
          <w:szCs w:val="16"/>
          <w:color w:val="auto"/>
        </w:rPr>
        <w:t>To the fullest extent permitted by law, any Person purchasing or otherwise acquiring any interest in any shares of capital stock of the Corporation shall be deemed to have notice of and to have consented to the provisions of this Second Amended and Restated Certificate of Incorporation.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443230</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0"/>
          </w:cols>
          <w:pgMar w:left="440" w:top="904" w:right="439" w:bottom="1440" w:gutter="0" w:footer="0" w:header="0"/>
        </w:sectPr>
      </w:pPr>
    </w:p>
    <w:bookmarkStart w:id="61" w:name="page62"/>
    <w:bookmarkEnd w:id="61"/>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caused this Second Amended and Restated Certificate of Incorporation to be duly executed in its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name by its duly authorized officer this ___ day of ___________, 2021.</w:t>
      </w:r>
    </w:p>
    <w:p>
      <w:pPr>
        <w:spacing w:after="0" w:line="16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LATHAM GROUP, INC.</w:t>
      </w:r>
    </w:p>
    <w:p>
      <w:pPr>
        <w:spacing w:after="0" w:line="200" w:lineRule="exact"/>
        <w:rPr>
          <w:sz w:val="20"/>
          <w:szCs w:val="20"/>
          <w:color w:val="auto"/>
        </w:rPr>
      </w:pPr>
    </w:p>
    <w:p>
      <w:pPr>
        <w:spacing w:after="0" w:line="24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14605</wp:posOffset>
            </wp:positionV>
            <wp:extent cx="31375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Jason Duva</w:t>
      </w:r>
    </w:p>
    <w:p>
      <w:pPr>
        <w:spacing w:after="0" w:line="23" w:lineRule="exact"/>
        <w:rPr>
          <w:sz w:val="20"/>
          <w:szCs w:val="20"/>
          <w:color w:val="auto"/>
        </w:rPr>
      </w:pPr>
    </w:p>
    <w:p>
      <w:pPr>
        <w:ind w:left="5740"/>
        <w:spacing w:after="0"/>
        <w:tabs>
          <w:tab w:leader="none" w:pos="6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General Counsel and Chief</w:t>
      </w:r>
    </w:p>
    <w:p>
      <w:pPr>
        <w:spacing w:after="0" w:line="9"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Administrative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Amended and Restated Certificate of Incorporation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 Bylaws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63" w:name="page64"/>
    <w:bookmarkEnd w:id="63"/>
    <w:p>
      <w:pPr>
        <w:jc w:val="center"/>
        <w:ind w:right="-79"/>
        <w:spacing w:after="0"/>
        <w:rPr>
          <w:sz w:val="20"/>
          <w:szCs w:val="20"/>
          <w:color w:val="auto"/>
        </w:rPr>
      </w:pPr>
      <w:r>
        <w:rPr>
          <w:rFonts w:ascii="Arial" w:cs="Arial" w:eastAsia="Arial" w:hAnsi="Arial"/>
          <w:sz w:val="18"/>
          <w:szCs w:val="18"/>
          <w:b w:val="1"/>
          <w:bCs w:val="1"/>
          <w:color w:val="auto"/>
        </w:rPr>
        <w:t>AMENDED AND RESTATED BYLAWS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LATHAM GROUP,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Offices</w:t>
      </w:r>
    </w:p>
    <w:p>
      <w:pPr>
        <w:spacing w:after="0" w:line="200" w:lineRule="exact"/>
        <w:rPr>
          <w:sz w:val="20"/>
          <w:szCs w:val="20"/>
          <w:color w:val="auto"/>
        </w:rPr>
      </w:pPr>
    </w:p>
    <w:p>
      <w:pPr>
        <w:spacing w:after="0" w:line="245" w:lineRule="exact"/>
        <w:rPr>
          <w:sz w:val="20"/>
          <w:szCs w:val="20"/>
          <w:color w:val="auto"/>
        </w:rPr>
      </w:pPr>
    </w:p>
    <w:p>
      <w:pPr>
        <w:ind w:right="260" w:firstLine="1011"/>
        <w:spacing w:after="0" w:line="259"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Registered Office</w:t>
      </w:r>
      <w:r>
        <w:rPr>
          <w:rFonts w:ascii="Arial" w:cs="Arial" w:eastAsia="Arial" w:hAnsi="Arial"/>
          <w:sz w:val="18"/>
          <w:szCs w:val="18"/>
          <w:color w:val="auto"/>
        </w:rPr>
        <w:t>. The registered office and registered agent of Latham Group, Inc. (the “</w:t>
      </w:r>
      <w:r>
        <w:rPr>
          <w:rFonts w:ascii="Arial" w:cs="Arial" w:eastAsia="Arial" w:hAnsi="Arial"/>
          <w:sz w:val="18"/>
          <w:szCs w:val="18"/>
          <w:u w:val="single" w:color="auto"/>
          <w:color w:val="auto"/>
        </w:rPr>
        <w:t>Corporation</w:t>
      </w:r>
      <w:r>
        <w:rPr>
          <w:rFonts w:ascii="Arial" w:cs="Arial" w:eastAsia="Arial" w:hAnsi="Arial"/>
          <w:sz w:val="18"/>
          <w:szCs w:val="18"/>
          <w:color w:val="auto"/>
        </w:rPr>
        <w:t>”) in the State of Delaware shall be as set forth in the Certificate of Incorporation (as defined below). The Corporation may also have offices in such other places in the United States or elsewhere (and may change the Corporation’s registered agent) as the Board of Directors of the Corporation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may, from time to time, determine or as the business of the Corporation may require.</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Meetings of Stockholders</w:t>
      </w:r>
    </w:p>
    <w:p>
      <w:pPr>
        <w:spacing w:after="0" w:line="229" w:lineRule="exact"/>
        <w:rPr>
          <w:sz w:val="20"/>
          <w:szCs w:val="20"/>
          <w:color w:val="auto"/>
        </w:rPr>
      </w:pPr>
    </w:p>
    <w:p>
      <w:pPr>
        <w:jc w:val="both"/>
        <w:ind w:right="220" w:firstLine="1011"/>
        <w:spacing w:after="0" w:line="286"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u w:val="single" w:color="auto"/>
          <w:color w:val="auto"/>
        </w:rPr>
        <w:t>Annual Meetings</w:t>
      </w:r>
      <w:r>
        <w:rPr>
          <w:rFonts w:ascii="Arial" w:cs="Arial" w:eastAsia="Arial" w:hAnsi="Arial"/>
          <w:sz w:val="17"/>
          <w:szCs w:val="17"/>
          <w:color w:val="auto"/>
        </w:rPr>
        <w:t>. Annual meetings of stockholders may be held at such place, if any, either within or without the State of Delaware, or by means of remote communication, and at such time and date as the Board of Directors shall determine and state in the notice of meeting. The Board of Directors may, in its sole discretion, postpone, reschedule or cancel any annual meeting of stockholders.</w:t>
      </w:r>
    </w:p>
    <w:p>
      <w:pPr>
        <w:spacing w:after="0" w:line="165" w:lineRule="exact"/>
        <w:rPr>
          <w:sz w:val="20"/>
          <w:szCs w:val="20"/>
          <w:color w:val="auto"/>
        </w:rPr>
      </w:pPr>
    </w:p>
    <w:p>
      <w:pPr>
        <w:ind w:firstLine="1011"/>
        <w:spacing w:after="0" w:line="254"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stockholders may only be called in the manner provided in the Corporation’s certificate of incorporation as then in effect (as the same may be amended and/or restated from time to time, the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xml:space="preserve">”) and may be held at such place, if any, either within or without the State of Delaware, or by means of remote communication, and at such time and date as the Board of Directors or the Chair of the Board of Directors shall determine and state in the notice of meeting. The Board of Directors may, in its sole discretion, postpone, reschedule or cancel any special meeting of stockholders;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any special meeting of stockholders previously scheduled by the Board of Directors or the Chair of the Board of Directors at the request of the Principal Stockholders (as defined in the Certificate of Incorporation), the Board of Directors shall not postpone, reschedule or cancel such special meeting without the prior written consent of the Principal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64" w:name="page65"/>
    <w:bookmarkEnd w:id="64"/>
    <w:p>
      <w:pPr>
        <w:ind w:left="102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Notice of Stockholder Business and Nominations</w:t>
      </w:r>
      <w:r>
        <w:rPr>
          <w:rFonts w:ascii="Arial" w:cs="Arial" w:eastAsia="Arial" w:hAnsi="Arial"/>
          <w:sz w:val="18"/>
          <w:szCs w:val="18"/>
          <w:color w:val="auto"/>
        </w:rPr>
        <w:t>.</w:t>
      </w:r>
    </w:p>
    <w:p>
      <w:pPr>
        <w:spacing w:after="0" w:line="225" w:lineRule="exact"/>
        <w:rPr>
          <w:sz w:val="20"/>
          <w:szCs w:val="20"/>
          <w:color w:val="auto"/>
        </w:rPr>
      </w:pPr>
    </w:p>
    <w:p>
      <w:pPr>
        <w:ind w:left="1320" w:hanging="304"/>
        <w:spacing w:after="0"/>
        <w:tabs>
          <w:tab w:leader="none" w:pos="132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Annual Meetings of Stockholders</w:t>
      </w:r>
      <w:r>
        <w:rPr>
          <w:rFonts w:ascii="Arial" w:cs="Arial" w:eastAsia="Arial" w:hAnsi="Arial"/>
          <w:sz w:val="18"/>
          <w:szCs w:val="18"/>
          <w:color w:val="auto"/>
        </w:rPr>
        <w:t>.</w:t>
      </w:r>
    </w:p>
    <w:p>
      <w:pPr>
        <w:spacing w:after="0" w:line="225" w:lineRule="exact"/>
        <w:rPr>
          <w:sz w:val="20"/>
          <w:szCs w:val="20"/>
          <w:color w:val="auto"/>
        </w:rPr>
      </w:pPr>
    </w:p>
    <w:p>
      <w:pPr>
        <w:ind w:firstLine="1019"/>
        <w:spacing w:after="0" w:line="272" w:lineRule="auto"/>
        <w:tabs>
          <w:tab w:leader="none" w:pos="1265" w:val="left"/>
        </w:tabs>
        <w:numPr>
          <w:ilvl w:val="0"/>
          <w:numId w:val="36"/>
        </w:numPr>
        <w:rPr>
          <w:rFonts w:ascii="Arial" w:cs="Arial" w:eastAsia="Arial" w:hAnsi="Arial"/>
          <w:sz w:val="17"/>
          <w:szCs w:val="17"/>
          <w:color w:val="auto"/>
        </w:rPr>
      </w:pPr>
      <w:r>
        <w:rPr>
          <w:rFonts w:ascii="Arial" w:cs="Arial" w:eastAsia="Arial" w:hAnsi="Arial"/>
          <w:sz w:val="17"/>
          <w:szCs w:val="17"/>
          <w:color w:val="auto"/>
        </w:rPr>
        <w:t>Nominations of persons for election to the Board of Directors and the proposal of other business to be considered by the stockholders may be made at an annual meeting of stockholders only (a) as provided in the Stockholders Agreement (as defined in the Certificate of Incorporation) (with respect to nominations of persons for election to the Board of Directors only), (b) pursuant to the Corporation’s notice of meeting (or any supplement thereto) delivered pursuant to Section 2.04 of these Amended and Restated Bylaws of the Corporation (these “Bylaws”), (c) by or at the direction of the Board of Directors or any authorized committee thereof or (d) by any stockholder of the Corporation who is entitled to vote at the meeting, who, subject to paragraph (C)(4) of this Section 2.03, complied with the notice procedures set forth in paragraphs (A)(2) and (A)(3) of this Section 2.03 and who was a stockholder of record at the time such notice is delivered to the Secretary of the Corporation.</w:t>
      </w:r>
    </w:p>
    <w:p>
      <w:pPr>
        <w:spacing w:after="0" w:line="177" w:lineRule="exact"/>
        <w:rPr>
          <w:rFonts w:ascii="Arial" w:cs="Arial" w:eastAsia="Arial" w:hAnsi="Arial"/>
          <w:sz w:val="17"/>
          <w:szCs w:val="17"/>
          <w:color w:val="auto"/>
        </w:rPr>
      </w:pPr>
    </w:p>
    <w:p>
      <w:pPr>
        <w:ind w:firstLine="1019"/>
        <w:spacing w:after="0" w:line="285" w:lineRule="auto"/>
        <w:tabs>
          <w:tab w:leader="none" w:pos="1265"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For nominations or other business to be properly brought before an annual meeting by a stockholder pursuant to clause (d) of paragraph (A)(1) of this Section 2.03, the stockholder must have given timely notice thereof in writing to the Secretary of the Corporation, and, in the case of business other than nominations of persons for election to the Board of Directors, such business must constitute a proper matter for stockholder action. To be timely, a stockholder’s notice shall be delivered to the Secretary of the Corporation at the principal executive offices of the Corporation not less than 90 days nor more than 120 days prior to the first anniversary of the preceding year’s annual meeting (in the case of the Corporation’s first annual meeting of stockholders as a corporation with a class of equity security registered under the Exchange Act (as defined below), for notice by the stockholder to be timely, it must be received (A) no earlier than 120 days before such annual meeting and (B) no later than the later of 90 days before such annual meeting and the tenth day after the day on which the notice of such annual meeting was first made by mail or public announcement);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date of the annual meeting is advanced by more than 30 days, or delayed by more than 70 days, from the anniversary date of the previous year’s meeting, or if no annual meeting was held in the preceding year, notice by the stockholder to be timely must be so delivered not earlier than 120 days prior to such annual meeting and not later than the close of business on the later of the 90th day prior to such annual meeting or the tenth day following the day on which public announcement of the date of such meeting is first made. Public announcement of an adjournment or postponement of an annual meeting shall not commence a new time period (or extend any time period) for the giving of a stockholder’s notice. Notwithstanding anything in this Section 2.03(A)(2) to the contrary, if the number of directors to be elected to the Board of Directors at an annual meeting is increased and there is no public announcement by the Corporation naming all of the nominees for director or specifying the size of the increased Board of Directors at least 100 calendar days prior to the first anniversary of the prior year’s annual meeting of stockholders, then a stockholder’s notice required by this Section 2.03 shall be considered timely, but only with respect to nominees for any new positions created by such increase, if it is received by the Secretary of the Corporation not later than the close of business on the tenth calendar day following the day on which such public announcement is first made by the Corporation.</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5" w:name="page66"/>
    <w:bookmarkEnd w:id="65"/>
    <w:p>
      <w:pPr>
        <w:ind w:left="273" w:hanging="264"/>
        <w:spacing w:after="0"/>
        <w:tabs>
          <w:tab w:leader="none" w:pos="273" w:val="left"/>
        </w:tabs>
        <w:numPr>
          <w:ilvl w:val="1"/>
          <w:numId w:val="37"/>
        </w:numPr>
        <w:rPr>
          <w:rFonts w:ascii="Arial" w:cs="Arial" w:eastAsia="Arial" w:hAnsi="Arial"/>
          <w:sz w:val="18"/>
          <w:szCs w:val="18"/>
          <w:color w:val="auto"/>
        </w:rPr>
      </w:pPr>
      <w:r>
        <w:rPr>
          <w:rFonts w:ascii="Arial" w:cs="Arial" w:eastAsia="Arial" w:hAnsi="Arial"/>
          <w:sz w:val="18"/>
          <w:szCs w:val="18"/>
          <w:color w:val="auto"/>
        </w:rPr>
        <w:t>Such stockholder’s notice shall set forth:</w:t>
      </w:r>
    </w:p>
    <w:p>
      <w:pPr>
        <w:spacing w:after="0" w:line="225" w:lineRule="exact"/>
        <w:rPr>
          <w:rFonts w:ascii="Arial" w:cs="Arial" w:eastAsia="Arial" w:hAnsi="Arial"/>
          <w:sz w:val="18"/>
          <w:szCs w:val="18"/>
          <w:color w:val="auto"/>
        </w:rPr>
      </w:pPr>
    </w:p>
    <w:p>
      <w:pPr>
        <w:ind w:left="313" w:hanging="313"/>
        <w:spacing w:after="0"/>
        <w:tabs>
          <w:tab w:leader="none" w:pos="313"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 to each person whom the stockholder proposes to nominate for election or re-election as a director:</w:t>
      </w:r>
    </w:p>
    <w:p>
      <w:pPr>
        <w:spacing w:after="0" w:line="225" w:lineRule="exact"/>
        <w:rPr>
          <w:rFonts w:ascii="Arial" w:cs="Arial" w:eastAsia="Arial" w:hAnsi="Arial"/>
          <w:sz w:val="18"/>
          <w:szCs w:val="18"/>
          <w:color w:val="auto"/>
        </w:rPr>
      </w:pPr>
    </w:p>
    <w:p>
      <w:pPr>
        <w:ind w:left="1673" w:right="420" w:hanging="647"/>
        <w:spacing w:after="0" w:line="257" w:lineRule="auto"/>
        <w:tabs>
          <w:tab w:leader="none" w:pos="1673" w:val="left"/>
        </w:tabs>
        <w:numPr>
          <w:ilvl w:val="3"/>
          <w:numId w:val="38"/>
        </w:numPr>
        <w:rPr>
          <w:rFonts w:ascii="Arial" w:cs="Arial" w:eastAsia="Arial" w:hAnsi="Arial"/>
          <w:sz w:val="18"/>
          <w:szCs w:val="18"/>
          <w:color w:val="auto"/>
        </w:rPr>
      </w:pPr>
      <w:r>
        <w:rPr>
          <w:rFonts w:ascii="Arial" w:cs="Arial" w:eastAsia="Arial" w:hAnsi="Arial"/>
          <w:sz w:val="18"/>
          <w:szCs w:val="18"/>
          <w:color w:val="auto"/>
        </w:rPr>
        <w:t>all information relating to such person that is required to be disclosed in solicitations of proxies for election of directors in an election contest, or is otherwise required, in each case pursuant to Section 14(a)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and the rules and regulations promulgated thereunder, including such person’s written consent to being named in the proxy statement as a nominee and to serving as a director if elected; and</w:t>
      </w:r>
    </w:p>
    <w:p>
      <w:pPr>
        <w:spacing w:after="0" w:line="187" w:lineRule="exact"/>
        <w:rPr>
          <w:rFonts w:ascii="Arial" w:cs="Arial" w:eastAsia="Arial" w:hAnsi="Arial"/>
          <w:sz w:val="18"/>
          <w:szCs w:val="18"/>
          <w:color w:val="auto"/>
        </w:rPr>
      </w:pPr>
    </w:p>
    <w:p>
      <w:pPr>
        <w:ind w:left="1673" w:right="200" w:hanging="647"/>
        <w:spacing w:after="0" w:line="286" w:lineRule="auto"/>
        <w:tabs>
          <w:tab w:leader="none" w:pos="1673" w:val="left"/>
        </w:tabs>
        <w:numPr>
          <w:ilvl w:val="3"/>
          <w:numId w:val="38"/>
        </w:numPr>
        <w:rPr>
          <w:rFonts w:ascii="Arial" w:cs="Arial" w:eastAsia="Arial" w:hAnsi="Arial"/>
          <w:sz w:val="17"/>
          <w:szCs w:val="17"/>
          <w:color w:val="auto"/>
        </w:rPr>
      </w:pPr>
      <w:r>
        <w:rPr>
          <w:rFonts w:ascii="Arial" w:cs="Arial" w:eastAsia="Arial" w:hAnsi="Arial"/>
          <w:sz w:val="17"/>
          <w:szCs w:val="17"/>
          <w:color w:val="auto"/>
        </w:rPr>
        <w:t>complete and accurate responses to a written questionnaire with respect to the background and qualification of such person and the background of any other person or entity on whose behalf the nomination is being made (which questionnaire shall be provided by the Secretary of the Corporation upon written request);</w:t>
      </w:r>
    </w:p>
    <w:p>
      <w:pPr>
        <w:spacing w:after="0" w:line="165" w:lineRule="exact"/>
        <w:rPr>
          <w:rFonts w:ascii="Arial" w:cs="Arial" w:eastAsia="Arial" w:hAnsi="Arial"/>
          <w:sz w:val="17"/>
          <w:szCs w:val="17"/>
          <w:color w:val="auto"/>
        </w:rPr>
      </w:pPr>
    </w:p>
    <w:p>
      <w:pPr>
        <w:ind w:left="313" w:right="120" w:hanging="313"/>
        <w:spacing w:after="0" w:line="257" w:lineRule="auto"/>
        <w:tabs>
          <w:tab w:leader="none" w:pos="313"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and any material interest in such business of such stockholder and the beneficial owner, if any, on whose behalf the proposal is made;</w:t>
      </w:r>
    </w:p>
    <w:p>
      <w:pPr>
        <w:spacing w:after="0" w:line="187" w:lineRule="exact"/>
        <w:rPr>
          <w:rFonts w:ascii="Arial" w:cs="Arial" w:eastAsia="Arial" w:hAnsi="Arial"/>
          <w:sz w:val="18"/>
          <w:szCs w:val="18"/>
          <w:color w:val="auto"/>
        </w:rPr>
      </w:pPr>
    </w:p>
    <w:p>
      <w:pPr>
        <w:ind w:left="313" w:hanging="313"/>
        <w:spacing w:after="0"/>
        <w:tabs>
          <w:tab w:leader="none" w:pos="313"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 to the stockholder giving the notice and the beneficial owner, if any, on whose behalf the nomination or proposal is made:</w:t>
      </w:r>
    </w:p>
    <w:p>
      <w:pPr>
        <w:spacing w:after="0" w:line="225" w:lineRule="exact"/>
        <w:rPr>
          <w:rFonts w:ascii="Arial" w:cs="Arial" w:eastAsia="Arial" w:hAnsi="Arial"/>
          <w:sz w:val="18"/>
          <w:szCs w:val="18"/>
          <w:color w:val="auto"/>
        </w:rPr>
      </w:pPr>
    </w:p>
    <w:p>
      <w:pPr>
        <w:ind w:left="1613" w:right="80" w:hanging="641"/>
        <w:spacing w:after="0" w:line="277" w:lineRule="auto"/>
        <w:tabs>
          <w:tab w:leader="none" w:pos="1613" w:val="left"/>
        </w:tabs>
        <w:numPr>
          <w:ilvl w:val="2"/>
          <w:numId w:val="38"/>
        </w:numPr>
        <w:rPr>
          <w:rFonts w:ascii="Arial" w:cs="Arial" w:eastAsia="Arial" w:hAnsi="Arial"/>
          <w:sz w:val="18"/>
          <w:szCs w:val="18"/>
          <w:color w:val="auto"/>
        </w:rPr>
      </w:pPr>
      <w:r>
        <w:rPr>
          <w:rFonts w:ascii="Arial" w:cs="Arial" w:eastAsia="Arial" w:hAnsi="Arial"/>
          <w:sz w:val="18"/>
          <w:szCs w:val="18"/>
          <w:color w:val="auto"/>
        </w:rPr>
        <w:t>the name and address of such stockholder, as they appear on the Corporation’s books and records, and of such beneficial owner,</w:t>
      </w:r>
    </w:p>
    <w:p>
      <w:pPr>
        <w:spacing w:after="0" w:line="170" w:lineRule="exact"/>
        <w:rPr>
          <w:rFonts w:ascii="Arial" w:cs="Arial" w:eastAsia="Arial" w:hAnsi="Arial"/>
          <w:sz w:val="18"/>
          <w:szCs w:val="18"/>
          <w:color w:val="auto"/>
        </w:rPr>
      </w:pPr>
    </w:p>
    <w:p>
      <w:pPr>
        <w:ind w:left="1613" w:right="300" w:hanging="641"/>
        <w:spacing w:after="0" w:line="277" w:lineRule="auto"/>
        <w:tabs>
          <w:tab w:leader="none" w:pos="1613" w:val="left"/>
        </w:tabs>
        <w:numPr>
          <w:ilvl w:val="2"/>
          <w:numId w:val="38"/>
        </w:numPr>
        <w:rPr>
          <w:rFonts w:ascii="Arial" w:cs="Arial" w:eastAsia="Arial" w:hAnsi="Arial"/>
          <w:sz w:val="18"/>
          <w:szCs w:val="18"/>
          <w:color w:val="auto"/>
        </w:rPr>
      </w:pPr>
      <w:r>
        <w:rPr>
          <w:rFonts w:ascii="Arial" w:cs="Arial" w:eastAsia="Arial" w:hAnsi="Arial"/>
          <w:sz w:val="18"/>
          <w:szCs w:val="18"/>
          <w:color w:val="auto"/>
        </w:rPr>
        <w:t>the class or series and number of shares of capital stock of the Corporation that are owned, directly or indirectly, beneficially and of record by such stockholder and such beneficial owner,</w:t>
      </w:r>
    </w:p>
    <w:p>
      <w:pPr>
        <w:spacing w:after="0" w:line="170" w:lineRule="exact"/>
        <w:rPr>
          <w:rFonts w:ascii="Arial" w:cs="Arial" w:eastAsia="Arial" w:hAnsi="Arial"/>
          <w:sz w:val="18"/>
          <w:szCs w:val="18"/>
          <w:color w:val="auto"/>
        </w:rPr>
      </w:pPr>
    </w:p>
    <w:p>
      <w:pPr>
        <w:ind w:left="1613" w:hanging="641"/>
        <w:spacing w:after="0" w:line="263" w:lineRule="auto"/>
        <w:tabs>
          <w:tab w:leader="none" w:pos="1613" w:val="left"/>
        </w:tabs>
        <w:numPr>
          <w:ilvl w:val="2"/>
          <w:numId w:val="38"/>
        </w:numPr>
        <w:rPr>
          <w:rFonts w:ascii="Arial" w:cs="Arial" w:eastAsia="Arial" w:hAnsi="Arial"/>
          <w:sz w:val="18"/>
          <w:szCs w:val="18"/>
          <w:color w:val="auto"/>
        </w:rPr>
      </w:pPr>
      <w:r>
        <w:rPr>
          <w:rFonts w:ascii="Arial" w:cs="Arial" w:eastAsia="Arial" w:hAnsi="Arial"/>
          <w:sz w:val="18"/>
          <w:szCs w:val="18"/>
          <w:color w:val="auto"/>
        </w:rPr>
        <w:t>a representation that the stockholder is a holder of record of the stock of the Corporation at the time of the giving of the notice, will be entitled to vote at such meeting and will appear in person or by proxy at the meeting to propose such business or nomination,</w:t>
      </w:r>
    </w:p>
    <w:p>
      <w:pPr>
        <w:spacing w:after="0" w:line="400" w:lineRule="exact"/>
        <w:rPr>
          <w:sz w:val="20"/>
          <w:szCs w:val="20"/>
          <w:color w:val="auto"/>
        </w:rPr>
      </w:pPr>
    </w:p>
    <w:p>
      <w:pPr>
        <w:ind w:left="4553"/>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-633730</wp:posOffset>
            </wp:positionH>
            <wp:positionV relativeFrom="paragraph">
              <wp:posOffset>14605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93"/>
          </w:cols>
          <w:pgMar w:left="1327" w:top="908" w:right="379" w:bottom="1440" w:gutter="0" w:footer="0" w:header="0"/>
        </w:sectPr>
      </w:pPr>
    </w:p>
    <w:bookmarkStart w:id="66" w:name="page67"/>
    <w:bookmarkEnd w:id="66"/>
    <w:p>
      <w:pPr>
        <w:ind w:left="1620" w:right="40" w:hanging="648"/>
        <w:spacing w:after="0" w:line="279" w:lineRule="auto"/>
        <w:tabs>
          <w:tab w:leader="none" w:pos="1620" w:val="left"/>
        </w:tabs>
        <w:numPr>
          <w:ilvl w:val="1"/>
          <w:numId w:val="39"/>
        </w:numPr>
        <w:rPr>
          <w:rFonts w:ascii="Arial" w:cs="Arial" w:eastAsia="Arial" w:hAnsi="Arial"/>
          <w:sz w:val="17"/>
          <w:szCs w:val="17"/>
          <w:color w:val="auto"/>
        </w:rPr>
      </w:pPr>
      <w:r>
        <w:rPr>
          <w:rFonts w:ascii="Arial" w:cs="Arial" w:eastAsia="Arial" w:hAnsi="Arial"/>
          <w:sz w:val="17"/>
          <w:szCs w:val="17"/>
          <w:color w:val="auto"/>
        </w:rPr>
        <w:t>a representation whether the stockholder or the beneficial owner, if any, will be or is part of a group that will (x) deliver a proxy statement and/or form of proxy to holders of at least the percentage of the voting power of the Corporation’s outstanding capital stock required to approve or adopt the proposal or elect the nominee and/or (y) otherwise to solicit proxies or votes from stockholders in support of such proposal or nomination,</w:t>
      </w:r>
    </w:p>
    <w:p>
      <w:pPr>
        <w:spacing w:after="0" w:line="171" w:lineRule="exact"/>
        <w:rPr>
          <w:rFonts w:ascii="Arial" w:cs="Arial" w:eastAsia="Arial" w:hAnsi="Arial"/>
          <w:sz w:val="17"/>
          <w:szCs w:val="17"/>
          <w:color w:val="auto"/>
        </w:rPr>
      </w:pPr>
    </w:p>
    <w:p>
      <w:pPr>
        <w:ind w:left="1600" w:right="60" w:hanging="628"/>
        <w:spacing w:after="0" w:line="259" w:lineRule="auto"/>
        <w:tabs>
          <w:tab w:leader="none" w:pos="16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 certification regarding whether such stockholder and beneficial owner, if any, have complied with all applicable federal, state and other legal requirements in connection with the stockholder’s and/or beneficial owner’s acquisition of shares of capital stock or other securities of the Corporation and/or the stockholder’s and/or beneficial owner’s acts or omissions as a stockholder of the Corporation and</w:t>
      </w:r>
    </w:p>
    <w:p>
      <w:pPr>
        <w:spacing w:after="0" w:line="186" w:lineRule="exact"/>
        <w:rPr>
          <w:rFonts w:ascii="Arial" w:cs="Arial" w:eastAsia="Arial" w:hAnsi="Arial"/>
          <w:sz w:val="18"/>
          <w:szCs w:val="18"/>
          <w:color w:val="auto"/>
        </w:rPr>
      </w:pPr>
    </w:p>
    <w:p>
      <w:pPr>
        <w:ind w:left="1600" w:right="60" w:hanging="628"/>
        <w:spacing w:after="0" w:line="259" w:lineRule="auto"/>
        <w:tabs>
          <w:tab w:leader="none" w:pos="16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other information relating to such stockholder and beneficial owner, if any,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w:t>
      </w:r>
    </w:p>
    <w:p>
      <w:pPr>
        <w:spacing w:after="0" w:line="186" w:lineRule="exact"/>
        <w:rPr>
          <w:rFonts w:ascii="Arial" w:cs="Arial" w:eastAsia="Arial" w:hAnsi="Arial"/>
          <w:sz w:val="18"/>
          <w:szCs w:val="18"/>
          <w:color w:val="auto"/>
        </w:rPr>
      </w:pPr>
    </w:p>
    <w:p>
      <w:pPr>
        <w:ind w:left="320" w:right="180" w:hanging="320"/>
        <w:spacing w:after="0" w:line="259" w:lineRule="auto"/>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description of any agreement, arrangement or understanding with respect to the nomination or proposal and/or the voting of shares of any class or series of stock of the Corporation between or among the stockholder giving the notice, the beneficial owner, if any, on whose behalf the nomination or proposal is made, any of their respective affiliates or associates and/or any others acting in concert with any of the foregoing (collectively, “</w:t>
      </w:r>
      <w:r>
        <w:rPr>
          <w:rFonts w:ascii="Arial" w:cs="Arial" w:eastAsia="Arial" w:hAnsi="Arial"/>
          <w:sz w:val="18"/>
          <w:szCs w:val="18"/>
          <w:u w:val="single" w:color="auto"/>
          <w:color w:val="auto"/>
        </w:rPr>
        <w:t>proponent persons</w:t>
      </w:r>
      <w:r>
        <w:rPr>
          <w:rFonts w:ascii="Arial" w:cs="Arial" w:eastAsia="Arial" w:hAnsi="Arial"/>
          <w:sz w:val="18"/>
          <w:szCs w:val="18"/>
          <w:color w:val="auto"/>
        </w:rPr>
        <w:t>”); and</w:t>
      </w:r>
    </w:p>
    <w:p>
      <w:pPr>
        <w:spacing w:after="0" w:line="186" w:lineRule="exact"/>
        <w:rPr>
          <w:rFonts w:ascii="Arial" w:cs="Arial" w:eastAsia="Arial" w:hAnsi="Arial"/>
          <w:sz w:val="18"/>
          <w:szCs w:val="18"/>
          <w:color w:val="auto"/>
        </w:rPr>
      </w:pPr>
    </w:p>
    <w:p>
      <w:pPr>
        <w:ind w:left="320" w:right="120" w:hanging="320"/>
        <w:spacing w:after="0" w:line="263" w:lineRule="auto"/>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description of any agreement, arrangement or understanding (including without limitation any contract to purchase or sell, acquisition or grant of any option, right or warrant to purchase or sell, swap or other instrument) to which any proponent person is a party, the intent or effect of which may be:</w:t>
      </w:r>
    </w:p>
    <w:p>
      <w:pPr>
        <w:spacing w:after="0" w:line="183" w:lineRule="exact"/>
        <w:rPr>
          <w:rFonts w:ascii="Arial" w:cs="Arial" w:eastAsia="Arial" w:hAnsi="Arial"/>
          <w:sz w:val="18"/>
          <w:szCs w:val="18"/>
          <w:color w:val="auto"/>
        </w:rPr>
      </w:pPr>
    </w:p>
    <w:p>
      <w:pPr>
        <w:ind w:left="1600" w:right="100" w:hanging="628"/>
        <w:spacing w:after="0" w:line="277" w:lineRule="auto"/>
        <w:tabs>
          <w:tab w:leader="none" w:pos="16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to transfer to or from any proponent person, in whole or in part, any of the economic consequences of ownership of any security of the Corporation,</w:t>
      </w:r>
    </w:p>
    <w:p>
      <w:pPr>
        <w:spacing w:after="0" w:line="170" w:lineRule="exact"/>
        <w:rPr>
          <w:rFonts w:ascii="Arial" w:cs="Arial" w:eastAsia="Arial" w:hAnsi="Arial"/>
          <w:sz w:val="18"/>
          <w:szCs w:val="18"/>
          <w:color w:val="auto"/>
        </w:rPr>
      </w:pPr>
    </w:p>
    <w:p>
      <w:pPr>
        <w:ind w:left="1600" w:hanging="628"/>
        <w:spacing w:after="0" w:line="277" w:lineRule="auto"/>
        <w:tabs>
          <w:tab w:leader="none" w:pos="16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to increase or decrease the voting power of any proponent person with respect to shares of any class or series of stock of the Corporation, and/or</w:t>
      </w:r>
    </w:p>
    <w:p>
      <w:pPr>
        <w:spacing w:after="0" w:line="38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1300" w:top="908" w:right="339" w:bottom="1440" w:gutter="0" w:footer="0" w:header="0"/>
        </w:sectPr>
      </w:pPr>
    </w:p>
    <w:bookmarkStart w:id="67" w:name="page68"/>
    <w:bookmarkEnd w:id="67"/>
    <w:p>
      <w:pPr>
        <w:ind w:left="1460" w:hanging="628"/>
        <w:spacing w:after="0" w:line="284" w:lineRule="auto"/>
        <w:tabs>
          <w:tab w:leader="none" w:pos="1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to provide any proponent person, directly or indirectly, with the opportunity to profit or share in any profit derived from, or to otherwise benefit economically from, any increase or decrease in the value of any security of the Corporation. A stockholder providing notice of a proposed nomination for election to the Board of Directors or other business proposed to be brought before a meeting (whether given pursuant to this paragraph (A)(3) or paragraph (B) of this Section 2.03 of these Bylaws) shall update and supplement such notice from time to time to the extent necessary so that the information provided or required to be provided in such notice shall be true and correct (x) as of the record date for determining the stockholders entitled to notice of the meeting and (y) as of the date that is 15 days prior to the meeting or any adjournment or postponement thereof, provided that if the record date for determining the stockholders entitled to vote at the meeting is less than 15 days prior to the meeting or any adjournment or postponement thereof, the information shall be supplemented and updated as of such later date. Any such update and supplement shall be delivered in writing to the Secretary of the Corporation at the principal executive offices of the Corporation not later than five days after the record date for determining the stockholders entitled to notice of the meeting (in the case of any update and supplement required to be made as of the record date for determining the stockholders entitled to notice of the meeting), not later than ten days prior to the date for the meeting or any adjournment or postponement thereof (in the case of any update or supplement required to be made as of 15 days prior to the meeting or adjournment or postponement thereof) and not later than five days after the record date for determining the stockholders entitled to vote at the meeting, but no later than the date prior to the meeting or any adjournment or postponement thereof (in the case of any update and supplement required to be made as of a date less than 15 days prior the date of the meeting or any adjournment or postponement thereof). The proponent persons shall also provide any other information reasonably requested by the Corporation within five business days of such request.</w:t>
      </w:r>
    </w:p>
    <w:p>
      <w:pPr>
        <w:spacing w:after="0" w:line="39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68" w:name="page69"/>
    <w:bookmarkEnd w:id="68"/>
    <w:p>
      <w:pPr>
        <w:ind w:right="120" w:firstLine="1019"/>
        <w:spacing w:after="0" w:line="255" w:lineRule="auto"/>
        <w:tabs>
          <w:tab w:leader="none" w:pos="1295"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Special Meetings of Stockholders</w:t>
      </w:r>
      <w:r>
        <w:rPr>
          <w:rFonts w:ascii="Arial" w:cs="Arial" w:eastAsia="Arial" w:hAnsi="Arial"/>
          <w:sz w:val="18"/>
          <w:szCs w:val="18"/>
          <w:color w:val="auto"/>
        </w:rPr>
        <w:t>. 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pursuant to the Corporation’s notice of meeting (1) as provided in the Stockholders Agreement or (2) by or at the direction of the Board of Directors or any committee thereof. In no event shall the public announcement of an adjournment or postponement of a special meeting commence a new time period (or extend any time period) for the giving of a stockholder’s notice as described above.</w:t>
      </w:r>
    </w:p>
    <w:p>
      <w:pPr>
        <w:spacing w:after="0" w:line="192" w:lineRule="exact"/>
        <w:rPr>
          <w:rFonts w:ascii="Arial" w:cs="Arial" w:eastAsia="Arial" w:hAnsi="Arial"/>
          <w:sz w:val="18"/>
          <w:szCs w:val="18"/>
          <w:color w:val="auto"/>
        </w:rPr>
      </w:pPr>
    </w:p>
    <w:p>
      <w:pPr>
        <w:ind w:left="1300" w:hanging="28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25" w:lineRule="exact"/>
        <w:rPr>
          <w:sz w:val="20"/>
          <w:szCs w:val="20"/>
          <w:color w:val="auto"/>
        </w:rPr>
      </w:pPr>
    </w:p>
    <w:p>
      <w:pPr>
        <w:ind w:firstLine="1019"/>
        <w:spacing w:after="0" w:line="284" w:lineRule="auto"/>
        <w:tabs>
          <w:tab w:leader="none" w:pos="1265" w:val="left"/>
        </w:tabs>
        <w:numPr>
          <w:ilvl w:val="0"/>
          <w:numId w:val="43"/>
        </w:numPr>
        <w:rPr>
          <w:rFonts w:ascii="Arial" w:cs="Arial" w:eastAsia="Arial" w:hAnsi="Arial"/>
          <w:sz w:val="16"/>
          <w:szCs w:val="16"/>
          <w:color w:val="auto"/>
        </w:rPr>
      </w:pPr>
      <w:r>
        <w:rPr>
          <w:rFonts w:ascii="Arial" w:cs="Arial" w:eastAsia="Arial" w:hAnsi="Arial"/>
          <w:sz w:val="16"/>
          <w:szCs w:val="16"/>
          <w:color w:val="auto"/>
        </w:rPr>
        <w:t>Except as provided in paragraph (C)(4) of this Section 2.03, only such persons who are nominated in accordance with the procedures set forth in this Section 2.03 or the Stockholders Agreement shall be eligible to serve as directors and only such business shall be conducted at an annual or special meeting of stockholders as shall have been brought before the meeting in accordance with the procedures set forth in this Section 2.03. Except as otherwise provided by law, the Certificate of Incorporation or these Bylaws, the chair of the meeting shall, in addition to making any other determination that may be appropriate for the conduct of the meeting,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to declare that such defective proposal or nomination shall be disregarded. The date and time of the opening and the closing of the polls for each matter upon which the stockholders will vote at a meeting shall be announced at the meeting by the chair of the meeting. The Board of Directors may adopt by resolution such rules and regulations for the conduct of the meeting of stockholders as it shall deem appropriate. Except to the extent inconsistent with such rules and regulations as adopted by the Board of Directors, the chair of the meeting shall have the right and authority to convene and (for any or no reason) to recess and/or adjourn the meeting, to prescribe such rules, regulations and procedures and to do all such acts as, in the judgment of such chair, are appropriate for the proper conduct of the meeting. Such rules, regulations or procedures, whether adopted by the Board of Directors or prescribed by the chair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entitled to vote at the meeting, their duly authorized and constituted proxies or such other persons as the chair of the meeting shall determine; (d) restrictions on entry to the meeting after the time fixed for the commencement thereof; and (e) limitations on the time allotted to questions or comments by participants. Notwithstanding the foregoing provisions of this Section 2.03, unless otherwise required by law, if the stockholder (or a qualified representative of the stockholder) does not appear at the annual or special meeting of stockholders of the Corporation to present a nomination or business, such nomination shall be disregarded and such proposed business shall not be transacted, notwithstanding that proxies in respect of such vote may have been received by the Corporation. For purposes of this Section 2.03,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Unless and to the extent determined by the Board of Directors or the chair of the meeting, meeting of stockholders shall not be required to be held in accordance with the rules of parliamentary procedure.</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ind w:left="-20" w:right="100" w:firstLine="1019"/>
        <w:spacing w:after="0" w:line="301" w:lineRule="auto"/>
        <w:tabs>
          <w:tab w:leader="none" w:pos="1242" w:val="left"/>
        </w:tabs>
        <w:numPr>
          <w:ilvl w:val="0"/>
          <w:numId w:val="44"/>
        </w:numPr>
        <w:rPr>
          <w:rFonts w:ascii="Arial" w:cs="Arial" w:eastAsia="Arial" w:hAnsi="Arial"/>
          <w:sz w:val="16"/>
          <w:szCs w:val="16"/>
          <w:color w:val="auto"/>
        </w:rPr>
      </w:pPr>
      <w:r>
        <w:rPr>
          <w:rFonts w:ascii="Arial" w:cs="Arial" w:eastAsia="Arial" w:hAnsi="Arial"/>
          <w:sz w:val="16"/>
          <w:szCs w:val="16"/>
          <w:color w:val="auto"/>
        </w:rPr>
        <w:t>Whenever used in these Bylaws, “</w:t>
      </w:r>
      <w:r>
        <w:rPr>
          <w:rFonts w:ascii="Arial" w:cs="Arial" w:eastAsia="Arial" w:hAnsi="Arial"/>
          <w:sz w:val="16"/>
          <w:szCs w:val="16"/>
          <w:u w:val="single" w:color="auto"/>
          <w:color w:val="auto"/>
        </w:rPr>
        <w:t>public announcement</w:t>
      </w:r>
      <w:r>
        <w:rPr>
          <w:rFonts w:ascii="Arial" w:cs="Arial" w:eastAsia="Arial" w:hAnsi="Arial"/>
          <w:sz w:val="16"/>
          <w:szCs w:val="16"/>
          <w:color w:val="auto"/>
        </w:rPr>
        <w:t>” shall mean disclosure( a) in a press release released by the Corporation, provided such press release is released by the Corporation following its customary procedures, is reported by the Dow Jones News Service, Associated Press or comparable national news service, or is generally available on internet news sites, or (b) in a document publicly filed by the Corporation with the Securities and Exchange Commission pursuant to Section 13, 14 or 15(d) of the Exchange Act and the rules and regulations promulgated thereunder.</w:t>
      </w:r>
    </w:p>
    <w:p>
      <w:pPr>
        <w:spacing w:after="0" w:line="157" w:lineRule="exact"/>
        <w:rPr>
          <w:rFonts w:ascii="Arial" w:cs="Arial" w:eastAsia="Arial" w:hAnsi="Arial"/>
          <w:sz w:val="16"/>
          <w:szCs w:val="16"/>
          <w:color w:val="auto"/>
        </w:rPr>
      </w:pPr>
    </w:p>
    <w:p>
      <w:pPr>
        <w:ind w:left="-20" w:right="60" w:firstLine="1019"/>
        <w:spacing w:after="0" w:line="254" w:lineRule="auto"/>
        <w:tabs>
          <w:tab w:leader="none" w:pos="1245"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Notwithstanding the foregoing provisions of this Section 2.03, a stockholders hall also comply with all applicable requirements of the Exchange Act and the rules and regulations promulgated thereunder with respect to the matters set forth in this Section 2.03;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to the fullest extent permitted by law, any references in these Bylaws to the Exchange Act or the rules and regulations promulgated thereunder are not intended to and shall not limit any requirements applicable to nominations or proposals as to any other business to be considered pursuant to these Bylaws (including paragraphs (A)(1)(d) and (B) hereof), and compliance with paragraphs (A)(1)(d) and (B) of this Section 2.03 of these Bylaws shall be the exclusive means for a stockholder to make nominations or submit other business. Nothing in these Bylaws shall be deemed to affect any rights of the holders of any class or series of stock having a preference over the Common Stock as to dividends or upon liquidation to elect directors under specified circumstances.</w:t>
      </w:r>
    </w:p>
    <w:p>
      <w:pPr>
        <w:spacing w:after="0" w:line="191" w:lineRule="exact"/>
        <w:rPr>
          <w:rFonts w:ascii="Arial" w:cs="Arial" w:eastAsia="Arial" w:hAnsi="Arial"/>
          <w:sz w:val="18"/>
          <w:szCs w:val="18"/>
          <w:color w:val="auto"/>
        </w:rPr>
      </w:pPr>
    </w:p>
    <w:p>
      <w:pPr>
        <w:ind w:left="-20" w:firstLine="1019"/>
        <w:spacing w:after="0" w:line="311" w:lineRule="auto"/>
        <w:tabs>
          <w:tab w:leader="none" w:pos="1245" w:val="left"/>
        </w:tabs>
        <w:numPr>
          <w:ilvl w:val="0"/>
          <w:numId w:val="44"/>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Section 2.03, for as long as the Stockholders Agreement remains in effect with respect to the Principal Stockholders, the Principal Stockholders (to the extent then subject to the Stockholders Agreement) shall not be subject to the notice procedures set forth in paragraphs (A)(2), (A)(3) or (B) of this Section 2.03 with respect to any annual or special meeting of stockholders.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40" w:top="908" w:right="399" w:bottom="1440" w:gutter="0" w:footer="0" w:header="0"/>
        </w:sectPr>
      </w:pPr>
    </w:p>
    <w:bookmarkStart w:id="70" w:name="page71"/>
    <w:bookmarkEnd w:id="70"/>
    <w:p>
      <w:pPr>
        <w:ind w:firstLine="972"/>
        <w:spacing w:after="0" w:line="272" w:lineRule="auto"/>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u w:val="single" w:color="auto"/>
          <w:color w:val="auto"/>
        </w:rPr>
        <w:t>Notice of Meetings</w:t>
      </w:r>
      <w:r>
        <w:rPr>
          <w:rFonts w:ascii="Arial" w:cs="Arial" w:eastAsia="Arial" w:hAnsi="Arial"/>
          <w:sz w:val="17"/>
          <w:szCs w:val="17"/>
          <w:color w:val="auto"/>
        </w:rPr>
        <w:t>. Whenever stockholders are required or permitted to take any action at a meeting, a timely notice in writing or by electronic transmission, in the manner provided in Section 232 of the General Corporation Law of the State of Delaware (the “</w:t>
      </w:r>
      <w:r>
        <w:rPr>
          <w:rFonts w:ascii="Arial" w:cs="Arial" w:eastAsia="Arial" w:hAnsi="Arial"/>
          <w:sz w:val="17"/>
          <w:szCs w:val="17"/>
          <w:u w:val="single" w:color="auto"/>
          <w:color w:val="auto"/>
        </w:rPr>
        <w:t>DGCL</w:t>
      </w:r>
      <w:r>
        <w:rPr>
          <w:rFonts w:ascii="Arial" w:cs="Arial" w:eastAsia="Arial" w:hAnsi="Arial"/>
          <w:sz w:val="17"/>
          <w:szCs w:val="17"/>
          <w:color w:val="auto"/>
        </w:rPr>
        <w:t>”), of the meeting, which shall state the place, if any, date and time of the meeting, the means of remote communications, if any, by which stockholders and proxyholders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purposes for which the meeting is called, shall be mailed to or transmitted electronically by the Secretary of the Corporation to each stockholder of record entitled to vote thereat as of the record date for determining the stockholders entitled to notice of the meeting.</w:t>
      </w:r>
    </w:p>
    <w:p>
      <w:pPr>
        <w:spacing w:after="0" w:line="17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Unless otherwise provided by law, the Certificate of Incorporation or these Bylaws, the notice of any meeting shall be given not less than ten nor more than 60 days before the date of the meeting to each stockholder entitled to vote at such meeting as of the record date for determining the stockholders entitled to notice of the meeting.</w:t>
      </w:r>
    </w:p>
    <w:p>
      <w:pPr>
        <w:spacing w:after="0" w:line="184" w:lineRule="exact"/>
        <w:rPr>
          <w:sz w:val="20"/>
          <w:szCs w:val="20"/>
          <w:color w:val="auto"/>
        </w:rPr>
      </w:pPr>
    </w:p>
    <w:p>
      <w:pPr>
        <w:ind w:right="20" w:firstLine="972"/>
        <w:spacing w:after="0" w:line="254"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Quorum</w:t>
      </w:r>
      <w:r>
        <w:rPr>
          <w:rFonts w:ascii="Arial" w:cs="Arial" w:eastAsia="Arial" w:hAnsi="Arial"/>
          <w:sz w:val="18"/>
          <w:szCs w:val="18"/>
          <w:color w:val="auto"/>
        </w:rPr>
        <w:t>. Unless otherwise required by law, the Certificate of Incorporation or the rules of any stock exchange upon which the Corporation’s securities are listed, the holders of record of a majority of the voting power of the issued and outstanding shares of capital stock of the Corporation entitled to vote thereat, present in person or represented by proxy, shall constitute a quorum for the transaction of business at all meetings of stockholders. Notwithstanding the foregoing, where a separate vote by a class or series or classes or series is required, a majority in voting power of the outstanding shares of such class or series or classes or series, present in person or represented by proxy, shall constitute a quorum entitled to take action with respect to the vote on that matter. Once a quorum is present to organize a meeting, it shall not be broken by the subsequent withdrawal of any stockholders.</w:t>
      </w:r>
    </w:p>
    <w:p>
      <w:pPr>
        <w:spacing w:after="0" w:line="195" w:lineRule="exact"/>
        <w:rPr>
          <w:sz w:val="20"/>
          <w:szCs w:val="20"/>
          <w:color w:val="auto"/>
        </w:rPr>
      </w:pPr>
    </w:p>
    <w:p>
      <w:pPr>
        <w:ind w:right="80" w:firstLine="1011"/>
        <w:spacing w:after="0" w:line="285"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u w:val="single" w:color="auto"/>
          <w:color w:val="auto"/>
        </w:rPr>
        <w:t>Voting</w:t>
      </w:r>
      <w:r>
        <w:rPr>
          <w:rFonts w:ascii="Arial" w:cs="Arial" w:eastAsia="Arial" w:hAnsi="Arial"/>
          <w:sz w:val="16"/>
          <w:szCs w:val="16"/>
          <w:color w:val="auto"/>
        </w:rPr>
        <w:t>. Except as otherwise provided by or pursuant to the provisions of the Certificate of Incorporation, each stockholder entitled to vote at any meeting of stockholders shall be entitled to one vote for each share of stock held by such stockholder that has voting power upon the matter in question. Each stockholder entitled to vote at a meeting of stockholders or to express consent to corporate action in writing without a meeting may authorize another person or persons to act for such stockholder by proxy in any manner provided by applicable law, but no such proxy shall be voted or acted upon after three years from its date, unless the proxy provides for a longer period. A proxy shall be irrevocable if it states that it is irrevocable and if, and only as long as, it is coupled with an interest sufficient in law to support an irrevocable power. A stockholder may revoke any proxy that is not irrevocable by attending the meeting and voting in person or by delivering to the Secretary of the Corporation a revocation of the proxy or a new proxy bearing a later date. Unless required by the Certificate of Incorporation or applicable law, or determined by the chair of the meeting to be advisable, the vote on any question need not be by ballot. On a vote by ballot, each ballot shall be signed by the stockholder voting, or by such stockholder’s proxy, if there be such proxy. When a quorum is present or represented at any meeting, the vote of the holders of a majority of the voting power of the shares of stock present in person or represented by proxy and entitled to vote on the subject matter shall decide any question brought before such meeting, unless the question is one upon which, by express provision of applicable law, of the rules or regulations of any stock exchange applicable to the Corporation, of any regulation applicable to the Corporation or its securities, of the Certificate of Incorporation or of these Bylaws, a different vote is required, in which case such express provision shall govern and control the decision of such question. Notwithstanding the foregoing sentence and subject to the Certificate of Incorporation, all elections of directors shall be determined by a plurality of the votes cast in respect of the shares present in person or represented by proxy at the meeting and entitled to vote on the election of directors.</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ind w:right="420" w:firstLine="1011"/>
        <w:spacing w:after="0" w:line="308" w:lineRule="auto"/>
        <w:rPr>
          <w:sz w:val="20"/>
          <w:szCs w:val="20"/>
          <w:color w:val="auto"/>
        </w:rPr>
      </w:pPr>
      <w:r>
        <w:rPr>
          <w:rFonts w:ascii="Arial" w:cs="Arial" w:eastAsia="Arial" w:hAnsi="Arial"/>
          <w:sz w:val="17"/>
          <w:szCs w:val="17"/>
          <w:color w:val="auto"/>
        </w:rPr>
        <w:t xml:space="preserve">SECTION 2.07 </w:t>
      </w:r>
      <w:r>
        <w:rPr>
          <w:rFonts w:ascii="Arial" w:cs="Arial" w:eastAsia="Arial" w:hAnsi="Arial"/>
          <w:sz w:val="17"/>
          <w:szCs w:val="17"/>
          <w:u w:val="single" w:color="auto"/>
          <w:color w:val="auto"/>
        </w:rPr>
        <w:t>Chair of Meetings</w:t>
      </w:r>
      <w:r>
        <w:rPr>
          <w:rFonts w:ascii="Arial" w:cs="Arial" w:eastAsia="Arial" w:hAnsi="Arial"/>
          <w:sz w:val="17"/>
          <w:szCs w:val="17"/>
          <w:color w:val="auto"/>
        </w:rPr>
        <w:t>. The Chair of the Board of Directors, if one is elected, or, in his or her absence or disability, a person designated by the Board of Directors shall be the chair of the meeting and, as such, preside at all meetings of the stockholders.</w:t>
      </w:r>
    </w:p>
    <w:p>
      <w:pPr>
        <w:spacing w:after="0" w:line="146" w:lineRule="exact"/>
        <w:rPr>
          <w:sz w:val="20"/>
          <w:szCs w:val="20"/>
          <w:color w:val="auto"/>
        </w:rPr>
      </w:pPr>
    </w:p>
    <w:p>
      <w:pPr>
        <w:ind w:right="100" w:firstLine="1011"/>
        <w:spacing w:after="0" w:line="263"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Secretary of Meetings</w:t>
      </w:r>
      <w:r>
        <w:rPr>
          <w:rFonts w:ascii="Arial" w:cs="Arial" w:eastAsia="Arial" w:hAnsi="Arial"/>
          <w:sz w:val="18"/>
          <w:szCs w:val="18"/>
          <w:color w:val="auto"/>
        </w:rPr>
        <w:t>. The Secretary of the Corporation shall act as secretary at all meetings of the stockholders. In the absence or disability of the Secretary, the Chair of the Board of Directors, the Chief Executive Officer or the chair of the meeting shall appoint a person to act as secretary at such meetings.</w:t>
      </w:r>
    </w:p>
    <w:p>
      <w:pPr>
        <w:spacing w:after="0" w:line="184" w:lineRule="exact"/>
        <w:rPr>
          <w:sz w:val="20"/>
          <w:szCs w:val="20"/>
          <w:color w:val="auto"/>
        </w:rPr>
      </w:pPr>
    </w:p>
    <w:p>
      <w:pPr>
        <w:ind w:firstLine="1011"/>
        <w:spacing w:after="0" w:line="263"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Consent of Stockholders in Lieu of Meeting</w:t>
      </w:r>
      <w:r>
        <w:rPr>
          <w:rFonts w:ascii="Arial" w:cs="Arial" w:eastAsia="Arial" w:hAnsi="Arial"/>
          <w:sz w:val="18"/>
          <w:szCs w:val="18"/>
          <w:color w:val="auto"/>
        </w:rPr>
        <w:t>. Any action required or permitted to be taken at any annual or special meeting of stockholders of the Corporation may be taken without a meeting, without prior notice and without a vote only in the manner provided in the Certificate of Incorporation and in accordance with applicable law.</w:t>
      </w:r>
    </w:p>
    <w:p>
      <w:pPr>
        <w:spacing w:after="0" w:line="184" w:lineRule="exact"/>
        <w:rPr>
          <w:sz w:val="20"/>
          <w:szCs w:val="20"/>
          <w:color w:val="auto"/>
        </w:rPr>
      </w:pPr>
    </w:p>
    <w:p>
      <w:pPr>
        <w:ind w:right="80" w:firstLine="1011"/>
        <w:spacing w:after="0" w:line="254"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Adjournment</w:t>
      </w:r>
      <w:r>
        <w:rPr>
          <w:rFonts w:ascii="Arial" w:cs="Arial" w:eastAsia="Arial" w:hAnsi="Arial"/>
          <w:sz w:val="18"/>
          <w:szCs w:val="18"/>
          <w:color w:val="auto"/>
        </w:rPr>
        <w:t>. At any meeting of stockholders of the Corporation, the chair of the meeting or stockholders holding a majority in voting power of the shares of stock of the Corporation, present in person or by proxy and entitled to vote thereat, shall have the power to convene, adjourn, and reconvene the meeting from time to time without notice other than announcement at the meeting. Any business may be transacted at the adjourned meeting that might have been transacted at the meeting originally noticed. If after the adjournment a new record date for determination of stockholders entitled to vote is fixed for the adjourned meeting, the Board of Directors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adjourned meeting as of the record date so fixed for notice of such adjourned meeting.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72" w:name="page73"/>
    <w:bookmarkEnd w:id="72"/>
    <w:p>
      <w:pPr>
        <w:ind w:firstLine="1011"/>
        <w:spacing w:after="0" w:line="268" w:lineRule="auto"/>
        <w:rPr>
          <w:sz w:val="20"/>
          <w:szCs w:val="20"/>
          <w:color w:val="auto"/>
        </w:rPr>
      </w:pPr>
      <w:r>
        <w:rPr>
          <w:rFonts w:ascii="Arial" w:cs="Arial" w:eastAsia="Arial" w:hAnsi="Arial"/>
          <w:sz w:val="17"/>
          <w:szCs w:val="17"/>
          <w:color w:val="auto"/>
        </w:rPr>
        <w:t xml:space="preserve">SECTION 2.11 </w:t>
      </w:r>
      <w:r>
        <w:rPr>
          <w:rFonts w:ascii="Arial" w:cs="Arial" w:eastAsia="Arial" w:hAnsi="Arial"/>
          <w:sz w:val="17"/>
          <w:szCs w:val="17"/>
          <w:u w:val="single" w:color="auto"/>
          <w:color w:val="auto"/>
        </w:rPr>
        <w:t>Inspectors of Election</w:t>
      </w:r>
      <w:r>
        <w:rPr>
          <w:rFonts w:ascii="Arial" w:cs="Arial" w:eastAsia="Arial" w:hAnsi="Arial"/>
          <w:sz w:val="17"/>
          <w:szCs w:val="17"/>
          <w:color w:val="auto"/>
        </w:rPr>
        <w:t>. 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chair of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(a) ascertain the number of shares of capital stock of the Corporation outstanding and the voting power of each such share, (b) determine the shares of capital stock of the Corporation represented at the meeting and the validity of proxies and ballots, (c) count all votes and ballots, (d) determine and retain for a reasonable period a record of the disposition of any challenges made to any determination by the inspectors, and (e)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ind w:right="260" w:firstLine="1011"/>
        <w:spacing w:after="0" w:line="259"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Powers</w:t>
      </w:r>
      <w:r>
        <w:rPr>
          <w:rFonts w:ascii="Arial" w:cs="Arial" w:eastAsia="Arial" w:hAnsi="Arial"/>
          <w:sz w:val="18"/>
          <w:szCs w:val="18"/>
          <w:color w:val="auto"/>
        </w:rPr>
        <w:t>. Except as otherwise provided in the Certificate of Incorporation or the DGCL, the business and affairs of the Corporation shall be managed by or under the direction of the Board of Directors. The Board of Directors may exercise all such authority and powers of the Corporation and do all such lawful acts and things as are not by the DGCL or the Certificate of Incorporation directed or required to be exercised or done by the stockholders.</w:t>
      </w:r>
    </w:p>
    <w:p>
      <w:pPr>
        <w:spacing w:after="0" w:line="187" w:lineRule="exact"/>
        <w:rPr>
          <w:sz w:val="20"/>
          <w:szCs w:val="20"/>
          <w:color w:val="auto"/>
        </w:rPr>
      </w:pPr>
    </w:p>
    <w:p>
      <w:pPr>
        <w:ind w:right="40" w:firstLine="1011"/>
        <w:spacing w:after="0" w:line="293"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Number and Term; Chair</w:t>
      </w:r>
      <w:r>
        <w:rPr>
          <w:rFonts w:ascii="Arial" w:cs="Arial" w:eastAsia="Arial" w:hAnsi="Arial"/>
          <w:sz w:val="16"/>
          <w:szCs w:val="16"/>
          <w:color w:val="auto"/>
        </w:rPr>
        <w:t>. Subject to the Certificate of Incorporation and the Stockholders Agreement, the number of directors shall be fixed exclusively by resolution of the Board of Directors. Directors shall be elected by the stockholders at their annual meeting, and the term of each director so elected shall be as set forth in the Certificate of Incorporation. The Board of Directors shall elect a Chair of the Board of Directors, who shall have the powers and perform such duties as provided in these Bylaws and as the Board of Directors may from time to time prescribe. The Chair of the Board of Directors shall preside at all meetings of the Board of Directors at which he or she is present. If the Chair of the Board of Directors is not present at a meeting of the Board of Directors, a majority of the directors present at such meeting shall elect one of their members to preside.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3" w:name="page74"/>
    <w:bookmarkEnd w:id="73"/>
    <w:p>
      <w:pPr>
        <w:jc w:val="both"/>
        <w:ind w:right="80" w:firstLine="1011"/>
        <w:spacing w:after="0" w:line="311"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Resignations</w:t>
      </w:r>
      <w:r>
        <w:rPr>
          <w:rFonts w:ascii="Arial" w:cs="Arial" w:eastAsia="Arial" w:hAnsi="Arial"/>
          <w:sz w:val="16"/>
          <w:szCs w:val="16"/>
          <w:color w:val="auto"/>
        </w:rPr>
        <w:t>. Any director may resign at any time upon notice given in writing or by electronic transmission to the Board of Directors or the Chair of the Board of Directors. The resignation shall take effect at the time specified therein, and if no time is specified, at the time of its receipt. The acceptance of a resignation shall not be necessary to make it effective unless otherwise expressly provided in the resignation.</w:t>
      </w:r>
    </w:p>
    <w:p>
      <w:pPr>
        <w:spacing w:after="0" w:line="149" w:lineRule="exact"/>
        <w:rPr>
          <w:sz w:val="20"/>
          <w:szCs w:val="20"/>
          <w:color w:val="auto"/>
        </w:rPr>
      </w:pPr>
    </w:p>
    <w:p>
      <w:pPr>
        <w:ind w:right="500" w:firstLine="1011"/>
        <w:spacing w:after="0" w:line="277"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Removal</w:t>
      </w:r>
      <w:r>
        <w:rPr>
          <w:rFonts w:ascii="Arial" w:cs="Arial" w:eastAsia="Arial" w:hAnsi="Arial"/>
          <w:sz w:val="18"/>
          <w:szCs w:val="18"/>
          <w:color w:val="auto"/>
        </w:rPr>
        <w:t>. Directors of the Corporation may be removed in the manner provided in the Certificate of Incorporation, the Stockholders Agreement and applicable law.</w:t>
      </w:r>
    </w:p>
    <w:p>
      <w:pPr>
        <w:spacing w:after="0" w:line="170" w:lineRule="exact"/>
        <w:rPr>
          <w:sz w:val="20"/>
          <w:szCs w:val="20"/>
          <w:color w:val="auto"/>
        </w:rPr>
      </w:pPr>
    </w:p>
    <w:p>
      <w:pPr>
        <w:ind w:right="240" w:firstLine="1011"/>
        <w:spacing w:after="0" w:line="255"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Vacancies and Newly Created Directorships</w:t>
      </w:r>
      <w:r>
        <w:rPr>
          <w:rFonts w:ascii="Arial" w:cs="Arial" w:eastAsia="Arial" w:hAnsi="Arial"/>
          <w:sz w:val="18"/>
          <w:szCs w:val="18"/>
          <w:color w:val="auto"/>
        </w:rPr>
        <w:t>. Except as otherwise provided by applicable law and subject to the Stockholders Agreement, vacancies occurring in any directorship (whether by death, resignation, retirement, disqualification, removal or other cause) and newly created directorships resulting from any increase in the number of directors shall be filled in accordance with the Certificate of Incorporation. Any director elected to fill a vacancy or newly created directorship shall hold office until the next election of the class for which such director shall have been chosen and until his or her successor shall be elected and qualified, or until his or her earlier death, resignation, retirement, disqualification or removal.</w:t>
      </w:r>
    </w:p>
    <w:p>
      <w:pPr>
        <w:spacing w:after="0" w:line="192" w:lineRule="exact"/>
        <w:rPr>
          <w:sz w:val="20"/>
          <w:szCs w:val="20"/>
          <w:color w:val="auto"/>
        </w:rPr>
      </w:pPr>
    </w:p>
    <w:p>
      <w:pPr>
        <w:ind w:firstLine="1011"/>
        <w:spacing w:after="0" w:line="289" w:lineRule="auto"/>
        <w:rPr>
          <w:sz w:val="20"/>
          <w:szCs w:val="20"/>
          <w:color w:val="auto"/>
        </w:rPr>
      </w:pPr>
      <w:r>
        <w:rPr>
          <w:rFonts w:ascii="Arial" w:cs="Arial" w:eastAsia="Arial" w:hAnsi="Arial"/>
          <w:sz w:val="16"/>
          <w:szCs w:val="16"/>
          <w:color w:val="auto"/>
        </w:rPr>
        <w:t xml:space="preserve">SECTION 3.06 </w:t>
      </w:r>
      <w:r>
        <w:rPr>
          <w:rFonts w:ascii="Arial" w:cs="Arial" w:eastAsia="Arial" w:hAnsi="Arial"/>
          <w:sz w:val="16"/>
          <w:szCs w:val="16"/>
          <w:u w:val="single" w:color="auto"/>
          <w:color w:val="auto"/>
        </w:rPr>
        <w:t>Meetings</w:t>
      </w:r>
      <w:r>
        <w:rPr>
          <w:rFonts w:ascii="Arial" w:cs="Arial" w:eastAsia="Arial" w:hAnsi="Arial"/>
          <w:sz w:val="16"/>
          <w:szCs w:val="16"/>
          <w:color w:val="auto"/>
        </w:rPr>
        <w:t>. Regular meetings of the Board of Directors may be held at such places and times as shall be determined from time to time by the Board of Directors. Special meetings of the Board of Directors may be called by the Chief Executive Officer of the Corporation or the Chair of the Board of Directors or as provided by the Certificate of Incorporation, and shall be called by the Chief Executive Officer or the Secretary of the Corporation if directed by the Board of Directors and shall be at such places and times as they or he or she shall fix. Special meetings of the Board of Directors may be also called by the Principal Stockholders at any time when the Principal Stockholders beneficially own at least a majority of the voting power of the stock of the Corporation entitled to vote generally in the election of directors, and shall be at such places and times as the Principal Stockholders shall fix. Notice need not be given of regular meetings of the Board of Directors. At least 24 hours before each special meeting of the Board of Directors, either written notice, notice by electronic transmission or oral notice (either in person or by telephone) notice of the time, date and place of the meeting shall be given to each director. Unless otherwise indicated in the notice thereof, any and all business may be transacted at a special meeting.</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4" w:name="page75"/>
    <w:bookmarkEnd w:id="74"/>
    <w:p>
      <w:pPr>
        <w:ind w:firstLine="1011"/>
        <w:spacing w:after="0" w:line="257"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Quorum, Voting and Adjournment</w:t>
      </w:r>
      <w:r>
        <w:rPr>
          <w:rFonts w:ascii="Arial" w:cs="Arial" w:eastAsia="Arial" w:hAnsi="Arial"/>
          <w:sz w:val="18"/>
          <w:szCs w:val="18"/>
          <w:color w:val="auto"/>
        </w:rPr>
        <w:t>. A majority of the total number of directors shall constitute a quorum for the transaction of business. Except as otherwise provided by law, the Certificate of Incorporation or these Bylaws, the act of a majority of the directors present at a meeting at which a quorum is present shall be the act of the Board of Directors. In the absence of a quorum, a majority of the directors present thereat may adjourn such meeting to another time and place. Notice of such adjourned meeting need not be given if the time and place of such adjourned meeting are announced at the meeting so adjourned.</w:t>
      </w:r>
    </w:p>
    <w:p>
      <w:pPr>
        <w:spacing w:after="0" w:line="188" w:lineRule="exact"/>
        <w:rPr>
          <w:sz w:val="20"/>
          <w:szCs w:val="20"/>
          <w:color w:val="auto"/>
        </w:rPr>
      </w:pPr>
    </w:p>
    <w:p>
      <w:pPr>
        <w:ind w:firstLine="1011"/>
        <w:spacing w:after="0" w:line="267" w:lineRule="auto"/>
        <w:rPr>
          <w:sz w:val="20"/>
          <w:szCs w:val="20"/>
          <w:color w:val="auto"/>
        </w:rPr>
      </w:pPr>
      <w:r>
        <w:rPr>
          <w:rFonts w:ascii="Arial" w:cs="Arial" w:eastAsia="Arial" w:hAnsi="Arial"/>
          <w:sz w:val="17"/>
          <w:szCs w:val="17"/>
          <w:color w:val="auto"/>
        </w:rPr>
        <w:t xml:space="preserve">SECTION 3.08 </w:t>
      </w:r>
      <w:r>
        <w:rPr>
          <w:rFonts w:ascii="Arial" w:cs="Arial" w:eastAsia="Arial" w:hAnsi="Arial"/>
          <w:sz w:val="17"/>
          <w:szCs w:val="17"/>
          <w:u w:val="single" w:color="auto"/>
          <w:color w:val="auto"/>
        </w:rPr>
        <w:t>Committees; Committee Rules</w:t>
      </w:r>
      <w:r>
        <w:rPr>
          <w:rFonts w:ascii="Arial" w:cs="Arial" w:eastAsia="Arial" w:hAnsi="Arial"/>
          <w:sz w:val="17"/>
          <w:szCs w:val="17"/>
          <w:color w:val="auto"/>
        </w:rPr>
        <w:t>. The Board of Directors may designate one or more committees, including but not limited to an Audit Committee, a Compensation Committee and a Nominating and Corporate Governance Committee, each such committee to consist of one or more of the directors of the Corporation. The Board of Directors may designate one or more directors as alternate members of any committee to replace any absent or disqualified member at any meeting of the committee. Any such committee, to the extent provided in the resolution of the Board of Directors establishing such committee,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in reference to the following matters: (a) approving or adopting, or recommending to the stockholders, any action or matter (other than the election or removal of directors) expressly required by the DGCL to be submitted to stockholders for approval or (b) adopting, amending or repealing any Bylaw of the Corporation. All committees of the Board of Directors shall keep minutes of their meetings and shall report their proceedings to the Board of Directors when requested or required by the Board of Directors. Each committee of the Board of Directors may fix its own rules of procedure and shall hold its meetings as provided by such rules, except as may otherwise be provided by a resolution of the Board of Directors designating such committee. Unless otherwise provided in such a resolution, the presence of at least a majority of the members of the committee shall be necessary to constitute a quorum unless the committee shall consist of one or two members, in which event one member shall constitute a quorum; and all matters shall be determined by a majority vote of the members present at a meeting of the committee at which a quorum is present. Unless otherwise provided in such a resolution, in the event that a member and that member’s alternate, if alternates are designated by the Board of Directors, of such committee is or are absent or disqualified, the member or members thereof present at any meeting and not disqualified from voting, whether or not such member or members constitute a quorum, may unanimously appoint another member of the Board of Directors to act at the meeting in place of any such absent or disqualified member.</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5" w:name="page76"/>
    <w:bookmarkEnd w:id="75"/>
    <w:p>
      <w:pPr>
        <w:ind w:firstLine="1011"/>
        <w:spacing w:after="0" w:line="257"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Action Without a Meeting</w:t>
      </w:r>
      <w:r>
        <w:rPr>
          <w:rFonts w:ascii="Arial" w:cs="Arial" w:eastAsia="Arial" w:hAnsi="Arial"/>
          <w:sz w:val="18"/>
          <w:szCs w:val="18"/>
          <w:color w:val="auto"/>
        </w:rPr>
        <w:t>. Unless otherwise restricted by the Certificate of Incorporation, any action required or permitted to be taken at any meeting of the Board of Directors or of any committee thereof may be taken without a meeting if all members of the Board of Directors or any committee thereof, as the case may be, consent thereto in writing or by electronic transmission, and the writing or writings or electronic transmission or transmissions are filed in the minutes of proceedings of the Board of Directors. Such filing shall be in paper form if the minutes are maintained in paper form or shall be in electronic form if the minutes are maintained in electronic form.</w:t>
      </w:r>
    </w:p>
    <w:p>
      <w:pPr>
        <w:spacing w:after="0" w:line="188" w:lineRule="exact"/>
        <w:rPr>
          <w:sz w:val="20"/>
          <w:szCs w:val="20"/>
          <w:color w:val="auto"/>
        </w:rPr>
      </w:pPr>
    </w:p>
    <w:p>
      <w:pPr>
        <w:ind w:right="140" w:firstLine="1011"/>
        <w:spacing w:after="0" w:line="259"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Remote Meeting</w:t>
      </w:r>
      <w:r>
        <w:rPr>
          <w:rFonts w:ascii="Arial" w:cs="Arial" w:eastAsia="Arial" w:hAnsi="Arial"/>
          <w:sz w:val="18"/>
          <w:szCs w:val="18"/>
          <w:color w:val="auto"/>
        </w:rPr>
        <w:t>. Unless otherwise restricted by the Certificate of Incorporation, members of the Board of Directors, or any committee designated by the Board of Directors, may participate in a meeting by means of conference telephone or other communications equipment in which all persons participating in the meeting can hear each other. Participation in a meeting by means of conference telephone or other communications equipment shall constitute presence in person at such meeting.</w:t>
      </w:r>
    </w:p>
    <w:p>
      <w:pPr>
        <w:spacing w:after="0" w:line="187" w:lineRule="exact"/>
        <w:rPr>
          <w:sz w:val="20"/>
          <w:szCs w:val="20"/>
          <w:color w:val="auto"/>
        </w:rPr>
      </w:pPr>
    </w:p>
    <w:p>
      <w:pPr>
        <w:ind w:right="320" w:firstLine="1011"/>
        <w:spacing w:after="0" w:line="308" w:lineRule="auto"/>
        <w:rPr>
          <w:sz w:val="20"/>
          <w:szCs w:val="20"/>
          <w:color w:val="auto"/>
        </w:rPr>
      </w:pPr>
      <w:r>
        <w:rPr>
          <w:rFonts w:ascii="Arial" w:cs="Arial" w:eastAsia="Arial" w:hAnsi="Arial"/>
          <w:sz w:val="17"/>
          <w:szCs w:val="17"/>
          <w:color w:val="auto"/>
        </w:rPr>
        <w:t xml:space="preserve">SECTION 3.11 </w:t>
      </w:r>
      <w:r>
        <w:rPr>
          <w:rFonts w:ascii="Arial" w:cs="Arial" w:eastAsia="Arial" w:hAnsi="Arial"/>
          <w:sz w:val="17"/>
          <w:szCs w:val="17"/>
          <w:u w:val="single" w:color="auto"/>
          <w:color w:val="auto"/>
        </w:rPr>
        <w:t>Compensation</w:t>
      </w:r>
      <w:r>
        <w:rPr>
          <w:rFonts w:ascii="Arial" w:cs="Arial" w:eastAsia="Arial" w:hAnsi="Arial"/>
          <w:sz w:val="17"/>
          <w:szCs w:val="17"/>
          <w:color w:val="auto"/>
        </w:rPr>
        <w:t>. The Board of Directors, or any committee thereof designated with such authority, shall have the authority to fix the compensation, including fees and reimbursement of expenses, of directors for services to the Corporation in any capacity.</w:t>
      </w:r>
    </w:p>
    <w:p>
      <w:pPr>
        <w:spacing w:after="0" w:line="146" w:lineRule="exact"/>
        <w:rPr>
          <w:sz w:val="20"/>
          <w:szCs w:val="20"/>
          <w:color w:val="auto"/>
        </w:rPr>
      </w:pPr>
    </w:p>
    <w:p>
      <w:pPr>
        <w:ind w:right="220" w:firstLine="1011"/>
        <w:spacing w:after="0" w:line="275" w:lineRule="auto"/>
        <w:rPr>
          <w:sz w:val="20"/>
          <w:szCs w:val="20"/>
          <w:color w:val="auto"/>
        </w:rPr>
      </w:pPr>
      <w:r>
        <w:rPr>
          <w:rFonts w:ascii="Arial" w:cs="Arial" w:eastAsia="Arial" w:hAnsi="Arial"/>
          <w:sz w:val="17"/>
          <w:szCs w:val="17"/>
          <w:color w:val="auto"/>
        </w:rPr>
        <w:t xml:space="preserve">SECTION 3.12 </w:t>
      </w:r>
      <w:r>
        <w:rPr>
          <w:rFonts w:ascii="Arial" w:cs="Arial" w:eastAsia="Arial" w:hAnsi="Arial"/>
          <w:sz w:val="17"/>
          <w:szCs w:val="17"/>
          <w:u w:val="single" w:color="auto"/>
          <w:color w:val="auto"/>
        </w:rPr>
        <w:t>Reliance on Books and Records</w:t>
      </w:r>
      <w:r>
        <w:rPr>
          <w:rFonts w:ascii="Arial" w:cs="Arial" w:eastAsia="Arial" w:hAnsi="Arial"/>
          <w:sz w:val="17"/>
          <w:szCs w:val="17"/>
          <w:color w:val="auto"/>
        </w:rPr>
        <w:t>. A member of the Board of Directors, or a member of any committee designated by the Board of Directors shall, in the performance of such person’s duties, be fully protected in relying in good faith upon records of the Corporation and upon such information, opinions, reports or statements presented to the Corporation by any of the Corporation’s officers or employees, or committees of the Board of Directors, or by any other person as to matters the member reasonably believes are within such other person’s professional or expert competence and who has been selected with reasonable care by or on behalf of the Corporation.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Officers</w:t>
      </w:r>
    </w:p>
    <w:p>
      <w:pPr>
        <w:spacing w:after="0" w:line="270" w:lineRule="exact"/>
        <w:rPr>
          <w:sz w:val="20"/>
          <w:szCs w:val="20"/>
          <w:color w:val="auto"/>
        </w:rPr>
      </w:pPr>
    </w:p>
    <w:p>
      <w:pPr>
        <w:ind w:right="20" w:firstLine="1011"/>
        <w:spacing w:after="0" w:line="273"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u w:val="single" w:color="auto"/>
          <w:color w:val="auto"/>
        </w:rPr>
        <w:t>Number</w:t>
      </w:r>
      <w:r>
        <w:rPr>
          <w:rFonts w:ascii="Arial" w:cs="Arial" w:eastAsia="Arial" w:hAnsi="Arial"/>
          <w:sz w:val="17"/>
          <w:szCs w:val="17"/>
          <w:color w:val="auto"/>
        </w:rPr>
        <w:t>. The officers of the Corporation shall include a Chief Executive Officer, a principal financial officer, a principal accounting officer and a Secretary, each of whom shall be elected by the Board of Directors and who shall hold office for such terms as shall be determined by the Board of Directors and until their successors are elected and qualify or until their earlier resignation or removal. In addition, the Board of Directors may elect one or more Vice Presidents, including one or more Executive Vice Presidents, Senior Vice Presidents, a Treasurer and one or more Assistant Treasurers and one or more Assistant Secretaries, who shall hold their office for such terms and shall exercise such powers and perform such duties as shall be determined from time to time by the Board of Directors. Any number of offices may be held by the same person.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6" w:name="page77"/>
    <w:bookmarkEnd w:id="76"/>
    <w:p>
      <w:pPr>
        <w:ind w:right="240" w:firstLine="1011"/>
        <w:spacing w:after="0" w:line="259"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Other Officers and Agents</w:t>
      </w:r>
      <w:r>
        <w:rPr>
          <w:rFonts w:ascii="Arial" w:cs="Arial" w:eastAsia="Arial" w:hAnsi="Arial"/>
          <w:sz w:val="18"/>
          <w:szCs w:val="18"/>
          <w:color w:val="auto"/>
        </w:rPr>
        <w:t>. The Board of Directors may appoint such other officers and agents as it deems advisable, who shall hold their office for such terms and shall exercise and perform such powers and duties as shall be determined from time to time by the Board of Directors. The Board of Directors may appoint one or more officers called a Vice Chair, each of whom does not need to be a member of the Board of Directors.</w:t>
      </w:r>
    </w:p>
    <w:p>
      <w:pPr>
        <w:spacing w:after="0" w:line="187" w:lineRule="exact"/>
        <w:rPr>
          <w:sz w:val="20"/>
          <w:szCs w:val="20"/>
          <w:color w:val="auto"/>
        </w:rPr>
      </w:pPr>
    </w:p>
    <w:p>
      <w:pPr>
        <w:ind w:right="420" w:firstLine="1011"/>
        <w:spacing w:after="0" w:line="263"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The Chief Executive Officer shall have general executive charge, management, and control of the properties and operations of the Corporation in the ordinary course of its business, with all such powers with respect to such properties and operations as may be reasonably incident to such responsibilities.</w:t>
      </w:r>
    </w:p>
    <w:p>
      <w:pPr>
        <w:spacing w:after="0" w:line="184" w:lineRule="exact"/>
        <w:rPr>
          <w:sz w:val="20"/>
          <w:szCs w:val="20"/>
          <w:color w:val="auto"/>
        </w:rPr>
      </w:pPr>
    </w:p>
    <w:p>
      <w:pPr>
        <w:ind w:right="80" w:firstLine="1011"/>
        <w:spacing w:after="0" w:line="263"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Vice Presidents</w:t>
      </w:r>
      <w:r>
        <w:rPr>
          <w:rFonts w:ascii="Arial" w:cs="Arial" w:eastAsia="Arial" w:hAnsi="Arial"/>
          <w:sz w:val="18"/>
          <w:szCs w:val="18"/>
          <w:color w:val="auto"/>
        </w:rPr>
        <w:t>. Each Vice President, if any are appointed, of whom one or more may be designated an Executive Vice President or Senior Vice President, shall have such powers and shall perform such duties as shall be assigned to him or her by the Chief Executive Officer or the Board of Directors.</w:t>
      </w:r>
    </w:p>
    <w:p>
      <w:pPr>
        <w:spacing w:after="0" w:line="184" w:lineRule="exact"/>
        <w:rPr>
          <w:sz w:val="20"/>
          <w:szCs w:val="20"/>
          <w:color w:val="auto"/>
        </w:rPr>
      </w:pPr>
    </w:p>
    <w:p>
      <w:pPr>
        <w:ind w:firstLine="1011"/>
        <w:spacing w:after="0" w:line="272" w:lineRule="auto"/>
        <w:rPr>
          <w:sz w:val="20"/>
          <w:szCs w:val="20"/>
          <w:color w:val="auto"/>
        </w:rPr>
      </w:pPr>
      <w:r>
        <w:rPr>
          <w:rFonts w:ascii="Arial" w:cs="Arial" w:eastAsia="Arial" w:hAnsi="Arial"/>
          <w:sz w:val="17"/>
          <w:szCs w:val="17"/>
          <w:color w:val="auto"/>
        </w:rPr>
        <w:t xml:space="preserve">SECTION 4.05 </w:t>
      </w:r>
      <w:r>
        <w:rPr>
          <w:rFonts w:ascii="Arial" w:cs="Arial" w:eastAsia="Arial" w:hAnsi="Arial"/>
          <w:sz w:val="17"/>
          <w:szCs w:val="17"/>
          <w:u w:val="single" w:color="auto"/>
          <w:color w:val="auto"/>
        </w:rPr>
        <w:t>Treasurer</w:t>
      </w:r>
      <w:r>
        <w:rPr>
          <w:rFonts w:ascii="Arial" w:cs="Arial" w:eastAsia="Arial" w:hAnsi="Arial"/>
          <w:sz w:val="17"/>
          <w:szCs w:val="17"/>
          <w:color w:val="auto"/>
        </w:rPr>
        <w:t>. The Treasurer shall have custody of the corporate funds, securities, evidences of indebtedness and other valuables of the Corporation and shall keep full and accurate accounts of receipts and disbursements in books belonging to the Corporation. The Treasurer shall deposit all moneys and other valuables in the name and to the credit of the Corporation in such depositories as may be designated by the Board of Directors or its designees selected for such purposes. The Treasurer shall disburse the funds of the Corporation, taking proper vouchers therefor. The Treasurer shall render to the Chief Executive Officer and the Board of Directors, upon their request, a report of the financial condition of the Corporation. If required by the Board of Directors, the Treasurer shall give the Corporation a bond for the faithful discharge of his or her duties in such amount and with such surety as the Board of Directors shall prescribe.</w:t>
      </w:r>
    </w:p>
    <w:p>
      <w:pPr>
        <w:spacing w:after="0" w:line="177" w:lineRule="exact"/>
        <w:rPr>
          <w:sz w:val="20"/>
          <w:szCs w:val="20"/>
          <w:color w:val="auto"/>
        </w:rPr>
      </w:pPr>
    </w:p>
    <w:p>
      <w:pPr>
        <w:ind w:right="300" w:firstLine="1011"/>
        <w:spacing w:after="0" w:line="277" w:lineRule="auto"/>
        <w:rPr>
          <w:sz w:val="20"/>
          <w:szCs w:val="20"/>
          <w:color w:val="auto"/>
        </w:rPr>
      </w:pPr>
      <w:r>
        <w:rPr>
          <w:rFonts w:ascii="Arial" w:cs="Arial" w:eastAsia="Arial" w:hAnsi="Arial"/>
          <w:sz w:val="18"/>
          <w:szCs w:val="18"/>
          <w:color w:val="auto"/>
        </w:rPr>
        <w:t>In addition, the Treasurer shall have such further powers and perform such other duties incident to the office of Treasurer as from time to time are assigned to him or her by the Chief Executive Officer or the Board of Directors.</w:t>
      </w:r>
    </w:p>
    <w:p>
      <w:pPr>
        <w:spacing w:after="0" w:line="170" w:lineRule="exact"/>
        <w:rPr>
          <w:sz w:val="20"/>
          <w:szCs w:val="20"/>
          <w:color w:val="auto"/>
        </w:rPr>
      </w:pPr>
    </w:p>
    <w:p>
      <w:pPr>
        <w:ind w:right="20" w:firstLine="1011"/>
        <w:spacing w:after="0" w:line="257"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Secretary</w:t>
      </w:r>
      <w:r>
        <w:rPr>
          <w:rFonts w:ascii="Arial" w:cs="Arial" w:eastAsia="Arial" w:hAnsi="Arial"/>
          <w:sz w:val="18"/>
          <w:szCs w:val="18"/>
          <w:color w:val="auto"/>
        </w:rPr>
        <w:t>. The Secretary shall: (a) cause minutes of all meetings of the stockholders and directors to be recorded and kept properly; (b) cause all notices required by these Bylaws or otherwise to be given properly; (c) see that the minute books, stock books, and other nonfinancial books, records and papers of the Corporation are kept properly; and (d) cause all reports, statements, returns, certificates and other documents to be prepared and filed when and as required. The Secretary shall have such further powers and perform such other duties as prescribed from time to time by the Chief Executive Officer or the Board of Directors.</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77" w:name="page78"/>
    <w:bookmarkEnd w:id="77"/>
    <w:p>
      <w:pPr>
        <w:jc w:val="both"/>
        <w:ind w:right="140" w:firstLine="1011"/>
        <w:spacing w:after="0" w:line="301" w:lineRule="auto"/>
        <w:rPr>
          <w:sz w:val="20"/>
          <w:szCs w:val="20"/>
          <w:color w:val="auto"/>
        </w:rPr>
      </w:pPr>
      <w:r>
        <w:rPr>
          <w:rFonts w:ascii="Arial" w:cs="Arial" w:eastAsia="Arial" w:hAnsi="Arial"/>
          <w:sz w:val="16"/>
          <w:szCs w:val="16"/>
          <w:color w:val="auto"/>
        </w:rPr>
        <w:t xml:space="preserve">SECTION 4.07 </w:t>
      </w:r>
      <w:r>
        <w:rPr>
          <w:rFonts w:ascii="Arial" w:cs="Arial" w:eastAsia="Arial" w:hAnsi="Arial"/>
          <w:sz w:val="16"/>
          <w:szCs w:val="16"/>
          <w:u w:val="single" w:color="auto"/>
          <w:color w:val="auto"/>
        </w:rPr>
        <w:t>Assistant Treasurers and Assistant Secretaries</w:t>
      </w:r>
      <w:r>
        <w:rPr>
          <w:rFonts w:ascii="Arial" w:cs="Arial" w:eastAsia="Arial" w:hAnsi="Arial"/>
          <w:sz w:val="16"/>
          <w:szCs w:val="16"/>
          <w:color w:val="auto"/>
        </w:rPr>
        <w:t>. Each Assistant Treasurer and each Assistant Secretary, if any are appointed, shall be vested with all the powers and shall perform all the duties of the Treasurer and Secretary, respectively, in the absence or disability of such officer, unless or until the Chief Executive Officer or the Board of Directors shall otherwise determine. In addition, Assistant Treasurers and Assistant Secretaries shall have such powers and shall perform such duties as shall be assigned to them by the Chief Executive Officer or the Board of Directors.</w:t>
      </w:r>
    </w:p>
    <w:p>
      <w:pPr>
        <w:spacing w:after="0" w:line="157" w:lineRule="exact"/>
        <w:rPr>
          <w:sz w:val="20"/>
          <w:szCs w:val="20"/>
          <w:color w:val="auto"/>
        </w:rPr>
      </w:pPr>
    </w:p>
    <w:p>
      <w:pPr>
        <w:ind w:firstLine="1011"/>
        <w:spacing w:after="0" w:line="259" w:lineRule="auto"/>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u w:val="single" w:color="auto"/>
          <w:color w:val="auto"/>
        </w:rPr>
        <w:t>Corporate Funds and Checks</w:t>
      </w:r>
      <w:r>
        <w:rPr>
          <w:rFonts w:ascii="Arial" w:cs="Arial" w:eastAsia="Arial" w:hAnsi="Arial"/>
          <w:sz w:val="18"/>
          <w:szCs w:val="18"/>
          <w:color w:val="auto"/>
        </w:rPr>
        <w:t>. The funds of the Corporation shall be kept in such depositories as shall from time to time be prescribed by the Board of Directors or its designees selected for such purposes. All checks or other orders for the payment of money shall be signed by the Chief Executive Officer, a Vice President, the Treasurer or the Secretary or such other person or agent as may from time to time be authorized and with such countersignature, if any, as may be required by the Board of Directors.</w:t>
      </w:r>
    </w:p>
    <w:p>
      <w:pPr>
        <w:spacing w:after="0" w:line="187" w:lineRule="exact"/>
        <w:rPr>
          <w:sz w:val="20"/>
          <w:szCs w:val="20"/>
          <w:color w:val="auto"/>
        </w:rPr>
      </w:pPr>
    </w:p>
    <w:p>
      <w:pPr>
        <w:ind w:right="420" w:firstLine="1011"/>
        <w:spacing w:after="0" w:line="279" w:lineRule="auto"/>
        <w:rPr>
          <w:sz w:val="20"/>
          <w:szCs w:val="20"/>
          <w:color w:val="auto"/>
        </w:rPr>
      </w:pPr>
      <w:r>
        <w:rPr>
          <w:rFonts w:ascii="Arial" w:cs="Arial" w:eastAsia="Arial" w:hAnsi="Arial"/>
          <w:sz w:val="17"/>
          <w:szCs w:val="17"/>
          <w:color w:val="auto"/>
        </w:rPr>
        <w:t xml:space="preserve">SECTION 4.09 </w:t>
      </w:r>
      <w:r>
        <w:rPr>
          <w:rFonts w:ascii="Arial" w:cs="Arial" w:eastAsia="Arial" w:hAnsi="Arial"/>
          <w:sz w:val="17"/>
          <w:szCs w:val="17"/>
          <w:u w:val="single" w:color="auto"/>
          <w:color w:val="auto"/>
        </w:rPr>
        <w:t>Contracts and Other Documents</w:t>
      </w:r>
      <w:r>
        <w:rPr>
          <w:rFonts w:ascii="Arial" w:cs="Arial" w:eastAsia="Arial" w:hAnsi="Arial"/>
          <w:sz w:val="17"/>
          <w:szCs w:val="17"/>
          <w:color w:val="auto"/>
        </w:rPr>
        <w:t>. The Chief Executive Officer and the Secretary, or such other officer or officers as may from time to time be authorized by the Board of Directors or any other committee given specific authority in the premises by the Board of Directors during the intervals between the meetings of the Board of Directors, shall have power to sign and execute on behalf of the Corporation deeds, conveyances and contracts, and any and all other documents requiring execution by the Corporation.</w:t>
      </w:r>
    </w:p>
    <w:p>
      <w:pPr>
        <w:spacing w:after="0" w:line="171" w:lineRule="exact"/>
        <w:rPr>
          <w:sz w:val="20"/>
          <w:szCs w:val="20"/>
          <w:color w:val="auto"/>
        </w:rPr>
      </w:pPr>
    </w:p>
    <w:p>
      <w:pPr>
        <w:ind w:firstLine="1011"/>
        <w:spacing w:after="0" w:line="296" w:lineRule="auto"/>
        <w:rPr>
          <w:sz w:val="20"/>
          <w:szCs w:val="20"/>
          <w:color w:val="auto"/>
        </w:rPr>
      </w:pPr>
      <w:r>
        <w:rPr>
          <w:rFonts w:ascii="Arial" w:cs="Arial" w:eastAsia="Arial" w:hAnsi="Arial"/>
          <w:sz w:val="16"/>
          <w:szCs w:val="16"/>
          <w:color w:val="auto"/>
        </w:rPr>
        <w:t xml:space="preserve">SECTION 4.10 </w:t>
      </w:r>
      <w:r>
        <w:rPr>
          <w:rFonts w:ascii="Arial" w:cs="Arial" w:eastAsia="Arial" w:hAnsi="Arial"/>
          <w:sz w:val="16"/>
          <w:szCs w:val="16"/>
          <w:u w:val="single" w:color="auto"/>
          <w:color w:val="auto"/>
        </w:rPr>
        <w:t>Ownership of Stock of Another Corporation</w:t>
      </w:r>
      <w:r>
        <w:rPr>
          <w:rFonts w:ascii="Arial" w:cs="Arial" w:eastAsia="Arial" w:hAnsi="Arial"/>
          <w:sz w:val="16"/>
          <w:szCs w:val="16"/>
          <w:color w:val="auto"/>
        </w:rPr>
        <w:t>. Unless otherwise directed by the Board of Directors, the Chief Executive Officer, a Vice President, the Treasurer or the Secretary, or such other officer or agent as shall be authorized by the Board of Directors, shall have the power and authority, on behalf of the Corporation, to attend and to vote at any meeting of securityholders of any entity in which the Corporation holds securities or equity interests and may exercise, on behalf of the Corporation, any and all of the rights and powers incident to the ownership of such securities or equity interests at any such meeting, including the authority to execute and deliver proxies and consents on behalf of the Corporation.</w:t>
      </w:r>
    </w:p>
    <w:p>
      <w:pPr>
        <w:spacing w:after="0" w:line="161" w:lineRule="exact"/>
        <w:rPr>
          <w:sz w:val="20"/>
          <w:szCs w:val="20"/>
          <w:color w:val="auto"/>
        </w:rPr>
      </w:pPr>
    </w:p>
    <w:p>
      <w:pPr>
        <w:ind w:right="180" w:firstLine="1011"/>
        <w:spacing w:after="0" w:line="277" w:lineRule="auto"/>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In the absence, disability or refusal of any officer to exercise and perform his or her duties, the Board of Directors may delegate to another officer such powers or duties.</w:t>
      </w:r>
    </w:p>
    <w:p>
      <w:pPr>
        <w:spacing w:after="0" w:line="170" w:lineRule="exact"/>
        <w:rPr>
          <w:sz w:val="20"/>
          <w:szCs w:val="20"/>
          <w:color w:val="auto"/>
        </w:rPr>
      </w:pPr>
    </w:p>
    <w:p>
      <w:pPr>
        <w:ind w:right="220" w:firstLine="1011"/>
        <w:spacing w:after="0" w:line="277" w:lineRule="auto"/>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Resignation and Removal</w:t>
      </w:r>
      <w:r>
        <w:rPr>
          <w:rFonts w:ascii="Arial" w:cs="Arial" w:eastAsia="Arial" w:hAnsi="Arial"/>
          <w:sz w:val="18"/>
          <w:szCs w:val="18"/>
          <w:color w:val="auto"/>
        </w:rPr>
        <w:t>. Any officer of the Corporation may be removed from office for or without cause at any time by the Board of Directors. Any officer may resign at any time in the same manner prescribed under Section 3.03 of these Bylaws.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8" w:name="page79"/>
    <w:bookmarkEnd w:id="78"/>
    <w:p>
      <w:pPr>
        <w:ind w:left="1020"/>
        <w:spacing w:after="0"/>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u w:val="single" w:color="auto"/>
          <w:color w:val="auto"/>
        </w:rPr>
        <w:t>Vacancies</w:t>
      </w:r>
      <w:r>
        <w:rPr>
          <w:rFonts w:ascii="Arial" w:cs="Arial" w:eastAsia="Arial" w:hAnsi="Arial"/>
          <w:sz w:val="18"/>
          <w:szCs w:val="18"/>
          <w:color w:val="auto"/>
        </w:rPr>
        <w:t>. The Board of Directors shall have the power to fill vacancies occurring in any office.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w:t>
      </w:r>
    </w:p>
    <w:p>
      <w:pPr>
        <w:spacing w:after="0" w:line="229" w:lineRule="exact"/>
        <w:rPr>
          <w:sz w:val="20"/>
          <w:szCs w:val="20"/>
          <w:color w:val="auto"/>
        </w:rPr>
      </w:pPr>
    </w:p>
    <w:p>
      <w:pPr>
        <w:ind w:firstLine="1011"/>
        <w:spacing w:after="0" w:line="270"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Shares With Certificates</w:t>
      </w:r>
      <w:r>
        <w:rPr>
          <w:rFonts w:ascii="Arial" w:cs="Arial" w:eastAsia="Arial" w:hAnsi="Arial"/>
          <w:sz w:val="17"/>
          <w:szCs w:val="17"/>
          <w:color w:val="auto"/>
        </w:rPr>
        <w:t>. The shares of stock of the Corporation shall be represented by certificates, provided that the Board of Directors may provide by resolution or resolutions that some or all of any or all classes or series of the Corporation’s stock shall be uncertificated shares. Any such resolution shall not apply to shares represented by a certificate until such certificate is surrendered to the Corporation. Every holder of stock in the Corporation represented by certificates shall be entitled to have a certificate signed by, or in the name of the Corporation by, (a) the Chair of the Board of Directors or the Vice Chair of the Board of Directors or, the Chief Executive Officer or a Vice President, and (b) the Treasurer or an Assistant Treasurer or the Secretary or an Assistant Secretary, certifying the number and class of shares of stock of the Corporation owned by such holder. Any or all of the signatures on the certificate may be a facsimile. The Board of Directors shall have the power to appoint one or more transfer agents and/or registrars for the transfer or registration of certificates of stock of any class, and may require stock certificates to be countersigned or registered by one or more of such transfer agents and/or registrars.</w:t>
      </w:r>
    </w:p>
    <w:p>
      <w:pPr>
        <w:spacing w:after="0" w:line="181" w:lineRule="exact"/>
        <w:rPr>
          <w:sz w:val="20"/>
          <w:szCs w:val="20"/>
          <w:color w:val="auto"/>
        </w:rPr>
      </w:pPr>
    </w:p>
    <w:p>
      <w:pPr>
        <w:jc w:val="both"/>
        <w:ind w:right="100" w:firstLine="1011"/>
        <w:spacing w:after="0" w:line="301"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Shares Without Certificates</w:t>
      </w:r>
      <w:r>
        <w:rPr>
          <w:rFonts w:ascii="Arial" w:cs="Arial" w:eastAsia="Arial" w:hAnsi="Arial"/>
          <w:sz w:val="16"/>
          <w:szCs w:val="16"/>
          <w:color w:val="auto"/>
        </w:rPr>
        <w:t>. If the Board of Directors chooses to issue shares of stock without certificates, the Corporation, if required by the DGCL, shall, within a reasonable time after the issue or transfer of shares without certificates, send the stockholder a written statement of the information required by the DGCL. The Corporation may adopt a system of issuance, recordation and transfer of its shares of stock by electronic or other means not involving the issuance of certificates, provided the use of such system by the Corporation is permitted in accordance with applicable law.</w:t>
      </w:r>
    </w:p>
    <w:p>
      <w:pPr>
        <w:spacing w:after="0" w:line="157" w:lineRule="exact"/>
        <w:rPr>
          <w:sz w:val="20"/>
          <w:szCs w:val="20"/>
          <w:color w:val="auto"/>
        </w:rPr>
      </w:pPr>
    </w:p>
    <w:p>
      <w:pPr>
        <w:ind w:right="160" w:firstLine="1011"/>
        <w:spacing w:after="0" w:line="270" w:lineRule="auto"/>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u w:val="single" w:color="auto"/>
          <w:color w:val="auto"/>
        </w:rPr>
        <w:t>Transfer of Shares</w:t>
      </w:r>
      <w:r>
        <w:rPr>
          <w:rFonts w:ascii="Arial" w:cs="Arial" w:eastAsia="Arial" w:hAnsi="Arial"/>
          <w:sz w:val="17"/>
          <w:szCs w:val="17"/>
          <w:color w:val="auto"/>
        </w:rPr>
        <w:t>. Shares of stock of the Corporation shall be transferable upon its books by the holders thereof, in person or by their duly authorized attorneys or legal representatives, in the manner prescribed by law, the Certificate of Incorporation and in these Bylaws, upon surrender to the Corporation by delivery thereof (to the extent evidenced by a physical stock certificate) to the person in charge of the stock and transfer books and ledgers. Certificates representing such shares, if any, shall be cancelled and new certificates, if the shares are to be certificated, shall thereupon be issued. Shares of capital stock of the Corporation that are not represented by a certificate shall be transferred in accordance with applicable law. A record shall be made of each transfer. Whenever any transfer of shares shall be made for collateral security, and not absolutely, it shall be so expressed in the entry of the transfer if, when the certificates are presented, both the transferor and transferee request the Corporation to do so. The Board of Directors shall have power and authority to make such rules and regulations as it may deem necessary or proper concerning the issue, transfer and registration of certificates for shares of stock of the Corporation.</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79" w:name="page80"/>
    <w:bookmarkEnd w:id="79"/>
    <w:p>
      <w:pPr>
        <w:ind w:right="100" w:firstLine="1011"/>
        <w:spacing w:after="0" w:line="272" w:lineRule="auto"/>
        <w:rPr>
          <w:sz w:val="20"/>
          <w:szCs w:val="20"/>
          <w:color w:val="auto"/>
        </w:rPr>
      </w:pPr>
      <w:r>
        <w:rPr>
          <w:rFonts w:ascii="Arial" w:cs="Arial" w:eastAsia="Arial" w:hAnsi="Arial"/>
          <w:sz w:val="17"/>
          <w:szCs w:val="17"/>
          <w:color w:val="auto"/>
        </w:rPr>
        <w:t xml:space="preserve">SECTION 5.04 </w:t>
      </w:r>
      <w:r>
        <w:rPr>
          <w:rFonts w:ascii="Arial" w:cs="Arial" w:eastAsia="Arial" w:hAnsi="Arial"/>
          <w:sz w:val="17"/>
          <w:szCs w:val="17"/>
          <w:u w:val="single" w:color="auto"/>
          <w:color w:val="auto"/>
        </w:rPr>
        <w:t>Lost, Stolen, Destroyed or Mutilated Certificates</w:t>
      </w:r>
      <w:r>
        <w:rPr>
          <w:rFonts w:ascii="Arial" w:cs="Arial" w:eastAsia="Arial" w:hAnsi="Arial"/>
          <w:sz w:val="17"/>
          <w:szCs w:val="17"/>
          <w:color w:val="auto"/>
        </w:rPr>
        <w:t>. A new certificate of stock or uncertificated shares may be issued in the place of any certificate previously issued by the Corporation alleged to have been lost, stolen or destroyed, and the Corporation may, in its discretion, require the owner of such lost, stolen or destroyed certificate, or his or her legal representative, to give the Corporation a bond, in such sum as the Corporation may direct, in order to indemnify the Corporation against any claims that may be made against it in connection therewith. A new certificate or uncertificated shares of stock may be issued in the place of any certificate previously issued by the Corporation that has become mutilated upon the surrender by such owner of such mutilated certificate and, if required by the Corporation, the posting of a bond by such owner in an amount sufficient to indemnify the Corporation against any claim that may be made against it in connection therewith.</w:t>
      </w:r>
    </w:p>
    <w:p>
      <w:pPr>
        <w:spacing w:after="0" w:line="177" w:lineRule="exact"/>
        <w:rPr>
          <w:sz w:val="20"/>
          <w:szCs w:val="20"/>
          <w:color w:val="auto"/>
        </w:rPr>
      </w:pPr>
    </w:p>
    <w:p>
      <w:pPr>
        <w:ind w:firstLine="1011"/>
        <w:spacing w:after="0" w:line="286" w:lineRule="auto"/>
        <w:rPr>
          <w:sz w:val="20"/>
          <w:szCs w:val="20"/>
          <w:color w:val="auto"/>
        </w:rPr>
      </w:pPr>
      <w:r>
        <w:rPr>
          <w:rFonts w:ascii="Arial" w:cs="Arial" w:eastAsia="Arial" w:hAnsi="Arial"/>
          <w:sz w:val="16"/>
          <w:szCs w:val="16"/>
          <w:color w:val="auto"/>
        </w:rPr>
        <w:t xml:space="preserve">SECTION 5.05 </w:t>
      </w:r>
      <w:r>
        <w:rPr>
          <w:rFonts w:ascii="Arial" w:cs="Arial" w:eastAsia="Arial" w:hAnsi="Arial"/>
          <w:sz w:val="16"/>
          <w:szCs w:val="16"/>
          <w:u w:val="single" w:color="auto"/>
          <w:color w:val="auto"/>
        </w:rPr>
        <w:t>List of Stockholders Entitled To Vote</w:t>
      </w:r>
      <w:r>
        <w:rPr>
          <w:rFonts w:ascii="Arial" w:cs="Arial" w:eastAsia="Arial" w:hAnsi="Arial"/>
          <w:sz w:val="16"/>
          <w:szCs w:val="16"/>
          <w:color w:val="auto"/>
        </w:rPr>
        <w:t>. The officer who has charge of the stock ledger shall prepare and make, at least ten days before every meeting of stockholders, a complete list of the stockholders entitled to vote at the meeting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the record date for determining the stockholders entitled to vote is less than ten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Such list shall be open to the examination of any stockholder, for any purpose germane to the meeting at least ten days prior to the meeting (a) on a reasonably accessible electronic network,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information required to gain access to such list is provided with the notice of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who are the stockholders entitled to examine the list of stockholders required by this Section 5.05 or to vote in person or by proxy at any meeting of stockholders.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0" w:name="page81"/>
    <w:bookmarkEnd w:id="80"/>
    <w:p>
      <w:pPr>
        <w:ind w:left="980"/>
        <w:spacing w:after="0"/>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Fixing Date for Determination of Stockholders of Record.</w:t>
      </w:r>
    </w:p>
    <w:p>
      <w:pPr>
        <w:spacing w:after="0" w:line="225" w:lineRule="exact"/>
        <w:rPr>
          <w:sz w:val="20"/>
          <w:szCs w:val="20"/>
          <w:color w:val="auto"/>
        </w:rPr>
      </w:pPr>
    </w:p>
    <w:p>
      <w:pPr>
        <w:ind w:left="-40" w:firstLine="1019"/>
        <w:spacing w:after="0" w:line="269" w:lineRule="auto"/>
        <w:tabs>
          <w:tab w:leader="none" w:pos="1265"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60 nor less than ten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78" w:lineRule="exact"/>
        <w:rPr>
          <w:rFonts w:ascii="Arial" w:cs="Arial" w:eastAsia="Arial" w:hAnsi="Arial"/>
          <w:sz w:val="17"/>
          <w:szCs w:val="17"/>
          <w:color w:val="auto"/>
        </w:rPr>
      </w:pPr>
    </w:p>
    <w:p>
      <w:pPr>
        <w:ind w:left="-40" w:right="220" w:firstLine="1019"/>
        <w:spacing w:after="0" w:line="296" w:lineRule="auto"/>
        <w:tabs>
          <w:tab w:leader="none" w:pos="1255"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not be more than 60 days prior to such action. If no such record date is fixed, the record date for determining stockholders for any such purpose shall be at the close of business on the day on which the Board of Directors adopts the resolution relating thereto.</w:t>
      </w:r>
    </w:p>
    <w:p>
      <w:pPr>
        <w:spacing w:after="0" w:line="161" w:lineRule="exact"/>
        <w:rPr>
          <w:rFonts w:ascii="Arial" w:cs="Arial" w:eastAsia="Arial" w:hAnsi="Arial"/>
          <w:sz w:val="16"/>
          <w:szCs w:val="16"/>
          <w:color w:val="auto"/>
        </w:rPr>
      </w:pPr>
    </w:p>
    <w:p>
      <w:pPr>
        <w:ind w:left="-40" w:right="60" w:firstLine="1019"/>
        <w:spacing w:after="0" w:line="290" w:lineRule="auto"/>
        <w:tabs>
          <w:tab w:leader="none" w:pos="1255" w:val="left"/>
        </w:tabs>
        <w:numPr>
          <w:ilvl w:val="0"/>
          <w:numId w:val="45"/>
        </w:numPr>
        <w:rPr>
          <w:rFonts w:ascii="Arial" w:cs="Arial" w:eastAsia="Arial" w:hAnsi="Arial"/>
          <w:sz w:val="16"/>
          <w:szCs w:val="16"/>
          <w:color w:val="auto"/>
        </w:rPr>
      </w:pPr>
      <w:r>
        <w:rPr>
          <w:rFonts w:ascii="Arial" w:cs="Arial" w:eastAsia="Arial" w:hAnsi="Arial"/>
          <w:sz w:val="16"/>
          <w:szCs w:val="16"/>
          <w:color w:val="auto"/>
        </w:rPr>
        <w:t>Unless otherwise restricted by the Certificate of Incorporation, in order that the Corporation may determine the stockholders entitled to express consent to corporate action in writing without a meeting, the Board of Directors may fix a record date, which record date shall not precede the date upon which the resolution fixing the record date is adopted by the Board of Directors, and which record date shall not be more than ten days after the date upon which the resolution fixing the record date is adopted by the Board of Directors. If no record date for determining stockholders entitled to express consent to corporate action in writing without a meeting is fixed by the Board of Directors, (a) when no prior action of the Board of Directors is required by law, the record date for such purpose shall be the first date on which a signed written consent setting forth the action taken or proposed to be taken is delivered to the Corporation in accordance with applicable law, and (b) if prior action by the Board of Directors is required by law, the record date for such purpose shall be at the close of business on the day on which the Board of Directors adopts the resolution taking such prior action.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60" w:top="908" w:right="359" w:bottom="1440" w:gutter="0" w:footer="0" w:header="0"/>
        </w:sectPr>
      </w:pPr>
    </w:p>
    <w:bookmarkStart w:id="81" w:name="page82"/>
    <w:bookmarkEnd w:id="81"/>
    <w:p>
      <w:pPr>
        <w:ind w:right="80" w:firstLine="1011"/>
        <w:spacing w:after="0" w:line="296"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u w:val="single" w:color="auto"/>
          <w:color w:val="auto"/>
        </w:rPr>
        <w:t>Registered Stockholders</w:t>
      </w:r>
      <w:r>
        <w:rPr>
          <w:rFonts w:ascii="Arial" w:cs="Arial" w:eastAsia="Arial" w:hAnsi="Arial"/>
          <w:sz w:val="16"/>
          <w:szCs w:val="16"/>
          <w:color w:val="auto"/>
        </w:rPr>
        <w:t>. Prior to the surrender to the Corporation of the certificate or certificates for a share or shares of stock or notification to the Corporation of the transfer of uncertificated shares with a request to record the transfer of such share or shares, the Corporation may treat the registered owner of such share or shares as the person entitled to receive dividends, to vote, to receive notifications and otherwise to exercise all the rights and powers of an owner of such share or shares. To the fullest extent permitted by law, the Corporation shall not be bound to recognize any equitable or other claim to or interest in such share or shares on the part of any other person, whether or not it shall have express or other notice thereof.</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and Waiver of Notice</w:t>
      </w:r>
    </w:p>
    <w:p>
      <w:pPr>
        <w:spacing w:after="0" w:line="229" w:lineRule="exact"/>
        <w:rPr>
          <w:sz w:val="20"/>
          <w:szCs w:val="20"/>
          <w:color w:val="auto"/>
        </w:rPr>
      </w:pPr>
    </w:p>
    <w:p>
      <w:pPr>
        <w:ind w:right="240" w:firstLine="1011"/>
        <w:spacing w:after="0" w:line="259"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Notice</w:t>
      </w:r>
      <w:r>
        <w:rPr>
          <w:rFonts w:ascii="Arial" w:cs="Arial" w:eastAsia="Arial" w:hAnsi="Arial"/>
          <w:sz w:val="18"/>
          <w:szCs w:val="18"/>
          <w:color w:val="auto"/>
        </w:rPr>
        <w:t>. If mailed, notice to stockholders shall be deemed given when deposited in the United States mail, postage prepaid, directed to the stockholder at such stockholder’s address as it appears on the records of the Corporation. Without limiting the manner by which notice otherwise may be given effectively to stockholders, any notice to stockholders may be given by electronic transmission in the manner provided in Section 232 of the DGCL.</w:t>
      </w:r>
    </w:p>
    <w:p>
      <w:pPr>
        <w:spacing w:after="0" w:line="187" w:lineRule="exact"/>
        <w:rPr>
          <w:sz w:val="20"/>
          <w:szCs w:val="20"/>
          <w:color w:val="auto"/>
        </w:rPr>
      </w:pPr>
    </w:p>
    <w:p>
      <w:pPr>
        <w:ind w:firstLine="1011"/>
        <w:spacing w:after="0" w:line="275"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u w:val="single" w:color="auto"/>
          <w:color w:val="auto"/>
        </w:rPr>
        <w:t>Waiver of Notice</w:t>
      </w:r>
      <w:r>
        <w:rPr>
          <w:rFonts w:ascii="Arial" w:cs="Arial" w:eastAsia="Arial" w:hAnsi="Arial"/>
          <w:sz w:val="17"/>
          <w:szCs w:val="17"/>
          <w:color w:val="auto"/>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nor the purpose of any meeting need be specified in such a waiver. Attendance at any meeting (in person or by remote communication) shall constitute waiver of notice except attendance for the express purpose of objecting at the beginning of the meeting to the transaction of any business because the meeting is not lawfully called or convened.</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firstLine="1011"/>
        <w:spacing w:after="0" w:line="268"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u w:val="single" w:color="auto"/>
          <w:color w:val="auto"/>
        </w:rPr>
        <w:t>Right to Indemnification</w:t>
      </w:r>
      <w:r>
        <w:rPr>
          <w:rFonts w:ascii="Arial" w:cs="Arial" w:eastAsia="Arial" w:hAnsi="Arial"/>
          <w:sz w:val="17"/>
          <w:szCs w:val="17"/>
          <w:color w:val="auto"/>
        </w:rPr>
        <w:t>. Each person who was or is made a party or is threatened to be made a party to or is otherwise involved in any action, suit or proceeding, whether civil, criminal, administrative or investigative (hereinafter a “</w:t>
      </w:r>
      <w:r>
        <w:rPr>
          <w:rFonts w:ascii="Arial" w:cs="Arial" w:eastAsia="Arial" w:hAnsi="Arial"/>
          <w:sz w:val="17"/>
          <w:szCs w:val="17"/>
          <w:u w:val="single" w:color="auto"/>
          <w:color w:val="auto"/>
        </w:rPr>
        <w:t>proceeding</w:t>
      </w:r>
      <w:r>
        <w:rPr>
          <w:rFonts w:ascii="Arial" w:cs="Arial" w:eastAsia="Arial" w:hAnsi="Arial"/>
          <w:sz w:val="17"/>
          <w:szCs w:val="17"/>
          <w:color w:val="auto"/>
        </w:rPr>
        <w:t>”), by reason of the fact that he or she is or was a director or an officer of the Corporation or, while a director or officer of the Corporation, is or was serving at the request of the Corporation as a director, manager, officer, employee, agent or trustee of another corporation or of a limited liability company, partnership, joint venture, trust or other enterprise, including service with respect to an employee benefit plan (hereinafter an “</w:t>
      </w:r>
      <w:r>
        <w:rPr>
          <w:rFonts w:ascii="Arial" w:cs="Arial" w:eastAsia="Arial" w:hAnsi="Arial"/>
          <w:sz w:val="17"/>
          <w:szCs w:val="17"/>
          <w:u w:val="single" w:color="auto"/>
          <w:color w:val="auto"/>
        </w:rPr>
        <w:t>indemnitee</w:t>
      </w:r>
      <w:r>
        <w:rPr>
          <w:rFonts w:ascii="Arial" w:cs="Arial" w:eastAsia="Arial" w:hAnsi="Arial"/>
          <w:sz w:val="17"/>
          <w:szCs w:val="17"/>
          <w:color w:val="auto"/>
        </w:rPr>
        <w:t xml:space="preserve">”), whether the basis of such proceeding is alleged action in an official capacity as a director, manager, officer, employee, agent or trustee or in any other capacity while serving as a director, manager, officer, employee, agent or trustee, shall be indemnified and held harmless by the Corporation to the fullest extent permitted by Delaware law, as the same exists or may hereafter be amended (but, in the case of any such amendment, if permitted, only to the extent that such amendment permits the Corporation to provide broader indemnification rights than such law permitted the Corporation to provide prior to such amendment), against all expense, liability and loss (including attorneys’ fees, judgments, fines, ERISA excise taxes or penalties and amounts paid in settlement) reasonably incurred or suffered by such indemnitee in connection therewith;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as provided in Section 7.03 with respect to proceedings to enforce rights to indemnification or advancement of expenses or with respect to any compulsory counterclaim brought by such indemnitee, the Corporation shall indemnify any such indemnitee in connection with a proceeding (or part thereof) initiated by such indemnitee only if such proceeding (or part thereof) was authorized by the Board of Directors.</w:t>
      </w:r>
    </w:p>
    <w:p>
      <w:pPr>
        <w:spacing w:after="0" w:line="184" w:lineRule="exact"/>
        <w:rPr>
          <w:sz w:val="20"/>
          <w:szCs w:val="20"/>
          <w:color w:val="auto"/>
        </w:rPr>
      </w:pPr>
    </w:p>
    <w:p>
      <w:pPr>
        <w:ind w:firstLine="1011"/>
        <w:spacing w:after="0" w:line="287"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Right to Advancement of Expenses</w:t>
      </w:r>
      <w:r>
        <w:rPr>
          <w:rFonts w:ascii="Arial" w:cs="Arial" w:eastAsia="Arial" w:hAnsi="Arial"/>
          <w:sz w:val="16"/>
          <w:szCs w:val="16"/>
          <w:color w:val="auto"/>
        </w:rPr>
        <w:t>. In addition to the right to indemnification conferred in Section 7.01, an indemnitee shall also have the right to be paid by the Corporation the expenses (including attorneys’ fees) incurred in appearing at, participating in or defending any such proceeding in advance of its final disposition or in connection with a proceeding brought to establish or enforce a right to indemnification or advancement of expenses under this Article VII (which shall be governed by Section 7.03 (hereinafter an “</w:t>
      </w:r>
      <w:r>
        <w:rPr>
          <w:rFonts w:ascii="Arial" w:cs="Arial" w:eastAsia="Arial" w:hAnsi="Arial"/>
          <w:sz w:val="16"/>
          <w:szCs w:val="16"/>
          <w:u w:val="single" w:color="auto"/>
          <w:color w:val="auto"/>
        </w:rPr>
        <w:t>advancement of expenses</w:t>
      </w:r>
      <w:r>
        <w:rPr>
          <w:rFonts w:ascii="Arial" w:cs="Arial" w:eastAsia="Arial" w:hAnsi="Arial"/>
          <w:sz w:val="16"/>
          <w:szCs w:val="16"/>
          <w:color w:val="auto"/>
        </w:rPr>
        <w:t xml:space="preserve">”). Such advancement shall be unconditional, unsecured and interest free and shall be made without regard to indemnitee’s ability to repay any expenses advanced;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DGCL requires or in the case of an advance made in a proceeding brought to establish or enforce a right to indemnification or advancement, an advancement of expenses incurred by an indemnitee in his or her capacity as a director or officer (and not in any other capacity in which service was or is rendered by such indemnitee, including, without limitation, service to an employee benefit plan) shall be made solely upon delivery to the Corporation of an unsecured undertaking (hereinafter an “</w:t>
      </w:r>
      <w:r>
        <w:rPr>
          <w:rFonts w:ascii="Arial" w:cs="Arial" w:eastAsia="Arial" w:hAnsi="Arial"/>
          <w:sz w:val="16"/>
          <w:szCs w:val="16"/>
          <w:u w:val="single" w:color="auto"/>
          <w:color w:val="auto"/>
        </w:rPr>
        <w:t>undertaking</w:t>
      </w:r>
      <w:r>
        <w:rPr>
          <w:rFonts w:ascii="Arial" w:cs="Arial" w:eastAsia="Arial" w:hAnsi="Arial"/>
          <w:sz w:val="16"/>
          <w:szCs w:val="16"/>
          <w:color w:val="auto"/>
        </w:rPr>
        <w:t>”), by or on behalf of such indemnitee, to repay all amounts so advanced if it shall ultimately be determined by final judicial decision from which there is no further right to appeal (hereinafter a “</w:t>
      </w:r>
      <w:r>
        <w:rPr>
          <w:rFonts w:ascii="Arial" w:cs="Arial" w:eastAsia="Arial" w:hAnsi="Arial"/>
          <w:sz w:val="16"/>
          <w:szCs w:val="16"/>
          <w:u w:val="single" w:color="auto"/>
          <w:color w:val="auto"/>
        </w:rPr>
        <w:t>final adjudication</w:t>
      </w:r>
      <w:r>
        <w:rPr>
          <w:rFonts w:ascii="Arial" w:cs="Arial" w:eastAsia="Arial" w:hAnsi="Arial"/>
          <w:sz w:val="16"/>
          <w:szCs w:val="16"/>
          <w:color w:val="auto"/>
        </w:rPr>
        <w:t>”) that such indemnitee is not entitled to be indemnified or entitled to advancement of expenses under Sections 7.01 and 7.02 or otherwise.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3" w:name="page84"/>
    <w:bookmarkEnd w:id="83"/>
    <w:p>
      <w:pPr>
        <w:ind w:firstLine="1011"/>
        <w:spacing w:after="0" w:line="285"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u w:val="single" w:color="auto"/>
          <w:color w:val="auto"/>
        </w:rPr>
        <w:t>Right of Indemnitee to Bring Suit</w:t>
      </w:r>
      <w:r>
        <w:rPr>
          <w:rFonts w:ascii="Arial" w:cs="Arial" w:eastAsia="Arial" w:hAnsi="Arial"/>
          <w:sz w:val="16"/>
          <w:szCs w:val="16"/>
          <w:color w:val="auto"/>
        </w:rPr>
        <w:t>. If a claim under Section 7.01 or 7.02 is not paid in full by the Corporation within (a) 60 days after a written claim for indemnification has been received by the Corporation or (b) 20 days after a claim for an advancement of expenses has been received by the Corporation, the indemnitee may at any time thereafter bring suit against the Corporation to recover the unpaid amount of the claim or to obtain advancement of expenses, as applicable. To the fullest extent permitted by law, if successful in whole or in part in any such suit, or in a suit brought by the Corporation to recover an advancement of expenses pursuant to the terms of an undertaking, the indemnitee shall be entitled to be paid also the expense of prosecuting or defending such suit. In any suit brought by the indemnitee to enforce a right to indemnification hereunder (but not in a suit brought by the indemnitee to enforce a right to an advancement of expenses) it shall be a defense that the indemnitee has not met any applicable standard for indemnification set forth in the DGCL, and in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DGCL.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VII or otherwise shall be on the Corporation.</w:t>
      </w:r>
    </w:p>
    <w:p>
      <w:pPr>
        <w:spacing w:after="0" w:line="17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Indemnification Not Exclusive</w:t>
      </w:r>
      <w:r>
        <w:rPr>
          <w:rFonts w:ascii="Arial" w:cs="Arial" w:eastAsia="Arial" w:hAnsi="Arial"/>
          <w:sz w:val="18"/>
          <w:szCs w:val="18"/>
          <w:color w:val="auto"/>
        </w:rPr>
        <w:t>.</w:t>
      </w:r>
    </w:p>
    <w:p>
      <w:pPr>
        <w:spacing w:after="0" w:line="225" w:lineRule="exact"/>
        <w:rPr>
          <w:sz w:val="20"/>
          <w:szCs w:val="20"/>
          <w:color w:val="auto"/>
        </w:rPr>
      </w:pPr>
    </w:p>
    <w:p>
      <w:pPr>
        <w:ind w:firstLine="1019"/>
        <w:spacing w:after="0" w:line="255" w:lineRule="auto"/>
        <w:tabs>
          <w:tab w:leader="none" w:pos="130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provision of indemnification to or the advancement of expenses and costs to any indemnitee under this Article VII, or the entitlement of any indemnitee to indemnification or advancement of expenses and costs under this Article VII, shall not limit or restrict in any way the power of the Corporation to indemnify or advance expenses and costs to such indemnitee in any other way permitted by law or be deemed exclusive of, or invalidate, any right to which any indemnitee seeking indemnification or advancement of expenses and costs may be entitled under any law, agreement, vote of stockholders or disinterested directors or otherwise, both as to action in such indemnitee’s capacity as an officer, director, employee or agent of the Corporation and as to action in any other capacity.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4" w:name="page85"/>
    <w:bookmarkEnd w:id="84"/>
    <w:p>
      <w:pPr>
        <w:ind w:firstLine="1019"/>
        <w:spacing w:after="0" w:line="267" w:lineRule="auto"/>
        <w:tabs>
          <w:tab w:leader="none" w:pos="1295" w:val="left"/>
        </w:tabs>
        <w:numPr>
          <w:ilvl w:val="0"/>
          <w:numId w:val="47"/>
        </w:numPr>
        <w:rPr>
          <w:rFonts w:ascii="Arial" w:cs="Arial" w:eastAsia="Arial" w:hAnsi="Arial"/>
          <w:sz w:val="17"/>
          <w:szCs w:val="17"/>
          <w:color w:val="auto"/>
        </w:rPr>
      </w:pPr>
      <w:r>
        <w:rPr>
          <w:rFonts w:ascii="Arial" w:cs="Arial" w:eastAsia="Arial" w:hAnsi="Arial"/>
          <w:sz w:val="17"/>
          <w:szCs w:val="17"/>
          <w:color w:val="auto"/>
        </w:rPr>
        <w:t>Given that certain jointly indemnifiable claims (as defined below) may arise due to the service of the indemnitee as a director and/or officer of the Corporation at the request of the indemnitee-related entities (as defined below), the Corporation shall be fully and primarily responsible for the payment to the indemnitee in respect of indemnification or advancement of all expenses, judgments, penalties, fines and amounts paid in settlement to the extent legally permitted and as required by the terms of the Certificate of Incorporation or these Bylaws (or any other agreement between the Corporation and such persons, including the Stockholders Agreement, as applicable) in connection with any such jointly indemnifiable claims, pursuant to and in accordance with the terms of this Article VII, irrespective of any right of recovery the indemnitee may have from the indemnitee-related entities. Any obligation on the part of any indemnitee-related entities to indemnify or advance expenses to any indemnitee shall be secondary to the Corporation’s obligation and shall be reduced by any amount that the indemnitee may collect as indemnification or advancement from the Corporation. The Corporation irrevocably waives, relinquishes and releases the indemnitee-related entities from any and all claims against the indemnitee-related entities for contribution, subrogation or any other recovery of any kind in respect thereof. Under no circumstance shall the Corporation be entitled to any right of subrogation or contribution by the indemnitee-related entities and no right of advancement or recovery the indemnitee may have from the indemnitee-related entities shall reduce or otherwise alter the rights of the indemnitee or the obligations of the Corporation hereunder. In the event that any of the indemnitee-related entities shall make any payment to the indemnitee in respect of indemnification or advancement of expenses with respect to any jointly indemnifiable claim, the indemnitee-related entity making such payment shall be subrogated to the extent of such payment to all of the rights of recovery of the indemnitee against the Corporation, and the indemnitee shall execute all papers reasonably required and shall do all things that may be reasonably necessary to secure such rights, including the execution of such documents as may be necessary to enable the indemnitee-related entities effectively to bring suit to enforce such rights. Each of the indemnitee-related entities shall be third-party beneficiaries with respect to this Section 7.04(B), entitled to enforce this Section 7.04(B).</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Section 7.04(B), the following terms shall have the following meanings: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5" w:name="page86"/>
    <w:bookmarkEnd w:id="85"/>
    <w:p>
      <w:pPr>
        <w:ind w:right="200" w:firstLine="514"/>
        <w:spacing w:after="0" w:line="296" w:lineRule="auto"/>
        <w:tabs>
          <w:tab w:leader="none" w:pos="805"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indemnitee-related entities</w:t>
      </w:r>
      <w:r>
        <w:rPr>
          <w:rFonts w:ascii="Arial" w:cs="Arial" w:eastAsia="Arial" w:hAnsi="Arial"/>
          <w:sz w:val="16"/>
          <w:szCs w:val="16"/>
          <w:color w:val="auto"/>
        </w:rPr>
        <w:t>” means any corporation, limited liability company, partnership, joint venture, trust, employee benefit plan or other enterprise (other than the Corporation or any other corporation, limited liability company, partnership, joint venture, trust, employee benefit plan or other enterprise for which the indemnitee has agreed, on behalf of the Corporation or at the Corporation’s request, to serve as a director, officer, employee or agent and which service is covered by the indemnity described herein) from whom an indemnitee may be entitled to indemnification or advancement of expenses with respect to which, in whole or in part, the Corporation may also have an indemnification or advancement obligation.</w:t>
      </w:r>
    </w:p>
    <w:p>
      <w:pPr>
        <w:spacing w:after="0" w:line="161" w:lineRule="exact"/>
        <w:rPr>
          <w:rFonts w:ascii="Arial" w:cs="Arial" w:eastAsia="Arial" w:hAnsi="Arial"/>
          <w:sz w:val="16"/>
          <w:szCs w:val="16"/>
          <w:color w:val="auto"/>
        </w:rPr>
      </w:pPr>
    </w:p>
    <w:p>
      <w:pPr>
        <w:ind w:right="400" w:firstLine="514"/>
        <w:spacing w:after="0" w:line="301" w:lineRule="auto"/>
        <w:tabs>
          <w:tab w:leader="none" w:pos="805"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jointly indemnifiable claims</w:t>
      </w:r>
      <w:r>
        <w:rPr>
          <w:rFonts w:ascii="Arial" w:cs="Arial" w:eastAsia="Arial" w:hAnsi="Arial"/>
          <w:sz w:val="16"/>
          <w:szCs w:val="16"/>
          <w:color w:val="auto"/>
        </w:rPr>
        <w:t>” shall be broadly construed and shall include, without limitation, any action, suit or proceeding for which the indemnitee shall be entitled to indemnification or advancement of expenses from both the indemnitee-related entities and the Corporation pursuant to Delaware law, any agreement or certificate of incorporation, bylaws, partnership agreement, operating agreement, certificate of formation, certificate of limited partnership or comparable organizational documents of the Corporation or the indemnitee-related entities, as applicable.</w:t>
      </w:r>
    </w:p>
    <w:p>
      <w:pPr>
        <w:spacing w:after="0" w:line="157" w:lineRule="exact"/>
        <w:rPr>
          <w:sz w:val="20"/>
          <w:szCs w:val="20"/>
          <w:color w:val="auto"/>
        </w:rPr>
      </w:pPr>
    </w:p>
    <w:p>
      <w:pPr>
        <w:ind w:firstLine="1011"/>
        <w:spacing w:after="0" w:line="270" w:lineRule="auto"/>
        <w:rPr>
          <w:sz w:val="20"/>
          <w:szCs w:val="20"/>
          <w:color w:val="auto"/>
        </w:rPr>
      </w:pPr>
      <w:r>
        <w:rPr>
          <w:rFonts w:ascii="Arial" w:cs="Arial" w:eastAsia="Arial" w:hAnsi="Arial"/>
          <w:sz w:val="17"/>
          <w:szCs w:val="17"/>
          <w:color w:val="auto"/>
        </w:rPr>
        <w:t xml:space="preserve">SECTION 7.05 </w:t>
      </w:r>
      <w:r>
        <w:rPr>
          <w:rFonts w:ascii="Arial" w:cs="Arial" w:eastAsia="Arial" w:hAnsi="Arial"/>
          <w:sz w:val="17"/>
          <w:szCs w:val="17"/>
          <w:u w:val="single" w:color="auto"/>
          <w:color w:val="auto"/>
        </w:rPr>
        <w:t>Corporate Obligations; Reliance</w:t>
      </w:r>
      <w:r>
        <w:rPr>
          <w:rFonts w:ascii="Arial" w:cs="Arial" w:eastAsia="Arial" w:hAnsi="Arial"/>
          <w:sz w:val="17"/>
          <w:szCs w:val="17"/>
          <w:color w:val="auto"/>
        </w:rPr>
        <w:t>. The rights granted pursuant to the provisions of this Article VII shall vest at the time a person becomes a director or officer of the Corporation and shall be deemed to create a binding contractual obligation on the part of the Corporation to the persons who from time to time are elected as officers or directors of the Corporation, and such persons in acting in their capacities as officers or directors of the Corporation or any subsidiary shall be conclusively presumed to have relied on the rights to indemnity, advancement of expenses and other rights contained in this Article VII in entering into or continuing the service without being required to give notice thereof to the Corporation. Such rights shall continue as to an indemnitee who has ceased to be a director or officer and shall inure to the benefit of the indemnitee’s heirs, executors and administrators. Any amendment, alteration or repeal of this Article VII that adversely affects any right of an indemnitee or its successors shall be prospective only and shall not limit, eliminate, or impair any such right with respect to any proceeding involving any occurrence or alleged occurrence of any action or omission to act that took place prior to such amendment or repeal.</w:t>
      </w:r>
    </w:p>
    <w:p>
      <w:pPr>
        <w:spacing w:after="0" w:line="181" w:lineRule="exact"/>
        <w:rPr>
          <w:sz w:val="20"/>
          <w:szCs w:val="20"/>
          <w:color w:val="auto"/>
        </w:rPr>
      </w:pPr>
    </w:p>
    <w:p>
      <w:pPr>
        <w:jc w:val="both"/>
        <w:ind w:right="300" w:firstLine="1011"/>
        <w:spacing w:after="0" w:line="286" w:lineRule="auto"/>
        <w:rPr>
          <w:sz w:val="20"/>
          <w:szCs w:val="20"/>
          <w:color w:val="auto"/>
        </w:rPr>
      </w:pPr>
      <w:r>
        <w:rPr>
          <w:rFonts w:ascii="Arial" w:cs="Arial" w:eastAsia="Arial" w:hAnsi="Arial"/>
          <w:sz w:val="17"/>
          <w:szCs w:val="17"/>
          <w:color w:val="auto"/>
        </w:rPr>
        <w:t xml:space="preserve">SECTION 7.06 </w:t>
      </w:r>
      <w:r>
        <w:rPr>
          <w:rFonts w:ascii="Arial" w:cs="Arial" w:eastAsia="Arial" w:hAnsi="Arial"/>
          <w:sz w:val="17"/>
          <w:szCs w:val="17"/>
          <w:u w:val="single" w:color="auto"/>
          <w:color w:val="auto"/>
        </w:rPr>
        <w:t>Insurance</w:t>
      </w:r>
      <w:r>
        <w:rPr>
          <w:rFonts w:ascii="Arial" w:cs="Arial" w:eastAsia="Arial" w:hAnsi="Arial"/>
          <w:sz w:val="17"/>
          <w:szCs w:val="17"/>
          <w:color w:val="auto"/>
        </w:rPr>
        <w:t>. The Corporation may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6" w:name="page87"/>
    <w:bookmarkEnd w:id="86"/>
    <w:p>
      <w:pPr>
        <w:ind w:right="260" w:firstLine="1011"/>
        <w:spacing w:after="0" w:line="259" w:lineRule="auto"/>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Indemnification of Employees and Agents of the Corporation</w:t>
      </w:r>
      <w:r>
        <w:rPr>
          <w:rFonts w:ascii="Arial" w:cs="Arial" w:eastAsia="Arial" w:hAnsi="Arial"/>
          <w:sz w:val="18"/>
          <w:szCs w:val="18"/>
          <w:color w:val="auto"/>
        </w:rPr>
        <w:t>. The Corporation may, to the extent authorized from time to time by the Board of Directors, grant rights to indemnification and to the advancement of expenses to any employee or agent of the Corporation to the fullest extent of the provisions of this Article VII with respect to the indemnification and advancement of expenses of directors and officers of the Corporation.</w:t>
      </w:r>
    </w:p>
    <w:p>
      <w:pPr>
        <w:spacing w:after="0" w:line="187" w:lineRule="exact"/>
        <w:rPr>
          <w:sz w:val="20"/>
          <w:szCs w:val="20"/>
          <w:color w:val="auto"/>
        </w:rPr>
      </w:pPr>
    </w:p>
    <w:p>
      <w:pPr>
        <w:ind w:right="360" w:firstLine="1011"/>
        <w:spacing w:after="0" w:line="257" w:lineRule="auto"/>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u w:val="single" w:color="auto"/>
          <w:color w:val="auto"/>
        </w:rPr>
        <w:t>Successful Defense.</w:t>
      </w:r>
      <w:r>
        <w:rPr>
          <w:rFonts w:ascii="Arial" w:cs="Arial" w:eastAsia="Arial" w:hAnsi="Arial"/>
          <w:sz w:val="18"/>
          <w:szCs w:val="18"/>
          <w:color w:val="auto"/>
        </w:rPr>
        <w:t xml:space="preserve"> In the event that any proceeding to which a indemnitee is a party is resolved in any manner other than by adverse judgment against the indemnitee (including, without limitation, settlement of such proceeding with or without payment of money or other consideration) it shall be presumed that the indemnitee has been successful on the merits or otherwise in such proceeding for purposes of Section 145(c) of the DGCL. Anyone seeking to overcome this presumption shall have the burden of proof and the burden of persuasion by clear and convincing evidence.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jc w:val="both"/>
        <w:ind w:right="280" w:firstLine="1011"/>
        <w:spacing w:after="0" w:line="263"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Electronic Transmission</w:t>
      </w:r>
      <w:r>
        <w:rPr>
          <w:rFonts w:ascii="Arial" w:cs="Arial" w:eastAsia="Arial" w:hAnsi="Arial"/>
          <w:sz w:val="18"/>
          <w:szCs w:val="18"/>
          <w:color w:val="auto"/>
        </w:rPr>
        <w:t>. For purposes of these Bylaws, “</w:t>
      </w:r>
      <w:r>
        <w:rPr>
          <w:rFonts w:ascii="Arial" w:cs="Arial" w:eastAsia="Arial" w:hAnsi="Arial"/>
          <w:sz w:val="18"/>
          <w:szCs w:val="18"/>
          <w:u w:val="single" w:color="auto"/>
          <w:color w:val="auto"/>
        </w:rPr>
        <w:t>electronic transmission</w:t>
      </w:r>
      <w:r>
        <w:rPr>
          <w:rFonts w:ascii="Arial" w:cs="Arial" w:eastAsia="Arial" w:hAnsi="Arial"/>
          <w:sz w:val="18"/>
          <w:szCs w:val="18"/>
          <w:color w:val="auto"/>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84" w:lineRule="exact"/>
        <w:rPr>
          <w:sz w:val="20"/>
          <w:szCs w:val="20"/>
          <w:color w:val="auto"/>
        </w:rPr>
      </w:pPr>
    </w:p>
    <w:p>
      <w:pPr>
        <w:jc w:val="both"/>
        <w:ind w:firstLine="1011"/>
        <w:spacing w:after="0" w:line="263"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Corporate Seal</w:t>
      </w:r>
      <w:r>
        <w:rPr>
          <w:rFonts w:ascii="Arial" w:cs="Arial" w:eastAsia="Arial" w:hAnsi="Arial"/>
          <w:sz w:val="18"/>
          <w:szCs w:val="18"/>
          <w:color w:val="auto"/>
        </w:rPr>
        <w:t>. The Board of Directors may provide a suitable seal, containing the name of the Corporation, which seal shall be in the charge of the Secretary. If and when so directed by the Board of Directors or a committee thereof, duplicates of the seal may be kept and used by the Treasurer or by an Assistant Secretary or Assistant Treasurer.</w:t>
      </w:r>
    </w:p>
    <w:p>
      <w:pPr>
        <w:spacing w:after="0" w:line="187" w:lineRule="exact"/>
        <w:rPr>
          <w:sz w:val="20"/>
          <w:szCs w:val="20"/>
          <w:color w:val="auto"/>
        </w:rPr>
      </w:pPr>
    </w:p>
    <w:p>
      <w:pPr>
        <w:ind w:right="960" w:firstLine="1011"/>
        <w:spacing w:after="0" w:line="214"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end on December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of each year, or such other day as the Board of Directors may designate.</w:t>
      </w:r>
    </w:p>
    <w:p>
      <w:pPr>
        <w:spacing w:after="0" w:line="203" w:lineRule="exact"/>
        <w:rPr>
          <w:sz w:val="20"/>
          <w:szCs w:val="20"/>
          <w:color w:val="auto"/>
        </w:rPr>
      </w:pPr>
    </w:p>
    <w:p>
      <w:pPr>
        <w:ind w:right="920" w:firstLine="1011"/>
        <w:spacing w:after="0" w:line="277"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Section Headings</w:t>
      </w:r>
      <w:r>
        <w:rPr>
          <w:rFonts w:ascii="Arial" w:cs="Arial" w:eastAsia="Arial" w:hAnsi="Arial"/>
          <w:sz w:val="18"/>
          <w:szCs w:val="18"/>
          <w:color w:val="auto"/>
        </w:rPr>
        <w:t>. Section headings in these Bylaws are for convenience of reference only and shall not be given any substantive effect in limiting or otherwise construing any provision herein.</w:t>
      </w:r>
    </w:p>
    <w:p>
      <w:pPr>
        <w:spacing w:after="0" w:line="170" w:lineRule="exact"/>
        <w:rPr>
          <w:sz w:val="20"/>
          <w:szCs w:val="20"/>
          <w:color w:val="auto"/>
        </w:rPr>
      </w:pPr>
    </w:p>
    <w:p>
      <w:pPr>
        <w:ind w:right="220" w:firstLine="1011"/>
        <w:spacing w:after="0" w:line="263" w:lineRule="auto"/>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Inconsistent Provisions</w:t>
      </w:r>
      <w:r>
        <w:rPr>
          <w:rFonts w:ascii="Arial" w:cs="Arial" w:eastAsia="Arial" w:hAnsi="Arial"/>
          <w:sz w:val="18"/>
          <w:szCs w:val="18"/>
          <w:color w:val="auto"/>
        </w:rPr>
        <w:t>. In the event that any provision of these Bylaws is or becomes inconsistent with any provision of the Certificate of Incorporation, the DGCL or any other applicable law, such provision of these Bylaws shall not be given any effect to the extent of such inconsistency but shall otherwise be given full force and effect.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7" w:name="page88"/>
    <w:bookmarkEnd w:id="87"/>
    <w:p>
      <w:pPr>
        <w:jc w:val="center"/>
        <w:ind w:right="-9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Amendments</w:t>
      </w:r>
    </w:p>
    <w:p>
      <w:pPr>
        <w:spacing w:after="0" w:line="229" w:lineRule="exact"/>
        <w:rPr>
          <w:sz w:val="20"/>
          <w:szCs w:val="20"/>
          <w:color w:val="auto"/>
        </w:rPr>
      </w:pPr>
    </w:p>
    <w:p>
      <w:pPr>
        <w:ind w:firstLine="1011"/>
        <w:spacing w:after="0" w:line="253"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Amendments</w:t>
      </w:r>
      <w:r>
        <w:rPr>
          <w:rFonts w:ascii="Arial" w:cs="Arial" w:eastAsia="Arial" w:hAnsi="Arial"/>
          <w:sz w:val="18"/>
          <w:szCs w:val="18"/>
          <w:color w:val="auto"/>
        </w:rPr>
        <w:t>. The Board of Directors is authorized to make, repeal, alter, amend and rescind, in whole or in part, these Bylaws without the assent or vote of the stockholders in any manner not inconsistent with the laws of the State of Delaware or the Certificate of Incorporation. Notwithstanding any other provisions of these Bylaws or any provision of law that might otherwise permit a lesser vote of the stockholders, at any time when the Principal Stockholders do not beneficially own, in the aggregate, at least a majority of the voting power of the stock of the Corporation entitled to vote generally in the election of directors, in addition to any vote of the holders of any class or series of capital stock of the Corporation required by the Certificate of Incorporation (including any certificate of designation relating to any series of Preferred Stock (as defined in the Certificate of Incorporation), these Bylaws or applicable law, the affirmative vote of the holders of at least 66⅔% in voting power of all the then-outstanding shares of stock of the Corporation entitled to vote thereon, voting together as a single class, shall be required in order for the stockholders of the Corporation to alter, amend, repeal or rescind, in whole or in part, any provision of these Bylaws (including, without limitation, this Section 9.01) or to adopt any provision inconsistent herewith.</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88" w:name="page89"/>
    <w:bookmarkEnd w:id="88"/>
    <w:tbl>
      <w:tblPr>
        <w:tblLayout w:type="fixed"/>
        <w:tblInd w:w="3900" w:type="dxa"/>
        <w:tblCellMar>
          <w:top w:w="0" w:type="dxa"/>
          <w:left w:w="0" w:type="dxa"/>
          <w:bottom w:w="0" w:type="dxa"/>
          <w:right w:w="0" w:type="dxa"/>
        </w:tblCellMar>
      </w:tblPr>
      <w:tr>
        <w:trPr>
          <w:trHeight w:val="234"/>
        </w:trPr>
        <w:tc>
          <w:tcPr>
            <w:tcW w:w="2960" w:type="dxa"/>
            <w:vAlign w:val="bottom"/>
          </w:tcPr>
          <w:p>
            <w:pPr>
              <w:jc w:val="center"/>
              <w:ind w:left="410"/>
              <w:spacing w:after="0"/>
              <w:rPr>
                <w:sz w:val="20"/>
                <w:szCs w:val="20"/>
                <w:color w:val="auto"/>
              </w:rPr>
            </w:pPr>
            <w:r>
              <w:rPr>
                <w:rFonts w:ascii="Arial" w:cs="Arial" w:eastAsia="Arial" w:hAnsi="Arial"/>
                <w:sz w:val="18"/>
                <w:szCs w:val="18"/>
                <w:b w:val="1"/>
                <w:bCs w:val="1"/>
                <w:color w:val="auto"/>
              </w:rPr>
              <w:t>EXHIBIT D</w:t>
            </w:r>
          </w:p>
        </w:tc>
        <w:tc>
          <w:tcPr>
            <w:tcW w:w="1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60" w:type="dxa"/>
            <w:vAlign w:val="bottom"/>
            <w:gridSpan w:val="2"/>
          </w:tcPr>
          <w:p>
            <w:pPr>
              <w:jc w:val="center"/>
              <w:ind w:right="710"/>
              <w:spacing w:after="0"/>
              <w:rPr>
                <w:sz w:val="20"/>
                <w:szCs w:val="20"/>
                <w:color w:val="auto"/>
              </w:rPr>
            </w:pPr>
            <w:r>
              <w:rPr>
                <w:rFonts w:ascii="Arial" w:cs="Arial" w:eastAsia="Arial" w:hAnsi="Arial"/>
                <w:sz w:val="18"/>
                <w:szCs w:val="18"/>
                <w:b w:val="1"/>
                <w:bCs w:val="1"/>
                <w:color w:val="auto"/>
                <w:w w:val="91"/>
              </w:rPr>
              <w:t>Capitalization of Topco following the Merger</w:t>
            </w:r>
          </w:p>
        </w:tc>
        <w:tc>
          <w:tcPr>
            <w:tcW w:w="1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960" w:type="dxa"/>
            <w:vAlign w:val="bottom"/>
          </w:tcPr>
          <w:p>
            <w:pPr>
              <w:jc w:val="center"/>
              <w:ind w:left="930"/>
              <w:spacing w:after="0"/>
              <w:rPr>
                <w:sz w:val="20"/>
                <w:szCs w:val="20"/>
                <w:color w:val="auto"/>
              </w:rPr>
            </w:pPr>
            <w:r>
              <w:rPr>
                <w:rFonts w:ascii="Arial" w:cs="Arial" w:eastAsia="Arial" w:hAnsi="Arial"/>
                <w:sz w:val="18"/>
                <w:szCs w:val="18"/>
                <w:b w:val="1"/>
                <w:bCs w:val="1"/>
                <w:color w:val="auto"/>
                <w:w w:val="91"/>
              </w:rPr>
              <w:t>Total Number of</w:t>
            </w:r>
          </w:p>
        </w:tc>
        <w:tc>
          <w:tcPr>
            <w:tcW w:w="1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60" w:type="dxa"/>
            <w:vAlign w:val="bottom"/>
          </w:tcPr>
          <w:p>
            <w:pPr>
              <w:jc w:val="center"/>
              <w:ind w:left="930"/>
              <w:spacing w:after="0"/>
              <w:rPr>
                <w:sz w:val="20"/>
                <w:szCs w:val="20"/>
                <w:color w:val="auto"/>
              </w:rPr>
            </w:pPr>
            <w:r>
              <w:rPr>
                <w:rFonts w:ascii="Arial" w:cs="Arial" w:eastAsia="Arial" w:hAnsi="Arial"/>
                <w:sz w:val="18"/>
                <w:szCs w:val="18"/>
                <w:b w:val="1"/>
                <w:bCs w:val="1"/>
                <w:color w:val="auto"/>
                <w:w w:val="86"/>
              </w:rPr>
              <w:t>Shares of Topco</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6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380" w:type="dxa"/>
            <w:vAlign w:val="bottom"/>
            <w:vMerge w:val="restart"/>
          </w:tcPr>
          <w:p>
            <w:pPr>
              <w:jc w:val="center"/>
              <w:ind w:left="1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180"/>
        </w:trPr>
        <w:tc>
          <w:tcPr>
            <w:tcW w:w="2960" w:type="dxa"/>
            <w:vAlign w:val="bottom"/>
          </w:tcPr>
          <w:p>
            <w:pPr>
              <w:jc w:val="center"/>
              <w:ind w:left="930"/>
              <w:spacing w:after="0" w:line="181" w:lineRule="exact"/>
              <w:rPr>
                <w:sz w:val="20"/>
                <w:szCs w:val="20"/>
                <w:color w:val="auto"/>
              </w:rPr>
            </w:pPr>
            <w:r>
              <w:rPr>
                <w:rFonts w:ascii="Arial" w:cs="Arial" w:eastAsia="Arial" w:hAnsi="Arial"/>
                <w:sz w:val="18"/>
                <w:szCs w:val="18"/>
                <w:b w:val="1"/>
                <w:bCs w:val="1"/>
                <w:color w:val="auto"/>
                <w:w w:val="92"/>
              </w:rPr>
              <w:t>following the Merger</w:t>
            </w:r>
          </w:p>
        </w:tc>
        <w:tc>
          <w:tcPr>
            <w:tcW w:w="130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7"/>
              </w:rPr>
              <w:t>Shares of</w:t>
            </w:r>
          </w:p>
        </w:tc>
        <w:tc>
          <w:tcPr>
            <w:tcW w:w="160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960" w:type="dxa"/>
            <w:vAlign w:val="bottom"/>
          </w:tcPr>
          <w:p>
            <w:pPr>
              <w:jc w:val="center"/>
              <w:ind w:left="910"/>
              <w:spacing w:after="0"/>
              <w:rPr>
                <w:sz w:val="20"/>
                <w:szCs w:val="20"/>
                <w:color w:val="auto"/>
              </w:rPr>
            </w:pPr>
            <w:r>
              <w:rPr>
                <w:rFonts w:ascii="Arial" w:cs="Arial" w:eastAsia="Arial" w:hAnsi="Arial"/>
                <w:sz w:val="18"/>
                <w:szCs w:val="18"/>
                <w:b w:val="1"/>
                <w:bCs w:val="1"/>
                <w:color w:val="auto"/>
                <w:w w:val="90"/>
              </w:rPr>
              <w:t>and immediately</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8"/>
              </w:rPr>
              <w:t>Topco</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6"/>
              </w:rPr>
              <w:t>Vested Shares of</w:t>
            </w:r>
          </w:p>
        </w:tc>
        <w:tc>
          <w:tcPr>
            <w:tcW w:w="1380" w:type="dxa"/>
            <w:vAlign w:val="bottom"/>
          </w:tcPr>
          <w:p>
            <w:pPr>
              <w:jc w:val="center"/>
              <w:ind w:left="10"/>
              <w:spacing w:after="0"/>
              <w:rPr>
                <w:sz w:val="20"/>
                <w:szCs w:val="20"/>
                <w:color w:val="auto"/>
              </w:rPr>
            </w:pPr>
            <w:r>
              <w:rPr>
                <w:rFonts w:ascii="Arial" w:cs="Arial" w:eastAsia="Arial" w:hAnsi="Arial"/>
                <w:sz w:val="18"/>
                <w:szCs w:val="18"/>
                <w:b w:val="1"/>
                <w:bCs w:val="1"/>
                <w:color w:val="auto"/>
                <w:w w:val="87"/>
              </w:rPr>
              <w:t>Unvested Shares</w:t>
            </w:r>
          </w:p>
        </w:tc>
        <w:tc>
          <w:tcPr>
            <w:tcW w:w="0" w:type="dxa"/>
            <w:vAlign w:val="bottom"/>
          </w:tcPr>
          <w:p>
            <w:pPr>
              <w:spacing w:after="0"/>
              <w:rPr>
                <w:sz w:val="1"/>
                <w:szCs w:val="1"/>
                <w:color w:val="auto"/>
              </w:rPr>
            </w:pPr>
          </w:p>
        </w:tc>
      </w:tr>
      <w:tr>
        <w:trPr>
          <w:trHeight w:val="216"/>
        </w:trPr>
        <w:tc>
          <w:tcPr>
            <w:tcW w:w="2960" w:type="dxa"/>
            <w:vAlign w:val="bottom"/>
          </w:tcPr>
          <w:p>
            <w:pPr>
              <w:jc w:val="center"/>
              <w:ind w:left="910"/>
              <w:spacing w:after="0"/>
              <w:rPr>
                <w:sz w:val="20"/>
                <w:szCs w:val="20"/>
                <w:color w:val="auto"/>
              </w:rPr>
            </w:pPr>
            <w:r>
              <w:rPr>
                <w:rFonts w:ascii="Arial" w:cs="Arial" w:eastAsia="Arial" w:hAnsi="Arial"/>
                <w:sz w:val="18"/>
                <w:szCs w:val="18"/>
                <w:b w:val="1"/>
                <w:bCs w:val="1"/>
                <w:color w:val="auto"/>
                <w:w w:val="92"/>
              </w:rPr>
              <w:t>following the IPO</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0"/>
              </w:rPr>
              <w:t>from Class A</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8"/>
              </w:rPr>
              <w:t>Topco from Class</w:t>
            </w:r>
          </w:p>
        </w:tc>
        <w:tc>
          <w:tcPr>
            <w:tcW w:w="138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of Topco from</w:t>
            </w:r>
          </w:p>
        </w:tc>
        <w:tc>
          <w:tcPr>
            <w:tcW w:w="0" w:type="dxa"/>
            <w:vAlign w:val="bottom"/>
          </w:tcPr>
          <w:p>
            <w:pPr>
              <w:spacing w:after="0"/>
              <w:rPr>
                <w:sz w:val="1"/>
                <w:szCs w:val="1"/>
                <w:color w:val="auto"/>
              </w:rPr>
            </w:pPr>
          </w:p>
        </w:tc>
      </w:tr>
      <w:tr>
        <w:trPr>
          <w:trHeight w:val="394"/>
        </w:trPr>
        <w:tc>
          <w:tcPr>
            <w:tcW w:w="2960" w:type="dxa"/>
            <w:vAlign w:val="bottom"/>
          </w:tcPr>
          <w:p>
            <w:pPr>
              <w:jc w:val="center"/>
              <w:ind w:left="930"/>
              <w:spacing w:after="0"/>
              <w:rPr>
                <w:sz w:val="20"/>
                <w:szCs w:val="20"/>
                <w:color w:val="auto"/>
              </w:rPr>
            </w:pPr>
            <w:r>
              <w:rPr>
                <w:rFonts w:ascii="Arial" w:cs="Arial" w:eastAsia="Arial" w:hAnsi="Arial"/>
                <w:sz w:val="18"/>
                <w:szCs w:val="18"/>
                <w:b w:val="1"/>
                <w:bCs w:val="1"/>
                <w:color w:val="auto"/>
                <w:w w:val="85"/>
              </w:rPr>
              <w:t>Topco</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8"/>
              </w:rPr>
              <w:t>Units</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6"/>
              </w:rPr>
              <w:t>B Units</w:t>
            </w:r>
            <w:r>
              <w:rPr>
                <w:rFonts w:ascii="Arial" w:cs="Arial" w:eastAsia="Arial" w:hAnsi="Arial"/>
                <w:sz w:val="29"/>
                <w:szCs w:val="29"/>
                <w:b w:val="1"/>
                <w:bCs w:val="1"/>
                <w:color w:val="auto"/>
                <w:w w:val="86"/>
                <w:vertAlign w:val="superscript"/>
              </w:rPr>
              <w:t>1</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6"/>
              </w:rPr>
              <w:t>Class B Units</w:t>
            </w:r>
            <w:r>
              <w:rPr>
                <w:rFonts w:ascii="Arial" w:cs="Arial" w:eastAsia="Arial" w:hAnsi="Arial"/>
                <w:sz w:val="29"/>
                <w:szCs w:val="29"/>
                <w:b w:val="1"/>
                <w:bCs w:val="1"/>
                <w:color w:val="auto"/>
                <w:w w:val="86"/>
                <w:vertAlign w:val="superscript"/>
              </w:rPr>
              <w:t>2</w:t>
            </w:r>
          </w:p>
        </w:tc>
        <w:tc>
          <w:tcPr>
            <w:tcW w:w="0" w:type="dxa"/>
            <w:vAlign w:val="bottom"/>
          </w:tcPr>
          <w:p>
            <w:pPr>
              <w:spacing w:after="0"/>
              <w:rPr>
                <w:sz w:val="1"/>
                <w:szCs w:val="1"/>
                <w:color w:val="auto"/>
              </w:rPr>
            </w:pPr>
          </w:p>
        </w:tc>
      </w:tr>
      <w:tr>
        <w:trPr>
          <w:trHeight w:val="308"/>
        </w:trPr>
        <w:tc>
          <w:tcPr>
            <w:tcW w:w="2960" w:type="dxa"/>
            <w:vAlign w:val="bottom"/>
          </w:tcPr>
          <w:p>
            <w:pPr>
              <w:jc w:val="center"/>
              <w:ind w:left="910"/>
              <w:spacing w:after="0"/>
              <w:rPr>
                <w:sz w:val="20"/>
                <w:szCs w:val="20"/>
                <w:color w:val="auto"/>
              </w:rPr>
            </w:pPr>
            <w:r>
              <w:rPr>
                <w:rFonts w:ascii="Arial" w:cs="Arial" w:eastAsia="Arial" w:hAnsi="Arial"/>
                <w:sz w:val="18"/>
                <w:szCs w:val="18"/>
                <w:b w:val="1"/>
                <w:bCs w:val="1"/>
                <w:i w:val="1"/>
                <w:iCs w:val="1"/>
                <w:color w:val="auto"/>
                <w:w w:val="92"/>
              </w:rPr>
              <w:t>(a) + (b) + (c)</w:t>
            </w:r>
          </w:p>
        </w:tc>
        <w:tc>
          <w:tcPr>
            <w:tcW w:w="130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0"/>
              </w:rPr>
              <w:t>(a)</w:t>
            </w:r>
          </w:p>
        </w:tc>
        <w:tc>
          <w:tcPr>
            <w:tcW w:w="160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6"/>
              </w:rPr>
              <w:t>(b)</w:t>
            </w:r>
          </w:p>
        </w:tc>
        <w:tc>
          <w:tcPr>
            <w:tcW w:w="1380" w:type="dxa"/>
            <w:vAlign w:val="bottom"/>
          </w:tcPr>
          <w:p>
            <w:pPr>
              <w:jc w:val="center"/>
              <w:ind w:left="10"/>
              <w:spacing w:after="0"/>
              <w:rPr>
                <w:sz w:val="20"/>
                <w:szCs w:val="20"/>
                <w:color w:val="auto"/>
              </w:rPr>
            </w:pPr>
            <w:r>
              <w:rPr>
                <w:rFonts w:ascii="Arial" w:cs="Arial" w:eastAsia="Arial" w:hAnsi="Arial"/>
                <w:sz w:val="18"/>
                <w:szCs w:val="18"/>
                <w:b w:val="1"/>
                <w:bCs w:val="1"/>
                <w:i w:val="1"/>
                <w:iCs w:val="1"/>
                <w:color w:val="auto"/>
                <w:w w:val="90"/>
              </w:rPr>
              <w:t>(c)</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911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80" w:firstLine="8"/>
        <w:spacing w:after="0" w:line="194" w:lineRule="auto"/>
        <w:tabs>
          <w:tab w:leader="none" w:pos="120" w:val="left"/>
        </w:tabs>
        <w:numPr>
          <w:ilvl w:val="0"/>
          <w:numId w:val="49"/>
        </w:numPr>
        <w:rPr>
          <w:rFonts w:ascii="Arial" w:cs="Arial" w:eastAsia="Arial" w:hAnsi="Arial"/>
          <w:sz w:val="30"/>
          <w:szCs w:val="30"/>
          <w:color w:val="auto"/>
          <w:vertAlign w:val="superscript"/>
        </w:rPr>
      </w:pPr>
      <w:r>
        <w:rPr>
          <w:rFonts w:ascii="Arial" w:cs="Arial" w:eastAsia="Arial" w:hAnsi="Arial"/>
          <w:sz w:val="18"/>
          <w:szCs w:val="18"/>
          <w:color w:val="auto"/>
        </w:rPr>
        <w:t>These Shares, corresponding to Class B Units in the Partnership, are awarded as of the Initial Public Offering, which occurs one day after the Merger occurs.</w:t>
      </w:r>
    </w:p>
    <w:p>
      <w:pPr>
        <w:spacing w:after="0" w:line="26" w:lineRule="exact"/>
        <w:rPr>
          <w:sz w:val="20"/>
          <w:szCs w:val="20"/>
          <w:color w:val="auto"/>
        </w:rPr>
      </w:pPr>
    </w:p>
    <w:p>
      <w:pPr>
        <w:ind w:right="280" w:firstLine="8"/>
        <w:spacing w:after="0" w:line="194" w:lineRule="auto"/>
        <w:tabs>
          <w:tab w:leader="none" w:pos="120" w:val="left"/>
        </w:tabs>
        <w:numPr>
          <w:ilvl w:val="0"/>
          <w:numId w:val="50"/>
        </w:numPr>
        <w:rPr>
          <w:rFonts w:ascii="Arial" w:cs="Arial" w:eastAsia="Arial" w:hAnsi="Arial"/>
          <w:sz w:val="30"/>
          <w:szCs w:val="30"/>
          <w:color w:val="auto"/>
          <w:vertAlign w:val="superscript"/>
        </w:rPr>
      </w:pPr>
      <w:r>
        <w:rPr>
          <w:rFonts w:ascii="Arial" w:cs="Arial" w:eastAsia="Arial" w:hAnsi="Arial"/>
          <w:sz w:val="18"/>
          <w:szCs w:val="18"/>
          <w:color w:val="auto"/>
        </w:rPr>
        <w:t>These Shares, corresponding to Class B Units in the Partnership, are awarded as of the Initial Public Offering, which occurs one day after the Merger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89" w:name="page90"/>
    <w:bookmarkEnd w:id="89"/>
    <w:tbl>
      <w:tblPr>
        <w:tblLayout w:type="fixed"/>
        <w:tblInd w:w="4940" w:type="dxa"/>
        <w:tblCellMar>
          <w:top w:w="0" w:type="dxa"/>
          <w:left w:w="0" w:type="dxa"/>
          <w:bottom w:w="0" w:type="dxa"/>
          <w:right w:w="0" w:type="dxa"/>
        </w:tblCellMar>
      </w:tblPr>
      <w:tr>
        <w:trPr>
          <w:trHeight w:val="216"/>
        </w:trPr>
        <w:tc>
          <w:tcPr>
            <w:tcW w:w="176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Total Number of</w:t>
            </w:r>
          </w:p>
        </w:tc>
        <w:tc>
          <w:tcPr>
            <w:tcW w:w="1140" w:type="dxa"/>
            <w:vAlign w:val="bottom"/>
          </w:tcPr>
          <w:p>
            <w:pPr>
              <w:spacing w:after="0"/>
              <w:rPr>
                <w:sz w:val="18"/>
                <w:szCs w:val="18"/>
                <w:color w:val="auto"/>
              </w:rPr>
            </w:pPr>
          </w:p>
        </w:tc>
      </w:tr>
      <w:tr>
        <w:trPr>
          <w:trHeight w:val="216"/>
        </w:trPr>
        <w:tc>
          <w:tcPr>
            <w:tcW w:w="176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Shares of Topco</w:t>
            </w:r>
          </w:p>
        </w:tc>
        <w:tc>
          <w:tcPr>
            <w:tcW w:w="114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17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following the Merger</w:t>
            </w:r>
          </w:p>
        </w:tc>
        <w:tc>
          <w:tcPr>
            <w:tcW w:w="1140" w:type="dxa"/>
            <w:vAlign w:val="bottom"/>
          </w:tcPr>
          <w:p>
            <w:pPr>
              <w:jc w:val="center"/>
              <w:ind w:left="50"/>
              <w:spacing w:after="0"/>
              <w:rPr>
                <w:sz w:val="20"/>
                <w:szCs w:val="20"/>
                <w:color w:val="auto"/>
              </w:rPr>
            </w:pPr>
            <w:r>
              <w:rPr>
                <w:rFonts w:ascii="Arial" w:cs="Arial" w:eastAsia="Arial" w:hAnsi="Arial"/>
                <w:sz w:val="18"/>
                <w:szCs w:val="18"/>
                <w:b w:val="1"/>
                <w:bCs w:val="1"/>
                <w:color w:val="auto"/>
                <w:w w:val="87"/>
              </w:rPr>
              <w:t>Shares of</w:t>
            </w:r>
          </w:p>
        </w:tc>
      </w:tr>
      <w:tr>
        <w:trPr>
          <w:trHeight w:val="216"/>
        </w:trPr>
        <w:tc>
          <w:tcPr>
            <w:tcW w:w="17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and immediately</w:t>
            </w:r>
          </w:p>
        </w:tc>
        <w:tc>
          <w:tcPr>
            <w:tcW w:w="1140" w:type="dxa"/>
            <w:vAlign w:val="bottom"/>
          </w:tcPr>
          <w:p>
            <w:pPr>
              <w:jc w:val="center"/>
              <w:ind w:left="70"/>
              <w:spacing w:after="0"/>
              <w:rPr>
                <w:sz w:val="20"/>
                <w:szCs w:val="20"/>
                <w:color w:val="auto"/>
              </w:rPr>
            </w:pPr>
            <w:r>
              <w:rPr>
                <w:rFonts w:ascii="Arial" w:cs="Arial" w:eastAsia="Arial" w:hAnsi="Arial"/>
                <w:sz w:val="18"/>
                <w:szCs w:val="18"/>
                <w:b w:val="1"/>
                <w:bCs w:val="1"/>
                <w:color w:val="auto"/>
                <w:w w:val="85"/>
              </w:rPr>
              <w:t>Topco</w:t>
            </w:r>
          </w:p>
        </w:tc>
      </w:tr>
      <w:tr>
        <w:trPr>
          <w:trHeight w:val="216"/>
        </w:trPr>
        <w:tc>
          <w:tcPr>
            <w:tcW w:w="176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following the IPO</w:t>
            </w:r>
          </w:p>
        </w:tc>
        <w:tc>
          <w:tcPr>
            <w:tcW w:w="114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from Class A</w:t>
            </w:r>
          </w:p>
        </w:tc>
      </w:tr>
      <w:tr>
        <w:trPr>
          <w:trHeight w:val="234"/>
        </w:trPr>
        <w:tc>
          <w:tcPr>
            <w:tcW w:w="176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Topco</w:t>
            </w:r>
          </w:p>
        </w:tc>
        <w:tc>
          <w:tcPr>
            <w:tcW w:w="1140" w:type="dxa"/>
            <w:vAlign w:val="bottom"/>
          </w:tcPr>
          <w:p>
            <w:pPr>
              <w:jc w:val="center"/>
              <w:ind w:left="70"/>
              <w:spacing w:after="0"/>
              <w:rPr>
                <w:sz w:val="20"/>
                <w:szCs w:val="20"/>
                <w:color w:val="auto"/>
              </w:rPr>
            </w:pPr>
            <w:r>
              <w:rPr>
                <w:rFonts w:ascii="Arial" w:cs="Arial" w:eastAsia="Arial" w:hAnsi="Arial"/>
                <w:sz w:val="18"/>
                <w:szCs w:val="18"/>
                <w:b w:val="1"/>
                <w:bCs w:val="1"/>
                <w:color w:val="auto"/>
                <w:w w:val="93"/>
              </w:rPr>
              <w:t>Units</w:t>
            </w:r>
          </w:p>
        </w:tc>
      </w:tr>
      <w:tr>
        <w:trPr>
          <w:trHeight w:val="432"/>
        </w:trPr>
        <w:tc>
          <w:tcPr>
            <w:tcW w:w="1760" w:type="dxa"/>
            <w:vAlign w:val="bottom"/>
          </w:tcPr>
          <w:p>
            <w:pPr>
              <w:jc w:val="center"/>
              <w:ind w:right="70"/>
              <w:spacing w:after="0"/>
              <w:rPr>
                <w:sz w:val="20"/>
                <w:szCs w:val="20"/>
                <w:color w:val="auto"/>
              </w:rPr>
            </w:pPr>
            <w:r>
              <w:rPr>
                <w:rFonts w:ascii="Arial" w:cs="Arial" w:eastAsia="Arial" w:hAnsi="Arial"/>
                <w:sz w:val="18"/>
                <w:szCs w:val="18"/>
                <w:b w:val="1"/>
                <w:bCs w:val="1"/>
                <w:i w:val="1"/>
                <w:iCs w:val="1"/>
                <w:color w:val="auto"/>
                <w:w w:val="92"/>
              </w:rPr>
              <w:t>(a) + (b) + (c)</w:t>
            </w:r>
          </w:p>
        </w:tc>
        <w:tc>
          <w:tcPr>
            <w:tcW w:w="1140" w:type="dxa"/>
            <w:vAlign w:val="bottom"/>
          </w:tcPr>
          <w:p>
            <w:pPr>
              <w:jc w:val="center"/>
              <w:ind w:left="70"/>
              <w:spacing w:after="0"/>
              <w:rPr>
                <w:sz w:val="20"/>
                <w:szCs w:val="20"/>
                <w:color w:val="auto"/>
              </w:rPr>
            </w:pPr>
            <w:r>
              <w:rPr>
                <w:rFonts w:ascii="Arial" w:cs="Arial" w:eastAsia="Arial" w:hAnsi="Arial"/>
                <w:sz w:val="18"/>
                <w:szCs w:val="18"/>
                <w:b w:val="1"/>
                <w:bCs w:val="1"/>
                <w:i w:val="1"/>
                <w:iCs w:val="1"/>
                <w:color w:val="auto"/>
                <w:w w:val="99"/>
              </w:rPr>
              <w:t>(a)</w:t>
            </w:r>
          </w:p>
        </w:tc>
      </w:tr>
    </w:tbl>
    <w:p>
      <w:pPr>
        <w:spacing w:after="0"/>
        <w:rPr>
          <w:sz w:val="20"/>
          <w:szCs w:val="20"/>
          <w:color w:val="auto"/>
        </w:rPr>
      </w:pPr>
      <w:r>
        <w:rPr>
          <w:rFonts w:ascii="Arial" w:cs="Arial" w:eastAsia="Arial" w:hAnsi="Arial"/>
          <w:sz w:val="18"/>
          <w:szCs w:val="18"/>
          <w:b w:val="1"/>
          <w:bCs w:val="1"/>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6231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Vested Shares of</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Topco from Class B</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7"/>
              </w:rPr>
              <w:t>Unvested Shares</w:t>
            </w:r>
          </w:p>
        </w:tc>
        <w:tc>
          <w:tcPr>
            <w:tcW w:w="0" w:type="dxa"/>
            <w:vAlign w:val="bottom"/>
          </w:tcPr>
          <w:p>
            <w:pPr>
              <w:spacing w:after="0"/>
              <w:rPr>
                <w:sz w:val="1"/>
                <w:szCs w:val="1"/>
                <w:color w:val="auto"/>
              </w:rPr>
            </w:pPr>
          </w:p>
        </w:tc>
      </w:tr>
      <w:tr>
        <w:trPr>
          <w:trHeight w:val="221"/>
        </w:trPr>
        <w:tc>
          <w:tcPr>
            <w:tcW w:w="1720" w:type="dxa"/>
            <w:vAlign w:val="bottom"/>
            <w:gridSpan w:val="2"/>
          </w:tcPr>
          <w:p>
            <w:pPr>
              <w:jc w:val="center"/>
              <w:ind w:right="200"/>
              <w:spacing w:after="0" w:line="221" w:lineRule="exact"/>
              <w:rPr>
                <w:sz w:val="20"/>
                <w:szCs w:val="20"/>
                <w:color w:val="auto"/>
              </w:rPr>
            </w:pPr>
            <w:r>
              <w:rPr>
                <w:rFonts w:ascii="Arial" w:cs="Arial" w:eastAsia="Arial" w:hAnsi="Arial"/>
                <w:sz w:val="16"/>
                <w:szCs w:val="16"/>
                <w:b w:val="1"/>
                <w:bCs w:val="1"/>
                <w:color w:val="auto"/>
                <w:w w:val="99"/>
              </w:rPr>
              <w:t>Units</w:t>
            </w:r>
            <w:r>
              <w:rPr>
                <w:rFonts w:ascii="Arial" w:cs="Arial" w:eastAsia="Arial" w:hAnsi="Arial"/>
                <w:sz w:val="25"/>
                <w:szCs w:val="25"/>
                <w:b w:val="1"/>
                <w:bCs w:val="1"/>
                <w:color w:val="auto"/>
                <w:w w:val="99"/>
                <w:vertAlign w:val="superscript"/>
              </w:rPr>
              <w:t>[1]</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9"/>
              </w:rPr>
              <w:t>of Topco from</w:t>
            </w:r>
          </w:p>
        </w:tc>
        <w:tc>
          <w:tcPr>
            <w:tcW w:w="0" w:type="dxa"/>
            <w:vAlign w:val="bottom"/>
          </w:tcPr>
          <w:p>
            <w:pPr>
              <w:spacing w:after="0"/>
              <w:rPr>
                <w:sz w:val="1"/>
                <w:szCs w:val="1"/>
                <w:color w:val="auto"/>
              </w:rPr>
            </w:pPr>
          </w:p>
        </w:tc>
      </w:tr>
      <w:tr>
        <w:trPr>
          <w:trHeight w:val="394"/>
        </w:trPr>
        <w:tc>
          <w:tcPr>
            <w:tcW w:w="172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i w:val="1"/>
                <w:iCs w:val="1"/>
                <w:color w:val="auto"/>
                <w:w w:val="86"/>
              </w:rPr>
              <w:t>(b)</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5"/>
              </w:rPr>
              <w:t>Class B Units</w:t>
            </w:r>
            <w:r>
              <w:rPr>
                <w:rFonts w:ascii="Arial" w:cs="Arial" w:eastAsia="Arial" w:hAnsi="Arial"/>
                <w:sz w:val="29"/>
                <w:szCs w:val="29"/>
                <w:b w:val="1"/>
                <w:bCs w:val="1"/>
                <w:color w:val="auto"/>
                <w:w w:val="85"/>
                <w:vertAlign w:val="superscript"/>
              </w:rPr>
              <w:t>[2]</w:t>
            </w:r>
          </w:p>
        </w:tc>
        <w:tc>
          <w:tcPr>
            <w:tcW w:w="0" w:type="dxa"/>
            <w:vAlign w:val="bottom"/>
          </w:tcPr>
          <w:p>
            <w:pPr>
              <w:spacing w:after="0"/>
              <w:rPr>
                <w:sz w:val="1"/>
                <w:szCs w:val="1"/>
                <w:color w:val="auto"/>
              </w:rPr>
            </w:pPr>
          </w:p>
        </w:tc>
      </w:tr>
      <w:tr>
        <w:trPr>
          <w:trHeight w:val="92"/>
        </w:trPr>
        <w:tc>
          <w:tcPr>
            <w:tcW w:w="1720" w:type="dxa"/>
            <w:vAlign w:val="bottom"/>
            <w:gridSpan w:val="2"/>
            <w:vMerge w:val="continue"/>
          </w:tcPr>
          <w:p>
            <w:pPr>
              <w:spacing w:after="0"/>
              <w:rPr>
                <w:sz w:val="7"/>
                <w:szCs w:val="7"/>
                <w:color w:val="auto"/>
              </w:rPr>
            </w:pPr>
          </w:p>
        </w:tc>
        <w:tc>
          <w:tcPr>
            <w:tcW w:w="1280" w:type="dxa"/>
            <w:vAlign w:val="bottom"/>
            <w:vMerge w:val="restart"/>
          </w:tcPr>
          <w:p>
            <w:pPr>
              <w:jc w:val="center"/>
              <w:spacing w:after="0"/>
              <w:rPr>
                <w:sz w:val="20"/>
                <w:szCs w:val="20"/>
                <w:color w:val="auto"/>
              </w:rPr>
            </w:pPr>
            <w:r>
              <w:rPr>
                <w:rFonts w:ascii="Arial" w:cs="Arial" w:eastAsia="Arial" w:hAnsi="Arial"/>
                <w:sz w:val="18"/>
                <w:szCs w:val="18"/>
                <w:b w:val="1"/>
                <w:bCs w:val="1"/>
                <w:i w:val="1"/>
                <w:iCs w:val="1"/>
                <w:color w:val="auto"/>
                <w:w w:val="90"/>
              </w:rPr>
              <w:t>(c)</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2">
            <w:col w:w="7840" w:space="300"/>
            <w:col w:w="3000"/>
          </w:cols>
          <w:pgMar w:left="320" w:top="931" w:right="439" w:bottom="1440" w:gutter="0" w:footer="0" w:header="0"/>
        </w:sectPr>
      </w:pPr>
    </w:p>
    <w:bookmarkStart w:id="90" w:name="page91"/>
    <w:bookmarkEnd w:id="90"/>
    <w:p>
      <w:pPr>
        <w:spacing w:after="0" w:line="1" w:lineRule="exact"/>
        <w:rPr>
          <w:sz w:val="20"/>
          <w:szCs w:val="20"/>
          <w:color w:val="auto"/>
        </w:rPr>
      </w:pPr>
    </w:p>
    <w:tbl>
      <w:tblPr>
        <w:tblLayout w:type="fixed"/>
        <w:tblInd w:w="4940" w:type="dxa"/>
        <w:tblCellMar>
          <w:top w:w="0" w:type="dxa"/>
          <w:left w:w="0" w:type="dxa"/>
          <w:bottom w:w="0" w:type="dxa"/>
          <w:right w:w="0" w:type="dxa"/>
        </w:tblCellMar>
      </w:tblPr>
      <w:tr>
        <w:trPr>
          <w:trHeight w:val="216"/>
        </w:trPr>
        <w:tc>
          <w:tcPr>
            <w:tcW w:w="176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Total Number of</w:t>
            </w:r>
          </w:p>
        </w:tc>
        <w:tc>
          <w:tcPr>
            <w:tcW w:w="1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Shares of Topco</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7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380" w:type="dxa"/>
            <w:vAlign w:val="bottom"/>
            <w:vMerge w:val="restart"/>
          </w:tcPr>
          <w:p>
            <w:pPr>
              <w:jc w:val="center"/>
              <w:ind w:left="1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180"/>
        </w:trPr>
        <w:tc>
          <w:tcPr>
            <w:tcW w:w="1760" w:type="dxa"/>
            <w:vAlign w:val="bottom"/>
          </w:tcPr>
          <w:p>
            <w:pPr>
              <w:jc w:val="center"/>
              <w:ind w:right="50"/>
              <w:spacing w:after="0" w:line="181" w:lineRule="exact"/>
              <w:rPr>
                <w:sz w:val="20"/>
                <w:szCs w:val="20"/>
                <w:color w:val="auto"/>
              </w:rPr>
            </w:pPr>
            <w:r>
              <w:rPr>
                <w:rFonts w:ascii="Arial" w:cs="Arial" w:eastAsia="Arial" w:hAnsi="Arial"/>
                <w:sz w:val="18"/>
                <w:szCs w:val="18"/>
                <w:b w:val="1"/>
                <w:bCs w:val="1"/>
                <w:color w:val="auto"/>
                <w:w w:val="92"/>
              </w:rPr>
              <w:t>following the Merger</w:t>
            </w:r>
          </w:p>
        </w:tc>
        <w:tc>
          <w:tcPr>
            <w:tcW w:w="130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7"/>
              </w:rPr>
              <w:t>Shares of</w:t>
            </w:r>
          </w:p>
        </w:tc>
        <w:tc>
          <w:tcPr>
            <w:tcW w:w="176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and immediately</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5"/>
              </w:rPr>
              <w:t>Topco</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6"/>
              </w:rPr>
              <w:t>Vested Shares of</w:t>
            </w:r>
          </w:p>
        </w:tc>
        <w:tc>
          <w:tcPr>
            <w:tcW w:w="1380" w:type="dxa"/>
            <w:vAlign w:val="bottom"/>
          </w:tcPr>
          <w:p>
            <w:pPr>
              <w:jc w:val="center"/>
              <w:ind w:left="10"/>
              <w:spacing w:after="0"/>
              <w:rPr>
                <w:sz w:val="20"/>
                <w:szCs w:val="20"/>
                <w:color w:val="auto"/>
              </w:rPr>
            </w:pPr>
            <w:r>
              <w:rPr>
                <w:rFonts w:ascii="Arial" w:cs="Arial" w:eastAsia="Arial" w:hAnsi="Arial"/>
                <w:sz w:val="18"/>
                <w:szCs w:val="18"/>
                <w:b w:val="1"/>
                <w:bCs w:val="1"/>
                <w:color w:val="auto"/>
                <w:w w:val="87"/>
              </w:rPr>
              <w:t>Unvested Shares</w:t>
            </w:r>
          </w:p>
        </w:tc>
        <w:tc>
          <w:tcPr>
            <w:tcW w:w="0" w:type="dxa"/>
            <w:vAlign w:val="bottom"/>
          </w:tcPr>
          <w:p>
            <w:pPr>
              <w:spacing w:after="0"/>
              <w:rPr>
                <w:sz w:val="1"/>
                <w:szCs w:val="1"/>
                <w:color w:val="auto"/>
              </w:rPr>
            </w:pPr>
          </w:p>
        </w:tc>
      </w:tr>
      <w:tr>
        <w:trPr>
          <w:trHeight w:val="216"/>
        </w:trPr>
        <w:tc>
          <w:tcPr>
            <w:tcW w:w="176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following the IPO</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0"/>
              </w:rPr>
              <w:t>from Class A</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9"/>
              </w:rPr>
              <w:t>Topco from Class B</w:t>
            </w:r>
          </w:p>
        </w:tc>
        <w:tc>
          <w:tcPr>
            <w:tcW w:w="138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of Topco from</w:t>
            </w:r>
          </w:p>
        </w:tc>
        <w:tc>
          <w:tcPr>
            <w:tcW w:w="0" w:type="dxa"/>
            <w:vAlign w:val="bottom"/>
          </w:tcPr>
          <w:p>
            <w:pPr>
              <w:spacing w:after="0"/>
              <w:rPr>
                <w:sz w:val="1"/>
                <w:szCs w:val="1"/>
                <w:color w:val="auto"/>
              </w:rPr>
            </w:pPr>
          </w:p>
        </w:tc>
      </w:tr>
      <w:tr>
        <w:trPr>
          <w:trHeight w:val="394"/>
        </w:trPr>
        <w:tc>
          <w:tcPr>
            <w:tcW w:w="176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Topco</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3"/>
              </w:rPr>
              <w:t>Units</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7"/>
              </w:rPr>
              <w:t>Units</w:t>
            </w:r>
            <w:r>
              <w:rPr>
                <w:rFonts w:ascii="Arial" w:cs="Arial" w:eastAsia="Arial" w:hAnsi="Arial"/>
                <w:sz w:val="29"/>
                <w:szCs w:val="29"/>
                <w:b w:val="1"/>
                <w:bCs w:val="1"/>
                <w:color w:val="auto"/>
                <w:w w:val="87"/>
                <w:vertAlign w:val="superscript"/>
              </w:rPr>
              <w:t>[1]</w:t>
            </w:r>
          </w:p>
        </w:tc>
        <w:tc>
          <w:tcPr>
            <w:tcW w:w="1380" w:type="dxa"/>
            <w:vAlign w:val="bottom"/>
          </w:tcPr>
          <w:p>
            <w:pPr>
              <w:jc w:val="center"/>
              <w:ind w:left="10"/>
              <w:spacing w:after="0"/>
              <w:rPr>
                <w:sz w:val="20"/>
                <w:szCs w:val="20"/>
                <w:color w:val="auto"/>
              </w:rPr>
            </w:pPr>
            <w:r>
              <w:rPr>
                <w:rFonts w:ascii="Arial" w:cs="Arial" w:eastAsia="Arial" w:hAnsi="Arial"/>
                <w:sz w:val="18"/>
                <w:szCs w:val="18"/>
                <w:b w:val="1"/>
                <w:bCs w:val="1"/>
                <w:color w:val="auto"/>
                <w:w w:val="85"/>
              </w:rPr>
              <w:t>Class B Units</w:t>
            </w:r>
            <w:r>
              <w:rPr>
                <w:rFonts w:ascii="Arial" w:cs="Arial" w:eastAsia="Arial" w:hAnsi="Arial"/>
                <w:sz w:val="29"/>
                <w:szCs w:val="29"/>
                <w:b w:val="1"/>
                <w:bCs w:val="1"/>
                <w:color w:val="auto"/>
                <w:w w:val="85"/>
                <w:vertAlign w:val="superscript"/>
              </w:rPr>
              <w:t>[2]</w:t>
            </w:r>
          </w:p>
        </w:tc>
        <w:tc>
          <w:tcPr>
            <w:tcW w:w="0" w:type="dxa"/>
            <w:vAlign w:val="bottom"/>
          </w:tcPr>
          <w:p>
            <w:pPr>
              <w:spacing w:after="0"/>
              <w:rPr>
                <w:sz w:val="1"/>
                <w:szCs w:val="1"/>
                <w:color w:val="auto"/>
              </w:rPr>
            </w:pPr>
          </w:p>
        </w:tc>
      </w:tr>
      <w:tr>
        <w:trPr>
          <w:trHeight w:val="308"/>
        </w:trPr>
        <w:tc>
          <w:tcPr>
            <w:tcW w:w="1760" w:type="dxa"/>
            <w:vAlign w:val="bottom"/>
          </w:tcPr>
          <w:p>
            <w:pPr>
              <w:jc w:val="center"/>
              <w:ind w:right="70"/>
              <w:spacing w:after="0"/>
              <w:rPr>
                <w:sz w:val="20"/>
                <w:szCs w:val="20"/>
                <w:color w:val="auto"/>
              </w:rPr>
            </w:pPr>
            <w:r>
              <w:rPr>
                <w:rFonts w:ascii="Arial" w:cs="Arial" w:eastAsia="Arial" w:hAnsi="Arial"/>
                <w:sz w:val="18"/>
                <w:szCs w:val="18"/>
                <w:b w:val="1"/>
                <w:bCs w:val="1"/>
                <w:i w:val="1"/>
                <w:iCs w:val="1"/>
                <w:color w:val="auto"/>
                <w:w w:val="92"/>
              </w:rPr>
              <w:t>(a) + (b) + (c)</w:t>
            </w:r>
          </w:p>
        </w:tc>
        <w:tc>
          <w:tcPr>
            <w:tcW w:w="130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9"/>
              </w:rPr>
              <w:t>(a)</w:t>
            </w:r>
          </w:p>
        </w:tc>
        <w:tc>
          <w:tcPr>
            <w:tcW w:w="176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6"/>
              </w:rPr>
              <w:t>(b)</w:t>
            </w:r>
          </w:p>
        </w:tc>
        <w:tc>
          <w:tcPr>
            <w:tcW w:w="1380" w:type="dxa"/>
            <w:vAlign w:val="bottom"/>
          </w:tcPr>
          <w:p>
            <w:pPr>
              <w:jc w:val="center"/>
              <w:ind w:left="10"/>
              <w:spacing w:after="0"/>
              <w:rPr>
                <w:sz w:val="20"/>
                <w:szCs w:val="20"/>
                <w:color w:val="auto"/>
              </w:rPr>
            </w:pPr>
            <w:r>
              <w:rPr>
                <w:rFonts w:ascii="Arial" w:cs="Arial" w:eastAsia="Arial" w:hAnsi="Arial"/>
                <w:sz w:val="18"/>
                <w:szCs w:val="18"/>
                <w:b w:val="1"/>
                <w:bCs w:val="1"/>
                <w:i w:val="1"/>
                <w:iCs w:val="1"/>
                <w:color w:val="auto"/>
                <w:w w:val="90"/>
              </w:rPr>
              <w:t>(c)</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91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31" w:right="439" w:bottom="1440" w:gutter="0" w:footer="0" w:header="0"/>
        </w:sectPr>
      </w:pPr>
    </w:p>
    <w:bookmarkStart w:id="91" w:name="page92"/>
    <w:bookmarkEnd w:id="91"/>
    <w:p>
      <w:pPr>
        <w:jc w:val="right"/>
        <w:spacing w:after="0"/>
        <w:rPr>
          <w:sz w:val="20"/>
          <w:szCs w:val="20"/>
          <w:color w:val="auto"/>
        </w:rPr>
      </w:pPr>
      <w:r>
        <w:rPr>
          <w:rFonts w:ascii="Arial" w:cs="Arial" w:eastAsia="Arial" w:hAnsi="Arial"/>
          <w:sz w:val="22"/>
          <w:szCs w:val="22"/>
          <w:b w:val="1"/>
          <w:bCs w:val="1"/>
          <w:color w:val="auto"/>
        </w:rPr>
        <w:t>Exhibit 3.1</w:t>
      </w:r>
    </w:p>
    <w:p>
      <w:pPr>
        <w:spacing w:after="0" w:line="2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SECOND AMENDED AND RESTATED CERTIFICATE OF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LATHAM GROUP,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ind w:left="5340"/>
        <w:spacing w:after="0"/>
        <w:rPr>
          <w:sz w:val="20"/>
          <w:szCs w:val="20"/>
          <w:color w:val="auto"/>
        </w:rPr>
      </w:pPr>
      <w:r>
        <w:rPr>
          <w:rFonts w:ascii="Arial" w:cs="Arial" w:eastAsia="Arial" w:hAnsi="Arial"/>
          <w:sz w:val="18"/>
          <w:szCs w:val="18"/>
          <w:b w:val="1"/>
          <w:bCs w:val="1"/>
          <w:u w:val="single" w:color="auto"/>
          <w:color w:val="auto"/>
        </w:rPr>
        <w:t>NAME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(the “</w:t>
      </w:r>
      <w:r>
        <w:rPr>
          <w:rFonts w:ascii="Arial" w:cs="Arial" w:eastAsia="Arial" w:hAnsi="Arial"/>
          <w:sz w:val="18"/>
          <w:szCs w:val="18"/>
          <w:u w:val="single" w:color="auto"/>
          <w:color w:val="auto"/>
        </w:rPr>
        <w:t>Corporation</w:t>
      </w:r>
      <w:r>
        <w:rPr>
          <w:rFonts w:ascii="Arial" w:cs="Arial" w:eastAsia="Arial" w:hAnsi="Arial"/>
          <w:sz w:val="18"/>
          <w:szCs w:val="18"/>
          <w:color w:val="auto"/>
        </w:rPr>
        <w:t>”) is Latham Group,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REGISTERED OFFICE AND AGENT</w:t>
      </w:r>
    </w:p>
    <w:p>
      <w:pPr>
        <w:spacing w:after="0" w:line="229"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The address of the registered office of the Corporation in the State of Delaware is Corporation Trust Center, 1209 Orange Street in the City of Wilmington, County of New Castle, 19801. The name of the registered agent of the Corporation in the State of Delaware at such address is The Corporation Trust Company.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PURPOSE</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CAPITAL STOCK</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total number of shares of all classes of stock that the Corporation shall have authority to issue is 1,000,000,000, which shall be divided into two classes as follows: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900,000,000 shares of common stock, par value $0.0001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and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100,000,000 shares of preferred stock, par value $0.0001 per share (“</w:t>
      </w: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2" w:name="page93"/>
    <w:bookmarkEnd w:id="92"/>
    <w:p>
      <w:pPr>
        <w:ind w:left="652" w:hanging="652"/>
        <w:spacing w:after="0"/>
        <w:tabs>
          <w:tab w:leader="none" w:pos="652"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w:t>
      </w:r>
    </w:p>
    <w:p>
      <w:pPr>
        <w:spacing w:after="0" w:line="229" w:lineRule="exact"/>
        <w:rPr>
          <w:rFonts w:ascii="Arial" w:cs="Arial" w:eastAsia="Arial" w:hAnsi="Arial"/>
          <w:sz w:val="18"/>
          <w:szCs w:val="18"/>
          <w:b w:val="1"/>
          <w:bCs w:val="1"/>
          <w:color w:val="auto"/>
        </w:rPr>
      </w:pPr>
    </w:p>
    <w:p>
      <w:pPr>
        <w:ind w:left="-8" w:right="20" w:firstLine="656"/>
        <w:spacing w:after="0" w:line="291" w:lineRule="auto"/>
        <w:tabs>
          <w:tab w:leader="none" w:pos="1355" w:val="left"/>
        </w:tabs>
        <w:numPr>
          <w:ilvl w:val="1"/>
          <w:numId w:val="51"/>
        </w:numPr>
        <w:rPr>
          <w:rFonts w:ascii="Arial" w:cs="Arial" w:eastAsia="Arial" w:hAnsi="Arial"/>
          <w:sz w:val="16"/>
          <w:szCs w:val="16"/>
          <w:color w:val="auto"/>
        </w:rPr>
      </w:pPr>
      <w:r>
        <w:rPr>
          <w:rFonts w:ascii="Arial" w:cs="Arial" w:eastAsia="Arial" w:hAnsi="Arial"/>
          <w:sz w:val="16"/>
          <w:szCs w:val="16"/>
          <w:color w:val="auto"/>
        </w:rPr>
        <w:t>Common Stock and Preferred Stock may be issued from time to time by the Corporation for such consideration as may be fixed by the Board of Directors of the Corporation (the “</w:t>
      </w:r>
      <w:r>
        <w:rPr>
          <w:rFonts w:ascii="Arial" w:cs="Arial" w:eastAsia="Arial" w:hAnsi="Arial"/>
          <w:sz w:val="16"/>
          <w:szCs w:val="16"/>
          <w:u w:val="single" w:color="auto"/>
          <w:color w:val="auto"/>
        </w:rPr>
        <w:t>Board of Directors</w:t>
      </w:r>
      <w:r>
        <w:rPr>
          <w:rFonts w:ascii="Arial" w:cs="Arial" w:eastAsia="Arial" w:hAnsi="Arial"/>
          <w:sz w:val="16"/>
          <w:szCs w:val="16"/>
          <w:color w:val="auto"/>
        </w:rPr>
        <w:t>”). The Board of Directors is hereby expressly authorized, by resolution or resolutions, to provide, out of the unissued shares of Preferred Stock, for one or more series of Preferred Stock and, with respect to each such series, to fix, without further stockholder approval, the designation of such series, the powers (including voting powers), preferences and relative, participating, optional and other special rights, and the qualifications, limitations or restrictions thereof, of such series of Preferred Stock and the number of shares of such series, and as may be permitted by the DGCL. The powers, preferences and relative, participating, optional and other special rights of, and the qualifications, limitations or restrictions thereof, of each series of Preferred Stock, if any, may differ from those of any and all other series at any time outstanding.</w:t>
      </w:r>
    </w:p>
    <w:p>
      <w:pPr>
        <w:spacing w:after="0" w:line="166" w:lineRule="exact"/>
        <w:rPr>
          <w:rFonts w:ascii="Arial" w:cs="Arial" w:eastAsia="Arial" w:hAnsi="Arial"/>
          <w:sz w:val="16"/>
          <w:szCs w:val="16"/>
          <w:color w:val="auto"/>
        </w:rPr>
      </w:pPr>
    </w:p>
    <w:p>
      <w:pPr>
        <w:ind w:left="-8" w:firstLine="656"/>
        <w:spacing w:after="0" w:line="254" w:lineRule="auto"/>
        <w:tabs>
          <w:tab w:leader="none" w:pos="1345" w:val="left"/>
        </w:tabs>
        <w:numPr>
          <w:ilvl w:val="1"/>
          <w:numId w:val="51"/>
        </w:numPr>
        <w:rPr>
          <w:rFonts w:ascii="Arial" w:cs="Arial" w:eastAsia="Arial" w:hAnsi="Arial"/>
          <w:sz w:val="18"/>
          <w:szCs w:val="18"/>
          <w:color w:val="auto"/>
        </w:rPr>
      </w:pPr>
      <w:r>
        <w:rPr>
          <w:rFonts w:ascii="Arial" w:cs="Arial" w:eastAsia="Arial" w:hAnsi="Arial"/>
          <w:sz w:val="18"/>
          <w:szCs w:val="18"/>
          <w:color w:val="auto"/>
        </w:rPr>
        <w:t>Each holder of record of Common Stock, as such, shall have one vote for each share of Common Stock which is outstanding in his, her or its name on the books of the Corporation on all matters on which stockholders are entitled to vote generally. Except as otherwise required by law, holders of Common Stock shall not be entitled to vote on any amendment to this Second Amended and Restated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this Second Amended and Restated Certificate of Incorporation (including any certificate of designation relating to any series of Preferred Stock) or pursuant to the DGCL.</w:t>
      </w:r>
    </w:p>
    <w:p>
      <w:pPr>
        <w:spacing w:after="0" w:line="194" w:lineRule="exact"/>
        <w:rPr>
          <w:rFonts w:ascii="Arial" w:cs="Arial" w:eastAsia="Arial" w:hAnsi="Arial"/>
          <w:sz w:val="18"/>
          <w:szCs w:val="18"/>
          <w:color w:val="auto"/>
        </w:rPr>
      </w:pPr>
    </w:p>
    <w:p>
      <w:pPr>
        <w:ind w:left="-8" w:right="160" w:firstLine="656"/>
        <w:spacing w:after="0" w:line="263" w:lineRule="auto"/>
        <w:tabs>
          <w:tab w:leader="none" w:pos="1345" w:val="left"/>
        </w:tabs>
        <w:numPr>
          <w:ilvl w:val="1"/>
          <w:numId w:val="51"/>
        </w:numPr>
        <w:rPr>
          <w:rFonts w:ascii="Arial" w:cs="Arial" w:eastAsia="Arial" w:hAnsi="Arial"/>
          <w:sz w:val="18"/>
          <w:szCs w:val="18"/>
          <w:color w:val="auto"/>
        </w:rPr>
      </w:pPr>
      <w:r>
        <w:rPr>
          <w:rFonts w:ascii="Arial" w:cs="Arial" w:eastAsia="Arial" w:hAnsi="Arial"/>
          <w:sz w:val="18"/>
          <w:szCs w:val="18"/>
          <w:color w:val="auto"/>
        </w:rPr>
        <w:t>Except as otherwise required by law, holders of any series of Preferred Stock shall be entitled to only such voting rights, if any, as shall expressly be granted thereto by this Second Amended and Restated Certificate of Incorporation (including any certificate of designation relating to such series of Preferred Stock).</w:t>
      </w:r>
    </w:p>
    <w:p>
      <w:pPr>
        <w:spacing w:after="0" w:line="183" w:lineRule="exact"/>
        <w:rPr>
          <w:rFonts w:ascii="Arial" w:cs="Arial" w:eastAsia="Arial" w:hAnsi="Arial"/>
          <w:sz w:val="18"/>
          <w:szCs w:val="18"/>
          <w:color w:val="auto"/>
        </w:rPr>
      </w:pPr>
    </w:p>
    <w:p>
      <w:pPr>
        <w:ind w:left="-8" w:right="100" w:firstLine="656"/>
        <w:spacing w:after="0" w:line="259" w:lineRule="auto"/>
        <w:tabs>
          <w:tab w:leader="none" w:pos="1355" w:val="left"/>
        </w:tabs>
        <w:numPr>
          <w:ilvl w:val="1"/>
          <w:numId w:val="51"/>
        </w:numPr>
        <w:rPr>
          <w:rFonts w:ascii="Arial" w:cs="Arial" w:eastAsia="Arial" w:hAnsi="Arial"/>
          <w:sz w:val="18"/>
          <w:szCs w:val="18"/>
          <w:color w:val="auto"/>
        </w:rPr>
      </w:pPr>
      <w:r>
        <w:rPr>
          <w:rFonts w:ascii="Arial" w:cs="Arial" w:eastAsia="Arial" w:hAnsi="Arial"/>
          <w:sz w:val="18"/>
          <w:szCs w:val="18"/>
          <w:color w:val="auto"/>
        </w:rPr>
        <w:t>Subject to applicable law and the rights, if any, of the holders of any outstanding series of Preferred Stock or any class or series of stock having a preference over or the right to participate with the Common Stock with respect to the payment of dividends, dividends may be declared and paid ratably on the Common Stock out of the assets of the Corporation which are legally available for this purpose at such times and in such amounts as the Board of Directors in its discretion shall determine.</w:t>
      </w:r>
    </w:p>
    <w:p>
      <w:pPr>
        <w:spacing w:after="0" w:line="186" w:lineRule="exact"/>
        <w:rPr>
          <w:rFonts w:ascii="Arial" w:cs="Arial" w:eastAsia="Arial" w:hAnsi="Arial"/>
          <w:sz w:val="18"/>
          <w:szCs w:val="18"/>
          <w:color w:val="auto"/>
        </w:rPr>
      </w:pPr>
    </w:p>
    <w:p>
      <w:pPr>
        <w:ind w:left="-8" w:right="80" w:firstLine="656"/>
        <w:spacing w:after="0" w:line="257" w:lineRule="auto"/>
        <w:tabs>
          <w:tab w:leader="none" w:pos="1335" w:val="left"/>
        </w:tabs>
        <w:numPr>
          <w:ilvl w:val="1"/>
          <w:numId w:val="51"/>
        </w:numPr>
        <w:rPr>
          <w:rFonts w:ascii="Arial" w:cs="Arial" w:eastAsia="Arial" w:hAnsi="Arial"/>
          <w:sz w:val="18"/>
          <w:szCs w:val="18"/>
          <w:color w:val="auto"/>
        </w:rPr>
      </w:pPr>
      <w:r>
        <w:rPr>
          <w:rFonts w:ascii="Arial" w:cs="Arial" w:eastAsia="Arial" w:hAnsi="Arial"/>
          <w:sz w:val="18"/>
          <w:szCs w:val="18"/>
          <w:color w:val="auto"/>
        </w:rPr>
        <w:t>Upon the dissolution, liquidation or winding up of the Corporation, after payment or provision for payment of the debts and other liabilities of the Corporation and subject to the rights, if any, of the holders of any outstanding series of Preferred Stock or any class or series of stock having a preference over or the right to participate with the Common Stock with respect to the distribution of assets of the Corporation upon such dissolution, liquidation or winding up of the Corporation, the holders of Common Stock shall be entitled to receive the remaining assets of the Corporation available for distribution to its stockholders ratably in proportion to the number of shares held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419735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93" w:name="page94"/>
    <w:bookmarkEnd w:id="93"/>
    <w:p>
      <w:pPr>
        <w:ind w:left="-20" w:right="80" w:firstLine="656"/>
        <w:spacing w:after="0" w:line="275" w:lineRule="auto"/>
        <w:tabs>
          <w:tab w:leader="none" w:pos="1298"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number of authorized shares of Preferred Stock or Common Stock may be increased or decreased (but not below the number of shares thereof then outstanding) by the affirmative vote of the holders of a majority in voting power of the stock of the Corporation entitled to vote thereon irrespective of the provisions of Section 242(b)(2) of the DGCL (or any successor provision thereto), and no vote of the holders of any of the Common Stock or the Preferred Stock voting separately as a class shall be required therefor, unless a vote of any such holder is required pursuant to this Second Amended and Restated Certificate of Incorporation (including any certificate of designation relating to any series of Preferred Stock).</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OF THE CERTIFICATE OF INCORPORATION AND BYLAWS</w:t>
      </w:r>
    </w:p>
    <w:p>
      <w:pPr>
        <w:spacing w:after="0" w:line="229" w:lineRule="exact"/>
        <w:rPr>
          <w:sz w:val="20"/>
          <w:szCs w:val="20"/>
          <w:color w:val="auto"/>
        </w:rPr>
      </w:pPr>
    </w:p>
    <w:p>
      <w:pPr>
        <w:ind w:left="-20" w:firstLine="656"/>
        <w:spacing w:after="0" w:line="269" w:lineRule="auto"/>
        <w:tabs>
          <w:tab w:leader="none" w:pos="1343" w:val="left"/>
        </w:tabs>
        <w:numPr>
          <w:ilvl w:val="0"/>
          <w:numId w:val="53"/>
        </w:numPr>
        <w:rPr>
          <w:rFonts w:ascii="Arial" w:cs="Arial" w:eastAsia="Arial" w:hAnsi="Arial"/>
          <w:sz w:val="17"/>
          <w:szCs w:val="17"/>
          <w:color w:val="auto"/>
        </w:rPr>
      </w:pPr>
      <w:r>
        <w:rPr>
          <w:rFonts w:ascii="Arial" w:cs="Arial" w:eastAsia="Arial" w:hAnsi="Arial"/>
          <w:sz w:val="17"/>
          <w:szCs w:val="17"/>
          <w:color w:val="auto"/>
        </w:rPr>
        <w:t>Notwithstanding anything contained in this Second Amended and Restated Certificate of Incorporation to the contrary, at any time when the Principal Stockholders (as defined in the Stockholders Agreement, dated as of April 27, 2021, by and among the Corporation and the Principal Stockholders (as the same may be amended, supplemented, restated or otherwise modified from time to time, the “</w:t>
      </w:r>
      <w:r>
        <w:rPr>
          <w:rFonts w:ascii="Arial" w:cs="Arial" w:eastAsia="Arial" w:hAnsi="Arial"/>
          <w:sz w:val="17"/>
          <w:szCs w:val="17"/>
          <w:u w:val="single" w:color="auto"/>
          <w:color w:val="auto"/>
        </w:rPr>
        <w:t>Stockholders Agreement</w:t>
      </w:r>
      <w:r>
        <w:rPr>
          <w:rFonts w:ascii="Arial" w:cs="Arial" w:eastAsia="Arial" w:hAnsi="Arial"/>
          <w:sz w:val="17"/>
          <w:szCs w:val="17"/>
          <w:color w:val="auto"/>
        </w:rPr>
        <w:t>”)) do not beneficially own, in the aggregate, at least a majority of the voting power of the stock of the Corporation entitled to vote generally in the election of directors, in addition to any vote required by applicable law, the following provisions in this Second Amended and Restated Certificate of Incorporation may be amended, altered, repealed or rescinded, in whole or in part, or any provision inconsistent therewith or herewith may be adopted, only by the affirmative vote of the holders of at least 66⅔% in voting power of all the then-outstanding shares of stock of the Corporation entitled to vote thereon, voting together as a single class: this Article V, Article VI, Article VII, Article VIII, Article IX and Article X. For the purposes of this Second Amended and Restated Certificate of Incorporation, beneficial ownership of shares shall be determined in accordance with Rule 13d-3 promulgated under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w:t>
      </w:r>
    </w:p>
    <w:p>
      <w:pPr>
        <w:spacing w:after="0" w:line="185" w:lineRule="exact"/>
        <w:rPr>
          <w:rFonts w:ascii="Arial" w:cs="Arial" w:eastAsia="Arial" w:hAnsi="Arial"/>
          <w:sz w:val="17"/>
          <w:szCs w:val="17"/>
          <w:color w:val="auto"/>
        </w:rPr>
      </w:pPr>
    </w:p>
    <w:p>
      <w:pPr>
        <w:ind w:left="-20" w:right="20" w:firstLine="656"/>
        <w:spacing w:after="0" w:line="269" w:lineRule="auto"/>
        <w:tabs>
          <w:tab w:leader="none" w:pos="1333"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Board of Directors is expressly authorized to make, repeal, alter, amend and rescind, in whole or in part, the bylaws of the Corporation (as in effect from time to time, the “</w:t>
      </w:r>
      <w:r>
        <w:rPr>
          <w:rFonts w:ascii="Arial" w:cs="Arial" w:eastAsia="Arial" w:hAnsi="Arial"/>
          <w:sz w:val="17"/>
          <w:szCs w:val="17"/>
          <w:u w:val="single" w:color="auto"/>
          <w:color w:val="auto"/>
        </w:rPr>
        <w:t>Bylaws</w:t>
      </w:r>
      <w:r>
        <w:rPr>
          <w:rFonts w:ascii="Arial" w:cs="Arial" w:eastAsia="Arial" w:hAnsi="Arial"/>
          <w:sz w:val="17"/>
          <w:szCs w:val="17"/>
          <w:color w:val="auto"/>
        </w:rPr>
        <w:t>”) without the assent or vote of the stockholders in any manner not inconsistent with the laws of the State of Delaware or this Second Amended and Restated Certificate of Incorporation. Notwithstanding anything to the contrary contained in this Second Amended and Restated Certificate of Incorporation or any provision of law which might otherwise permit a lesser vote of the stockholders, at any time when the Principal Stockholders do not beneficially own, in the aggregate, at least a majority of the voting power of the stock of the Corporation entitled to vote generally in the election of directors, in addition to any vote of the holders of any class or series of capital stock of the Corporation required herein (including any certificate of designation relating to any series of Preferred Stock), the Bylaws or applicable law, the affirmative vote of the holders of at least 66⅔% in voting power of all the then-outstanding shares of stock of the Corporation entitled to vote thereon, voting together as a single class, shall be required in order for the stockholders of the Corporation to alter, amend, repeal or rescind, in whole or in part, any provision of the Bylaws or to adopt any provision inconsistent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417830</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BOARD OF DIRECTORS</w:t>
      </w:r>
    </w:p>
    <w:p>
      <w:pPr>
        <w:spacing w:after="0" w:line="229" w:lineRule="exact"/>
        <w:rPr>
          <w:sz w:val="20"/>
          <w:szCs w:val="20"/>
          <w:color w:val="auto"/>
        </w:rPr>
      </w:pPr>
    </w:p>
    <w:p>
      <w:pPr>
        <w:ind w:left="-40" w:firstLine="656"/>
        <w:spacing w:after="0" w:line="285" w:lineRule="auto"/>
        <w:tabs>
          <w:tab w:leader="none" w:pos="1323" w:val="left"/>
        </w:tabs>
        <w:numPr>
          <w:ilvl w:val="0"/>
          <w:numId w:val="54"/>
        </w:numPr>
        <w:rPr>
          <w:rFonts w:ascii="Arial" w:cs="Arial" w:eastAsia="Arial" w:hAnsi="Arial"/>
          <w:sz w:val="16"/>
          <w:szCs w:val="16"/>
          <w:color w:val="auto"/>
        </w:rPr>
      </w:pPr>
      <w:r>
        <w:rPr>
          <w:rFonts w:ascii="Arial" w:cs="Arial" w:eastAsia="Arial" w:hAnsi="Arial"/>
          <w:sz w:val="16"/>
          <w:szCs w:val="16"/>
          <w:color w:val="auto"/>
        </w:rPr>
        <w:t>Except as otherwise provided in this Second Amended and Restated Certificate of Incorporation or the DGCL, the business and affairs of the Corporation shall be managed by or under the direction of the Board of Directors. Except as otherwise provided for or fixed pursuant to the provisions of Article IV (including any certificate of designation with respect to any series of Preferred Stock) and this Article VI relating to the rights of the holders of any series of Preferred Stock to elect additional directors, the total number of directors shall be determined from time to time exclusively by resolution adopted by the Board of Directors. The directors (other than those directors elected by the holders of any series of Preferred Stock, voting separately as a series or together with one or more other such series, as the case may be) shall be divided into three classes designated Class I, Class II and Class III. Each class shall consist, as nearly as possible, of one-third of the total number of such directors. Class I directors shall initially serve for a term expiring at the first annual meeting of stockholders following the date the Common Stock is first publicly traded (the “</w:t>
      </w:r>
      <w:r>
        <w:rPr>
          <w:rFonts w:ascii="Arial" w:cs="Arial" w:eastAsia="Arial" w:hAnsi="Arial"/>
          <w:sz w:val="16"/>
          <w:szCs w:val="16"/>
          <w:u w:val="single" w:color="auto"/>
          <w:color w:val="auto"/>
        </w:rPr>
        <w:t>IPO Date</w:t>
      </w:r>
      <w:r>
        <w:rPr>
          <w:rFonts w:ascii="Arial" w:cs="Arial" w:eastAsia="Arial" w:hAnsi="Arial"/>
          <w:sz w:val="16"/>
          <w:szCs w:val="16"/>
          <w:color w:val="auto"/>
        </w:rPr>
        <w:t>”), Class II directors shall initially serve for a term expiring at the second annual meeting of stockholders following the IPO Date and Class III directors shall initially serve for a term expiring at the third annual meeting of stockholders following the IPO Date. At each succeeding annual meeting, successors to the class of directors whose term expires at that annual meeting shall be elected for a term expiring at the third succeeding annual meeting of stockholders. If the number of such directors is changed, any increase or decrease shall be apportioned among the classes so as to maintain the number of directors in each class as nearly equal as possible, and any such additional director of any class elected to fill a newly created directorship resulting from an increase in such class shall hold office for a term that shall coincide with the remaining term of that class, but in no case shall a decrease in the number of directors remove or shorten the term of any incumbent director. Subject to the terms of the Stockholders Agreement, any such director shall hold office until the annual meeting at which his or her term expires and until his or her successor shall be elected and qualified, or his or her death, resignation, retirement, disqualification or removal from office. The Board of Directors is authorized to assign members of the Board of Directors to their respective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410845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60" w:top="904" w:right="359" w:bottom="1440" w:gutter="0" w:footer="0" w:header="0"/>
        </w:sectPr>
      </w:pPr>
    </w:p>
    <w:bookmarkStart w:id="95" w:name="page96"/>
    <w:bookmarkEnd w:id="95"/>
    <w:p>
      <w:pPr>
        <w:ind w:left="-656" w:firstLine="656"/>
        <w:spacing w:after="0" w:line="268" w:lineRule="auto"/>
        <w:tabs>
          <w:tab w:leader="none" w:pos="697"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Subject to the rights granted to the holders of any one or more series of Preferred Stock then outstanding or the rights granted to the Principal Stockholders pursuant to the Stockholders Agreement, any newly-created directorship on the Board of Directors that results from an increase in the number of directors and any vacancy occurring in the Board of Directors (whether by death, resignation, retirement, disqualification, removal or other cause) shall be filled by a majority of the directors then in office, although less than a quorum, by a sole remaining director or by the stockholders by the affirmative vote of a majority in voting power of all outstanding shares of stock of the Corporation entitled to vote thereon, voting as a single class;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subject to the rights granted to the holders of any one or more series of Preferred Stock then outstanding and the rights granted to the Principal Stockholders pursuant to the Stockholders Agreement, at any time when the Principal Stockholders do not beneficially own, in the aggregate, at least a majority of the voting power of the stock of the Corporation entitled to vote generally in the election of directors, any newly-created directorship on the Board of Directors that results from an increase in the number of directors and any vacancy occurring in the Board of Directors shall, unless otherwise required by law or by resolution of the Board of Directors, be filled only by a majority of the directors then in office, although less than a quorum, or by a sole remaining director (and not by the stockholders). Any director elected to fill a vacancy or newly created directorship shall hold office until the next election of the class for which such director shall have been chosen and until his or her successor shall be elected and qualified, or until his or her earlier death, resignation, retirement, disqualification or removal.</w:t>
      </w:r>
    </w:p>
    <w:p>
      <w:pPr>
        <w:spacing w:after="0" w:line="186" w:lineRule="exact"/>
        <w:rPr>
          <w:rFonts w:ascii="Arial" w:cs="Arial" w:eastAsia="Arial" w:hAnsi="Arial"/>
          <w:sz w:val="17"/>
          <w:szCs w:val="17"/>
          <w:color w:val="auto"/>
        </w:rPr>
      </w:pPr>
    </w:p>
    <w:p>
      <w:pPr>
        <w:ind w:left="-656" w:firstLine="656"/>
        <w:spacing w:after="0" w:line="291" w:lineRule="auto"/>
        <w:tabs>
          <w:tab w:leader="none" w:pos="697"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Subject to rights granted to the Principal Stockholders under the Stockholders Agreement, any or all of the directors (other than the directors elected by the holders of any series of Preferred Stock of the Corporation, voting separately as a series or together with one or more other such series, as the case may be) may be removed at any time either with or without cause by the affirmative vote of a majority in voting power of all outstanding shares of stock of the Corporation entitled to vote thereon, voting as a single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at any time when the Principal Stockholders do not beneficially own, in the aggregate, at least a majority of the voting power of the stock of the Corporation entitled to vote generally in the election of directors, any such director or all such directors may be removed only for cause and only by the affirmative vote of the holders of at least 66⅔% in voting power of all the then-outstanding shares of stock of the Corporation entitled to vote thereon, voting together as a single class.</w:t>
      </w:r>
    </w:p>
    <w:p>
      <w:pPr>
        <w:spacing w:after="0" w:line="166" w:lineRule="exact"/>
        <w:rPr>
          <w:rFonts w:ascii="Arial" w:cs="Arial" w:eastAsia="Arial" w:hAnsi="Arial"/>
          <w:sz w:val="16"/>
          <w:szCs w:val="16"/>
          <w:color w:val="auto"/>
        </w:rPr>
      </w:pPr>
    </w:p>
    <w:p>
      <w:pPr>
        <w:ind w:left="724" w:hanging="724"/>
        <w:spacing w:after="0"/>
        <w:tabs>
          <w:tab w:leader="none" w:pos="724" w:val="left"/>
        </w:tabs>
        <w:numPr>
          <w:ilvl w:val="0"/>
          <w:numId w:val="55"/>
        </w:numPr>
        <w:rPr>
          <w:rFonts w:ascii="Arial" w:cs="Arial" w:eastAsia="Arial" w:hAnsi="Arial"/>
          <w:sz w:val="18"/>
          <w:szCs w:val="18"/>
          <w:color w:val="auto"/>
        </w:rPr>
      </w:pPr>
      <w:r>
        <w:rPr>
          <w:rFonts w:ascii="Arial" w:cs="Arial" w:eastAsia="Arial" w:hAnsi="Arial"/>
          <w:sz w:val="18"/>
          <w:szCs w:val="18"/>
          <w:color w:val="auto"/>
        </w:rPr>
        <w:t>Elections of directors need not be by written ballot unless the Bylaws shall so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443230</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4"/>
          </w:cols>
          <w:pgMar w:left="976" w:top="908" w:right="379" w:bottom="1440" w:gutter="0" w:footer="0" w:header="0"/>
        </w:sectPr>
      </w:pPr>
    </w:p>
    <w:bookmarkStart w:id="96" w:name="page97"/>
    <w:bookmarkEnd w:id="96"/>
    <w:p>
      <w:pPr>
        <w:ind w:left="-40" w:firstLine="656"/>
        <w:spacing w:after="0" w:line="288" w:lineRule="auto"/>
        <w:tabs>
          <w:tab w:leader="none" w:pos="1303" w:val="left"/>
        </w:tabs>
        <w:numPr>
          <w:ilvl w:val="0"/>
          <w:numId w:val="56"/>
        </w:numPr>
        <w:rPr>
          <w:rFonts w:ascii="Arial" w:cs="Arial" w:eastAsia="Arial" w:hAnsi="Arial"/>
          <w:sz w:val="16"/>
          <w:szCs w:val="16"/>
          <w:color w:val="auto"/>
        </w:rPr>
      </w:pPr>
      <w:r>
        <w:rPr>
          <w:rFonts w:ascii="Arial" w:cs="Arial" w:eastAsia="Arial" w:hAnsi="Arial"/>
          <w:sz w:val="16"/>
          <w:szCs w:val="16"/>
          <w:color w:val="auto"/>
        </w:rPr>
        <w:t>During any period when the holders of any series of Preferred Stock, voting separately as a series or together with one or more series, have the right to elect additional directors,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resignation, retirement, disqualification or removal. Except as otherwise provided by the Board of Directors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and the total authorized number of directors of the Corporation shall be reduced accordingly.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LIMITATION OF DIRECTOR LIABILITY</w:t>
      </w:r>
    </w:p>
    <w:p>
      <w:pPr>
        <w:spacing w:after="0" w:line="229" w:lineRule="exact"/>
        <w:rPr>
          <w:sz w:val="20"/>
          <w:szCs w:val="20"/>
          <w:color w:val="auto"/>
        </w:rPr>
      </w:pPr>
    </w:p>
    <w:p>
      <w:pPr>
        <w:jc w:val="both"/>
        <w:ind w:left="-40" w:right="320" w:firstLine="656"/>
        <w:spacing w:after="0" w:line="342" w:lineRule="auto"/>
        <w:tabs>
          <w:tab w:leader="none" w:pos="1323" w:val="left"/>
        </w:tabs>
        <w:numPr>
          <w:ilvl w:val="0"/>
          <w:numId w:val="57"/>
        </w:numPr>
        <w:rPr>
          <w:rFonts w:ascii="Arial" w:cs="Arial" w:eastAsia="Arial" w:hAnsi="Arial"/>
          <w:sz w:val="16"/>
          <w:szCs w:val="16"/>
          <w:color w:val="auto"/>
        </w:rPr>
      </w:pPr>
      <w:r>
        <w:rPr>
          <w:rFonts w:ascii="Arial" w:cs="Arial" w:eastAsia="Arial" w:hAnsi="Arial"/>
          <w:sz w:val="16"/>
          <w:szCs w:val="16"/>
          <w:color w:val="auto"/>
        </w:rPr>
        <w:t>To the fullest extent permitted by the DGCL as it now exists or may hereafter be amended, a director of the Corporation shall not be personally liable to the Corporation or its stockholders for monetary damages for breach of fiduciary duty owed to the Corporation or its stockholders.</w:t>
      </w:r>
    </w:p>
    <w:p>
      <w:pPr>
        <w:spacing w:after="0" w:line="123" w:lineRule="exact"/>
        <w:rPr>
          <w:rFonts w:ascii="Arial" w:cs="Arial" w:eastAsia="Arial" w:hAnsi="Arial"/>
          <w:sz w:val="16"/>
          <w:szCs w:val="16"/>
          <w:color w:val="auto"/>
        </w:rPr>
      </w:pPr>
    </w:p>
    <w:p>
      <w:pPr>
        <w:ind w:left="-40" w:right="60" w:firstLine="656"/>
        <w:spacing w:after="0" w:line="311" w:lineRule="auto"/>
        <w:tabs>
          <w:tab w:leader="none" w:pos="1313" w:val="left"/>
        </w:tabs>
        <w:numPr>
          <w:ilvl w:val="0"/>
          <w:numId w:val="57"/>
        </w:numPr>
        <w:rPr>
          <w:rFonts w:ascii="Arial" w:cs="Arial" w:eastAsia="Arial" w:hAnsi="Arial"/>
          <w:sz w:val="16"/>
          <w:szCs w:val="16"/>
          <w:color w:val="auto"/>
        </w:rPr>
      </w:pPr>
      <w:r>
        <w:rPr>
          <w:rFonts w:ascii="Arial" w:cs="Arial" w:eastAsia="Arial" w:hAnsi="Arial"/>
          <w:sz w:val="16"/>
          <w:szCs w:val="16"/>
          <w:color w:val="auto"/>
        </w:rPr>
        <w:t>Neither the amendment nor repeal of this Article VII, nor the adoption of any provision of this Second Amended and Restated Certificate of Incorporation, nor, to the fullest extent permitted by the DGCL, any modification of law shall eliminate, reduce or otherwise adversely affect any right or protection of a current or former director of the Corporation existing at the time of such amendment, repeal, adoption or modification.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STOCKHOLDERS IN LIEU OF MEETING, ANNUAL AND SPECIAL MEETINGS OF STOCKHOLDERS</w:t>
      </w:r>
    </w:p>
    <w:p>
      <w:pPr>
        <w:spacing w:after="0" w:line="229" w:lineRule="exact"/>
        <w:rPr>
          <w:sz w:val="20"/>
          <w:szCs w:val="20"/>
          <w:color w:val="auto"/>
        </w:rPr>
      </w:pPr>
    </w:p>
    <w:p>
      <w:pPr>
        <w:ind w:left="-40" w:right="40" w:firstLine="656"/>
        <w:spacing w:after="0" w:line="286" w:lineRule="auto"/>
        <w:tabs>
          <w:tab w:leader="none" w:pos="1323"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At any time when the Principal Stockholders beneficially own, in the aggregate, at least a majority of the voting power of the stock of the Corporation entitled to vote generally in the election of directors, any action required or permitted to be taken at any annual or special meeting of stockholders of the Corporation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books in which proceedings of meetings of stockholders are recorded. Delivery made to the Corporation’s registered office shall be made by hand, overnight courier or by certified or registered mail, return receipt requested. At any time when the Principal Stockholders do not beneficially own, in the aggregate, at least a majority of the voting power of the stock of the Corporation entitled to vote generally in the election of directors, any action required or permitted to be taken by the stockholders of the Corporation must be effected at a duly called annual or special meeting of such holders and may not be effected by any consent in writing by such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410845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60" w:top="908" w:right="379" w:bottom="1440" w:gutter="0" w:footer="0" w:header="0"/>
        </w:sectPr>
      </w:pPr>
    </w:p>
    <w:bookmarkStart w:id="97" w:name="page98"/>
    <w:bookmarkEnd w:id="97"/>
    <w:p>
      <w:pPr>
        <w:ind w:left="-20" w:firstLine="656"/>
        <w:spacing w:after="0" w:line="255" w:lineRule="auto"/>
        <w:tabs>
          <w:tab w:leader="none" w:pos="1333"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Except as otherwise required by law and subject to the rights of the holders of any series of Preferred Stock, special meetings of the stockholders of the Corporation for any purpose or purposes may be called at any time only by or at the direction of the Board of Directors or the Chairman of the Board of Directors;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at any time when the Principal Stockholders beneficially own, in the aggregate, at least a majority in voting power of the stock of the Corporation entitled to vote generally in the election of directors, special meetings of the stockholders of the Corporation for any purpose or purposes shall also be called by or at the direction of the Board of Directors or the Chairman of the Board of Directors at the request of the Principal Stockholders.</w:t>
      </w:r>
    </w:p>
    <w:p>
      <w:pPr>
        <w:spacing w:after="0" w:line="192" w:lineRule="exact"/>
        <w:rPr>
          <w:rFonts w:ascii="Arial" w:cs="Arial" w:eastAsia="Arial" w:hAnsi="Arial"/>
          <w:sz w:val="18"/>
          <w:szCs w:val="18"/>
          <w:color w:val="auto"/>
        </w:rPr>
      </w:pPr>
    </w:p>
    <w:p>
      <w:pPr>
        <w:ind w:left="-20" w:right="20" w:firstLine="656"/>
        <w:spacing w:after="0" w:line="263" w:lineRule="auto"/>
        <w:tabs>
          <w:tab w:leader="none" w:pos="1333"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annual meeting of stockholders for the election of directors to succeed those whose terms expire and for the transaction of such other business as may properly come before the meeting, shall be held at such place, if any, on such date, and at such time as shall be fixed exclusively by resolution of the Board of Directors or a duly authorized committee thereof.</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COMPETITION AND CORPORATE OPPORTUNITIES</w:t>
      </w:r>
    </w:p>
    <w:p>
      <w:pPr>
        <w:spacing w:after="0" w:line="229" w:lineRule="exact"/>
        <w:rPr>
          <w:sz w:val="20"/>
          <w:szCs w:val="20"/>
          <w:color w:val="auto"/>
        </w:rPr>
      </w:pPr>
    </w:p>
    <w:p>
      <w:pPr>
        <w:ind w:left="-20" w:firstLine="656"/>
        <w:spacing w:after="0" w:line="269" w:lineRule="auto"/>
        <w:tabs>
          <w:tab w:leader="none" w:pos="1343"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 recognition and anticipation that (i) certain directors, members, officers, employees and/or other representatives of the Principal Stockholders and their Affiliates (as defined below) may serve as directors, officers and/or agents of the Corporation, (ii) the Principal Stockholders and their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(iii) members of the Board of Directors who are not employees of the Corporation (“</w:t>
      </w:r>
      <w:r>
        <w:rPr>
          <w:rFonts w:ascii="Arial" w:cs="Arial" w:eastAsia="Arial" w:hAnsi="Arial"/>
          <w:sz w:val="17"/>
          <w:szCs w:val="17"/>
          <w:u w:val="single" w:color="auto"/>
          <w:color w:val="auto"/>
        </w:rPr>
        <w:t>Non-Employee Directors</w:t>
      </w:r>
      <w:r>
        <w:rPr>
          <w:rFonts w:ascii="Arial" w:cs="Arial" w:eastAsia="Arial" w:hAnsi="Arial"/>
          <w:sz w:val="17"/>
          <w:szCs w:val="17"/>
          <w:color w:val="auto"/>
        </w:rPr>
        <w:t>”) but who are affiliated with the Principal Stockholders or their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and (iv) the Corporation may engage in material business transactions with the Principal Stockholders and their Affiliates and the Corporation is expected to benefit therefrom, the provisions of this Article IX are set forth to regulate and define the conduct of certain affairs of the Corporation with respect to certain classes or categories of business opportunities as they may involve any of the Principal Stockholders, the Non-Employee Directors or their respective Affiliates and the powers, rights, duties and liabilities of the Corporation and its directors, officers and stockholders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98" w:name="page99"/>
    <w:bookmarkEnd w:id="98"/>
    <w:p>
      <w:pPr>
        <w:ind w:left="-8" w:right="380" w:firstLine="656"/>
        <w:spacing w:after="0" w:line="287" w:lineRule="auto"/>
        <w:tabs>
          <w:tab w:leader="none" w:pos="1345" w:val="left"/>
        </w:tabs>
        <w:numPr>
          <w:ilvl w:val="1"/>
          <w:numId w:val="61"/>
        </w:numPr>
        <w:rPr>
          <w:rFonts w:ascii="Arial" w:cs="Arial" w:eastAsia="Arial" w:hAnsi="Arial"/>
          <w:sz w:val="16"/>
          <w:szCs w:val="16"/>
          <w:color w:val="auto"/>
        </w:rPr>
      </w:pPr>
      <w:r>
        <w:rPr>
          <w:rFonts w:ascii="Arial" w:cs="Arial" w:eastAsia="Arial" w:hAnsi="Arial"/>
          <w:sz w:val="16"/>
          <w:szCs w:val="16"/>
          <w:color w:val="auto"/>
        </w:rPr>
        <w:t>None of (i) the Principal Stockholders or any of their Affiliates or any of their respective principals, members, directors, partners, stockholders, officers, employees or other representatives or (ii) any Non-Employee Director (including any Non-Employee Director who serves as an officer of the Corporation in both his or her director and officer capacities) or his or her Affiliates (the Persons (as defined below) identified in (i) and</w:t>
      </w:r>
    </w:p>
    <w:p>
      <w:pPr>
        <w:spacing w:after="0" w:line="2" w:lineRule="exact"/>
        <w:rPr>
          <w:rFonts w:ascii="Arial" w:cs="Arial" w:eastAsia="Arial" w:hAnsi="Arial"/>
          <w:sz w:val="16"/>
          <w:szCs w:val="16"/>
          <w:color w:val="auto"/>
        </w:rPr>
      </w:pPr>
    </w:p>
    <w:p>
      <w:pPr>
        <w:ind w:left="-8" w:firstLine="8"/>
        <w:spacing w:after="0" w:line="266" w:lineRule="auto"/>
        <w:tabs>
          <w:tab w:leader="none" w:pos="257" w:val="left"/>
        </w:tabs>
        <w:numPr>
          <w:ilvl w:val="0"/>
          <w:numId w:val="62"/>
        </w:numPr>
        <w:rPr>
          <w:rFonts w:ascii="Arial" w:cs="Arial" w:eastAsia="Arial" w:hAnsi="Arial"/>
          <w:sz w:val="17"/>
          <w:szCs w:val="17"/>
          <w:color w:val="auto"/>
        </w:rPr>
      </w:pPr>
      <w:r>
        <w:rPr>
          <w:rFonts w:ascii="Arial" w:cs="Arial" w:eastAsia="Arial" w:hAnsi="Arial"/>
          <w:sz w:val="17"/>
          <w:szCs w:val="17"/>
          <w:color w:val="auto"/>
        </w:rPr>
        <w:t>above being referred to, collectively, as “</w:t>
      </w:r>
      <w:r>
        <w:rPr>
          <w:rFonts w:ascii="Arial" w:cs="Arial" w:eastAsia="Arial" w:hAnsi="Arial"/>
          <w:sz w:val="17"/>
          <w:szCs w:val="17"/>
          <w:u w:val="single" w:color="auto"/>
          <w:color w:val="auto"/>
        </w:rPr>
        <w:t>Identified Persons</w:t>
      </w:r>
      <w:r>
        <w:rPr>
          <w:rFonts w:ascii="Arial" w:cs="Arial" w:eastAsia="Arial" w:hAnsi="Arial"/>
          <w:sz w:val="17"/>
          <w:szCs w:val="17"/>
          <w:color w:val="auto"/>
        </w:rPr>
        <w:t>” and, individually, as an “</w:t>
      </w:r>
      <w:r>
        <w:rPr>
          <w:rFonts w:ascii="Arial" w:cs="Arial" w:eastAsia="Arial" w:hAnsi="Arial"/>
          <w:sz w:val="17"/>
          <w:szCs w:val="17"/>
          <w:u w:val="single" w:color="auto"/>
          <w:color w:val="auto"/>
        </w:rPr>
        <w:t>Identified Person</w:t>
      </w:r>
      <w:r>
        <w:rPr>
          <w:rFonts w:ascii="Arial" w:cs="Arial" w:eastAsia="Arial" w:hAnsi="Arial"/>
          <w:sz w:val="17"/>
          <w:szCs w:val="17"/>
          <w:color w:val="auto"/>
        </w:rPr>
        <w:t>”) shall, to the fullest extent permitted by law, have any duty to refrain from directly or indirectly (1) engaging in the same or similar business activities or lines of business in which the Corporation or any of its Affiliates now engages or proposes to engage or (2) otherwise competing with the Corporation or any of its Affiliates, and, to the fullest extent permitted by law, no Identified Person shall be liable to the Corporation or its stockholders or to any Affiliate of the Corporation for breach of any fiduciary duty solely by reason of the fact that such Identified Person engages in any such activities. To the fullest extent permitted by law, the Corporation hereby renounces any interest or expectancy in, or right to be offered an opportunity to participate in, any business opportunity which may be a corporate opportunity for an Identified Person and the Corporation or any of its Affiliates, except as provided in Section (D) of this Article IX. Subject to said Section (D) of this Article IX, in the event that any Identified Person acquires knowledge of a potential transaction or other matter or business opportunity which may be a corporate opportunity for itself, herself or himself and the Corporation or any of its Affiliates, such Identified Person shall, to the fullest extent permitted by law, have no fiduciary duty or other duty (contractual or otherwise) to communicate, present or offer such transaction or other business opportunity to the Corporation or any of its Affiliates and, to the fullest extent permitted by law, shall not be liable to the Corporation or its stockholders or to any Affiliate of the Corporation for breach of any fiduciary duty or other duty (contractual or otherwise) as a stockholder, director or officer of the Corporation solely by reason of the fact that such Identified Person pursues or acquires such corporate opportunity for itself, herself or himself, offers or directs such corporate opportunity to another Person, or does not present such corporate opportunity to the Corporation or any of its Affiliates and shall be deemed to have fully satisfied and fulfilled such person’s duties to the Corporation and its stockholders with respect to any such corporate opportunity and to have acted in accordance with the standard of care set forth in the DGCL, or any successor statute, or law that is otherwise applicable to such Identified Persons under Delaware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421640</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99" w:name="page100"/>
    <w:bookmarkEnd w:id="99"/>
    <w:p>
      <w:pPr>
        <w:ind w:left="-8" w:right="120" w:firstLine="656"/>
        <w:spacing w:after="0" w:line="263" w:lineRule="auto"/>
        <w:tabs>
          <w:tab w:leader="none" w:pos="1345"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Corporation and its Affiliates do not have any rights in and to the business ventures of any Identified Person, or the income or profits derived therefrom, and the Corporation agrees that each of the Identified Persons may do business with any potential or actual customer or supplier of the Corporation or may employ or otherwise engage any officer or employee of the Corporation.</w:t>
      </w:r>
    </w:p>
    <w:p>
      <w:pPr>
        <w:spacing w:after="0" w:line="183" w:lineRule="exact"/>
        <w:rPr>
          <w:rFonts w:ascii="Arial" w:cs="Arial" w:eastAsia="Arial" w:hAnsi="Arial"/>
          <w:sz w:val="18"/>
          <w:szCs w:val="18"/>
          <w:color w:val="auto"/>
        </w:rPr>
      </w:pPr>
    </w:p>
    <w:p>
      <w:pPr>
        <w:ind w:left="-8" w:right="80" w:firstLine="656"/>
        <w:spacing w:after="0" w:line="259" w:lineRule="auto"/>
        <w:tabs>
          <w:tab w:leader="none" w:pos="1355"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Corporation does not renounce its interest in any corporate opportunity offered to any Non-Employee Director (including any Non-Employee Director who serves as an officer of this Corporation) if such opportunity is expressly offered to such person solely in his or her capacity as a director, officer, or employee of the Corporation as reasonably determined by such persons, and the provisions of Section (B) of this Article IX shall not apply to any such corporate opportunity.</w:t>
      </w:r>
    </w:p>
    <w:p>
      <w:pPr>
        <w:spacing w:after="0" w:line="186" w:lineRule="exact"/>
        <w:rPr>
          <w:rFonts w:ascii="Arial" w:cs="Arial" w:eastAsia="Arial" w:hAnsi="Arial"/>
          <w:sz w:val="18"/>
          <w:szCs w:val="18"/>
          <w:color w:val="auto"/>
        </w:rPr>
      </w:pPr>
    </w:p>
    <w:p>
      <w:pPr>
        <w:ind w:left="-8" w:right="20" w:firstLine="656"/>
        <w:spacing w:after="0" w:line="287" w:lineRule="auto"/>
        <w:tabs>
          <w:tab w:leader="none" w:pos="1335" w:val="left"/>
        </w:tabs>
        <w:numPr>
          <w:ilvl w:val="1"/>
          <w:numId w:val="63"/>
        </w:numPr>
        <w:rPr>
          <w:rFonts w:ascii="Arial" w:cs="Arial" w:eastAsia="Arial" w:hAnsi="Arial"/>
          <w:sz w:val="16"/>
          <w:szCs w:val="16"/>
          <w:color w:val="auto"/>
        </w:rPr>
      </w:pPr>
      <w:r>
        <w:rPr>
          <w:rFonts w:ascii="Arial" w:cs="Arial" w:eastAsia="Arial" w:hAnsi="Arial"/>
          <w:sz w:val="16"/>
          <w:szCs w:val="16"/>
          <w:color w:val="auto"/>
        </w:rPr>
        <w:t>In addition to and notwithstanding the foregoing provisions of this Article IX, a corporate opportunity shall not be deemed to be a potential corporate opportunity for the Corporation if it is a business opportunity that (i) the Corporation is neither financially or legally able, nor contractually permitted to undertake, (ii) from its nature, is not in the line of the Corporation’s business or is of no practical advantage to the Corporation or</w:t>
      </w:r>
    </w:p>
    <w:p>
      <w:pPr>
        <w:spacing w:after="0" w:line="2" w:lineRule="exact"/>
        <w:rPr>
          <w:rFonts w:ascii="Arial" w:cs="Arial" w:eastAsia="Arial" w:hAnsi="Arial"/>
          <w:sz w:val="16"/>
          <w:szCs w:val="16"/>
          <w:color w:val="auto"/>
        </w:rPr>
      </w:pPr>
    </w:p>
    <w:p>
      <w:pPr>
        <w:ind w:left="312" w:hanging="312"/>
        <w:spacing w:after="0"/>
        <w:tabs>
          <w:tab w:leader="none" w:pos="312" w:val="left"/>
        </w:tabs>
        <w:numPr>
          <w:ilvl w:val="0"/>
          <w:numId w:val="64"/>
        </w:numPr>
        <w:rPr>
          <w:rFonts w:ascii="Arial" w:cs="Arial" w:eastAsia="Arial" w:hAnsi="Arial"/>
          <w:sz w:val="18"/>
          <w:szCs w:val="18"/>
          <w:color w:val="auto"/>
        </w:rPr>
      </w:pPr>
      <w:r>
        <w:rPr>
          <w:rFonts w:ascii="Arial" w:cs="Arial" w:eastAsia="Arial" w:hAnsi="Arial"/>
          <w:sz w:val="18"/>
          <w:szCs w:val="18"/>
          <w:color w:val="auto"/>
        </w:rPr>
        <w:t>is one in which the Corporation has no interest or reasonable expectancy.</w:t>
      </w:r>
    </w:p>
    <w:p>
      <w:pPr>
        <w:spacing w:after="0" w:line="210" w:lineRule="exact"/>
        <w:rPr>
          <w:rFonts w:ascii="Arial" w:cs="Arial" w:eastAsia="Arial" w:hAnsi="Arial"/>
          <w:sz w:val="18"/>
          <w:szCs w:val="18"/>
          <w:color w:val="auto"/>
        </w:rPr>
      </w:pPr>
    </w:p>
    <w:p>
      <w:pPr>
        <w:ind w:left="-8" w:right="120" w:firstLine="656"/>
        <w:spacing w:after="0" w:line="272" w:lineRule="auto"/>
        <w:tabs>
          <w:tab w:leader="none" w:pos="1310" w:val="left"/>
        </w:tabs>
        <w:numPr>
          <w:ilvl w:val="1"/>
          <w:numId w:val="64"/>
        </w:numPr>
        <w:rPr>
          <w:rFonts w:ascii="Arial" w:cs="Arial" w:eastAsia="Arial" w:hAnsi="Arial"/>
          <w:sz w:val="17"/>
          <w:szCs w:val="17"/>
          <w:color w:val="auto"/>
        </w:rPr>
      </w:pPr>
      <w:r>
        <w:rPr>
          <w:rFonts w:ascii="Arial" w:cs="Arial" w:eastAsia="Arial" w:hAnsi="Arial"/>
          <w:sz w:val="17"/>
          <w:szCs w:val="17"/>
          <w:color w:val="auto"/>
        </w:rPr>
        <w:t>For purposes of this Article IX, (i) “</w:t>
      </w:r>
      <w:r>
        <w:rPr>
          <w:rFonts w:ascii="Arial" w:cs="Arial" w:eastAsia="Arial" w:hAnsi="Arial"/>
          <w:sz w:val="17"/>
          <w:szCs w:val="17"/>
          <w:u w:val="single" w:color="auto"/>
          <w:color w:val="auto"/>
        </w:rPr>
        <w:t>Affiliate</w:t>
      </w:r>
      <w:r>
        <w:rPr>
          <w:rFonts w:ascii="Arial" w:cs="Arial" w:eastAsia="Arial" w:hAnsi="Arial"/>
          <w:sz w:val="17"/>
          <w:szCs w:val="17"/>
          <w:color w:val="auto"/>
        </w:rPr>
        <w:t>” shall mean (a) in respect of the Principal Stockholders, any Person that, directly or indirectly, is controlled by the Principal Stockholders, controls the Principal Stockholders or is under common control with the Principal Stockholders and shall include any principal, member, director, partner, stockholder, officer, employee or other representative of any of the foregoing (other than the Corporation and any entity that is controlled by the Corporation), (b) in respect of a Non-Employee Director, any Person that, directly or indirectly, is controlled by such Non-Employee Director (other than the Corporation and any entity that is controlled by the Corporation) and (c) in respect of the Corporation, any Person that, directly or indirectly, is controlled by the Corporation; and (ii) “</w:t>
      </w:r>
      <w:r>
        <w:rPr>
          <w:rFonts w:ascii="Arial" w:cs="Arial" w:eastAsia="Arial" w:hAnsi="Arial"/>
          <w:sz w:val="17"/>
          <w:szCs w:val="17"/>
          <w:u w:val="single" w:color="auto"/>
          <w:color w:val="auto"/>
        </w:rPr>
        <w:t>Person</w:t>
      </w:r>
      <w:r>
        <w:rPr>
          <w:rFonts w:ascii="Arial" w:cs="Arial" w:eastAsia="Arial" w:hAnsi="Arial"/>
          <w:sz w:val="17"/>
          <w:szCs w:val="17"/>
          <w:color w:val="auto"/>
        </w:rPr>
        <w:t>” shall mean any individual, corporation, general or limited partnership, limited liability company, joint venture, trust, association or any other entity.</w:t>
      </w:r>
    </w:p>
    <w:p>
      <w:pPr>
        <w:spacing w:after="0" w:line="177" w:lineRule="exact"/>
        <w:rPr>
          <w:rFonts w:ascii="Arial" w:cs="Arial" w:eastAsia="Arial" w:hAnsi="Arial"/>
          <w:sz w:val="17"/>
          <w:szCs w:val="17"/>
          <w:color w:val="auto"/>
        </w:rPr>
      </w:pPr>
    </w:p>
    <w:p>
      <w:pPr>
        <w:ind w:left="-8" w:right="640" w:firstLine="656"/>
        <w:spacing w:after="0" w:line="277" w:lineRule="auto"/>
        <w:tabs>
          <w:tab w:leader="none" w:pos="1355"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This Article IX shall not limit any protections or defenses available to, or indemnification rights of, any director or officer of the Corporation under this Second Amended and Restated Certificate of Incorporation, the bylaws or applicable law.</w:t>
      </w:r>
    </w:p>
    <w:p>
      <w:pPr>
        <w:spacing w:after="0" w:line="170" w:lineRule="exact"/>
        <w:rPr>
          <w:rFonts w:ascii="Arial" w:cs="Arial" w:eastAsia="Arial" w:hAnsi="Arial"/>
          <w:sz w:val="18"/>
          <w:szCs w:val="18"/>
          <w:color w:val="auto"/>
        </w:rPr>
      </w:pPr>
    </w:p>
    <w:p>
      <w:pPr>
        <w:ind w:left="-8" w:firstLine="656"/>
        <w:spacing w:after="0" w:line="279" w:lineRule="auto"/>
        <w:tabs>
          <w:tab w:leader="none" w:pos="1355" w:val="left"/>
        </w:tabs>
        <w:numPr>
          <w:ilvl w:val="1"/>
          <w:numId w:val="64"/>
        </w:numPr>
        <w:rPr>
          <w:rFonts w:ascii="Arial" w:cs="Arial" w:eastAsia="Arial" w:hAnsi="Arial"/>
          <w:sz w:val="17"/>
          <w:szCs w:val="17"/>
          <w:color w:val="auto"/>
        </w:rPr>
      </w:pPr>
      <w:r>
        <w:rPr>
          <w:rFonts w:ascii="Arial" w:cs="Arial" w:eastAsia="Arial" w:hAnsi="Arial"/>
          <w:sz w:val="17"/>
          <w:szCs w:val="17"/>
          <w:color w:val="auto"/>
        </w:rPr>
        <w:t>Neither the alteration, amendment, addition to or repeal of this Article IX, nor the adoption of any provision of this Second Amended and Restated Certificate of Incorporation (including any certificate of designation relating to any series of Preferred Stock) inconsistent with this Article IX, shall eliminate or reduce the effect of this Article IX in respect of any business opportunity first identified or any other matter occurring, or any cause of action, suit or claim that, but for this Article IX, would accrue or arise, prior to such alteration, amendment, addition, repeal or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408940</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00" w:name="page101"/>
    <w:bookmarkEnd w:id="100"/>
    <w:p>
      <w:pPr>
        <w:ind w:left="-20" w:right="480" w:firstLine="656"/>
        <w:spacing w:after="0" w:line="263" w:lineRule="auto"/>
        <w:tabs>
          <w:tab w:leader="none" w:pos="1273"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 so long as the Principal Stockholders collectively beneficially own any of the outstanding shares of Common Stock, any modification, supplement, edit or other change or amendment to this Article IX shall require the approval of each Principal Stockholder Designee (as defined in the Stockholders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DGCL SECTION 203 AND BUSINESS COMBINATIONS</w:t>
      </w:r>
    </w:p>
    <w:p>
      <w:pPr>
        <w:spacing w:after="0" w:line="229" w:lineRule="exact"/>
        <w:rPr>
          <w:sz w:val="20"/>
          <w:szCs w:val="20"/>
          <w:color w:val="auto"/>
        </w:rPr>
      </w:pPr>
    </w:p>
    <w:p>
      <w:pPr>
        <w:ind w:left="1360" w:hanging="724"/>
        <w:spacing w:after="0"/>
        <w:tabs>
          <w:tab w:leader="none" w:pos="13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Corporation hereby expressly elects not to be governed by Section 203 of the DGCL.</w:t>
      </w:r>
    </w:p>
    <w:p>
      <w:pPr>
        <w:spacing w:after="0" w:line="225" w:lineRule="exact"/>
        <w:rPr>
          <w:rFonts w:ascii="Arial" w:cs="Arial" w:eastAsia="Arial" w:hAnsi="Arial"/>
          <w:sz w:val="18"/>
          <w:szCs w:val="18"/>
          <w:color w:val="auto"/>
        </w:rPr>
      </w:pPr>
    </w:p>
    <w:p>
      <w:pPr>
        <w:jc w:val="both"/>
        <w:ind w:left="-20" w:right="40" w:firstLine="656"/>
        <w:spacing w:after="0" w:line="263" w:lineRule="auto"/>
        <w:tabs>
          <w:tab w:leader="none" w:pos="1333"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Notwithstanding the foregoing, the Corporation shall not engage in any business combination (as defined below), at any point in time at which the Corporation’s Common Stock is registered under Section 12(b) or 12(g) of the Exchange Act, with any interested stockholder (as defined below) for a period of three years following the time that such stockholder became an interested stockholder, unless:</w:t>
      </w:r>
    </w:p>
    <w:p>
      <w:pPr>
        <w:spacing w:after="0" w:line="183" w:lineRule="exact"/>
        <w:rPr>
          <w:rFonts w:ascii="Arial" w:cs="Arial" w:eastAsia="Arial" w:hAnsi="Arial"/>
          <w:sz w:val="18"/>
          <w:szCs w:val="18"/>
          <w:color w:val="auto"/>
        </w:rPr>
      </w:pPr>
    </w:p>
    <w:p>
      <w:pPr>
        <w:ind w:left="640" w:right="380" w:firstLine="644"/>
        <w:spacing w:after="0" w:line="277" w:lineRule="auto"/>
        <w:tabs>
          <w:tab w:leader="none" w:pos="1963" w:val="left"/>
        </w:tabs>
        <w:numPr>
          <w:ilvl w:val="1"/>
          <w:numId w:val="66"/>
        </w:numPr>
        <w:rPr>
          <w:rFonts w:ascii="Arial" w:cs="Arial" w:eastAsia="Arial" w:hAnsi="Arial"/>
          <w:sz w:val="18"/>
          <w:szCs w:val="18"/>
          <w:color w:val="auto"/>
        </w:rPr>
      </w:pPr>
      <w:r>
        <w:rPr>
          <w:rFonts w:ascii="Arial" w:cs="Arial" w:eastAsia="Arial" w:hAnsi="Arial"/>
          <w:sz w:val="18"/>
          <w:szCs w:val="18"/>
          <w:color w:val="auto"/>
        </w:rPr>
        <w:t>prior to such time, the Board of Directors approved either the business combination or the transaction which resulted in the stockholder becoming an interested stockholder, or</w:t>
      </w:r>
    </w:p>
    <w:p>
      <w:pPr>
        <w:spacing w:after="0" w:line="170" w:lineRule="exact"/>
        <w:rPr>
          <w:rFonts w:ascii="Arial" w:cs="Arial" w:eastAsia="Arial" w:hAnsi="Arial"/>
          <w:sz w:val="18"/>
          <w:szCs w:val="18"/>
          <w:color w:val="auto"/>
        </w:rPr>
      </w:pPr>
    </w:p>
    <w:p>
      <w:pPr>
        <w:ind w:left="640" w:firstLine="644"/>
        <w:spacing w:after="0" w:line="296" w:lineRule="auto"/>
        <w:tabs>
          <w:tab w:leader="none" w:pos="1963" w:val="left"/>
        </w:tabs>
        <w:numPr>
          <w:ilvl w:val="1"/>
          <w:numId w:val="66"/>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(as defined below) of the Corporation outstanding at the time the transaction commenced,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61" w:lineRule="exact"/>
        <w:rPr>
          <w:rFonts w:ascii="Arial" w:cs="Arial" w:eastAsia="Arial" w:hAnsi="Arial"/>
          <w:sz w:val="16"/>
          <w:szCs w:val="16"/>
          <w:color w:val="auto"/>
        </w:rPr>
      </w:pPr>
    </w:p>
    <w:p>
      <w:pPr>
        <w:ind w:left="640" w:right="260" w:firstLine="644"/>
        <w:spacing w:after="0" w:line="263" w:lineRule="auto"/>
        <w:tabs>
          <w:tab w:leader="none" w:pos="1963" w:val="left"/>
        </w:tabs>
        <w:numPr>
          <w:ilvl w:val="1"/>
          <w:numId w:val="66"/>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stockholders, and not by written consent, by the affirmative vote of at least 66⅔% of the outstanding voting stock of the Corporation which is not owned by the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417195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101" w:name="page102"/>
    <w:bookmarkEnd w:id="101"/>
    <w:p>
      <w:pPr>
        <w:ind w:left="704" w:hanging="704"/>
        <w:spacing w:after="0"/>
        <w:tabs>
          <w:tab w:leader="none" w:pos="704"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purposes of this Article X, references to:</w:t>
      </w:r>
    </w:p>
    <w:p>
      <w:pPr>
        <w:spacing w:after="0" w:line="225" w:lineRule="exact"/>
        <w:rPr>
          <w:rFonts w:ascii="Arial" w:cs="Arial" w:eastAsia="Arial" w:hAnsi="Arial"/>
          <w:sz w:val="18"/>
          <w:szCs w:val="18"/>
          <w:color w:val="auto"/>
        </w:rPr>
      </w:pPr>
    </w:p>
    <w:p>
      <w:pPr>
        <w:ind w:left="4" w:firstLine="644"/>
        <w:spacing w:after="0" w:line="277" w:lineRule="auto"/>
        <w:tabs>
          <w:tab w:leader="none" w:pos="1327"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 person that directly, or indirectly through one or more intermediaries, controls, or is controlled by, or is under common control with, another person.</w:t>
      </w:r>
    </w:p>
    <w:p>
      <w:pPr>
        <w:spacing w:after="0" w:line="170" w:lineRule="exact"/>
        <w:rPr>
          <w:rFonts w:ascii="Arial" w:cs="Arial" w:eastAsia="Arial" w:hAnsi="Arial"/>
          <w:sz w:val="18"/>
          <w:szCs w:val="18"/>
          <w:color w:val="auto"/>
        </w:rPr>
      </w:pPr>
    </w:p>
    <w:p>
      <w:pPr>
        <w:ind w:left="4" w:right="60" w:firstLine="644"/>
        <w:spacing w:after="0" w:line="257" w:lineRule="auto"/>
        <w:tabs>
          <w:tab w:leader="none" w:pos="1327"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associate</w:t>
      </w:r>
      <w:r>
        <w:rPr>
          <w:rFonts w:ascii="Arial" w:cs="Arial" w:eastAsia="Arial" w:hAnsi="Arial"/>
          <w:sz w:val="18"/>
          <w:szCs w:val="18"/>
          <w:color w:val="auto"/>
        </w:rPr>
        <w:t>,” when used to indicate a relationship with any person, means: (i) any corporation, partnership, unincorporated association or other entity of which such person is a director, officer or partner or is, directly or indirectly, the owner of 20% or more of any class of voting stock;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spacing w:after="0" w:line="187" w:lineRule="exact"/>
        <w:rPr>
          <w:rFonts w:ascii="Arial" w:cs="Arial" w:eastAsia="Arial" w:hAnsi="Arial"/>
          <w:sz w:val="18"/>
          <w:szCs w:val="18"/>
          <w:color w:val="auto"/>
        </w:rPr>
      </w:pPr>
    </w:p>
    <w:p>
      <w:pPr>
        <w:ind w:left="1324" w:hanging="676"/>
        <w:spacing w:after="0"/>
        <w:tabs>
          <w:tab w:leader="none" w:pos="1324" w:val="left"/>
        </w:tabs>
        <w:numPr>
          <w:ilvl w:val="1"/>
          <w:numId w:val="6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when used in reference to the Corporation and any interested stockholder of the Corporation, means:</w:t>
      </w:r>
    </w:p>
    <w:p>
      <w:pPr>
        <w:spacing w:after="0" w:line="248" w:lineRule="exact"/>
        <w:rPr>
          <w:rFonts w:ascii="Arial" w:cs="Arial" w:eastAsia="Arial" w:hAnsi="Arial"/>
          <w:sz w:val="16"/>
          <w:szCs w:val="16"/>
          <w:color w:val="auto"/>
        </w:rPr>
      </w:pPr>
    </w:p>
    <w:p>
      <w:pPr>
        <w:ind w:left="2004" w:hanging="708"/>
        <w:spacing w:after="0"/>
        <w:tabs>
          <w:tab w:leader="none" w:pos="2004" w:val="left"/>
        </w:tabs>
        <w:numPr>
          <w:ilvl w:val="2"/>
          <w:numId w:val="67"/>
        </w:numPr>
        <w:rPr>
          <w:rFonts w:ascii="Arial" w:cs="Arial" w:eastAsia="Arial" w:hAnsi="Arial"/>
          <w:sz w:val="16"/>
          <w:szCs w:val="16"/>
          <w:color w:val="auto"/>
        </w:rPr>
      </w:pPr>
      <w:r>
        <w:rPr>
          <w:rFonts w:ascii="Arial" w:cs="Arial" w:eastAsia="Arial" w:hAnsi="Arial"/>
          <w:sz w:val="16"/>
          <w:szCs w:val="16"/>
          <w:color w:val="auto"/>
        </w:rPr>
        <w:t>any merger or consolidation of the Corporation or any direct or indirect majority-owned subsidiary of the Corporation</w:t>
      </w:r>
    </w:p>
    <w:p>
      <w:pPr>
        <w:spacing w:after="0" w:line="46" w:lineRule="exact"/>
        <w:rPr>
          <w:rFonts w:ascii="Arial" w:cs="Arial" w:eastAsia="Arial" w:hAnsi="Arial"/>
          <w:sz w:val="16"/>
          <w:szCs w:val="16"/>
          <w:color w:val="auto"/>
        </w:rPr>
      </w:pPr>
    </w:p>
    <w:p>
      <w:pPr>
        <w:ind w:left="4" w:right="80"/>
        <w:spacing w:after="0" w:line="255" w:lineRule="auto"/>
        <w:rPr>
          <w:rFonts w:ascii="Arial" w:cs="Arial" w:eastAsia="Arial" w:hAnsi="Arial"/>
          <w:sz w:val="16"/>
          <w:szCs w:val="16"/>
          <w:color w:val="auto"/>
        </w:rPr>
      </w:pPr>
      <w:r>
        <w:rPr>
          <w:rFonts w:ascii="Arial" w:cs="Arial" w:eastAsia="Arial" w:hAnsi="Arial"/>
          <w:sz w:val="18"/>
          <w:szCs w:val="18"/>
          <w:color w:val="auto"/>
        </w:rPr>
        <w:t>(a) with the interested stockholder, or (b) with any other corporation, partnership, unincorporated association or other entity if the merger or consolidation is caused by the interested stockholder and as a result of such merger or consolidation Section (B) of this Article X is not applicable to the surviving entity;</w:t>
      </w:r>
    </w:p>
    <w:p>
      <w:pPr>
        <w:spacing w:after="0" w:line="190" w:lineRule="exact"/>
        <w:rPr>
          <w:sz w:val="20"/>
          <w:szCs w:val="20"/>
          <w:color w:val="auto"/>
        </w:rPr>
      </w:pPr>
    </w:p>
    <w:p>
      <w:pPr>
        <w:ind w:left="4" w:right="120" w:firstLine="1292"/>
        <w:spacing w:after="0" w:line="257" w:lineRule="auto"/>
        <w:tabs>
          <w:tab w:leader="none" w:pos="2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stock of the Corporation;</w:t>
      </w:r>
    </w:p>
    <w:p>
      <w:pPr>
        <w:spacing w:after="0" w:line="187" w:lineRule="exact"/>
        <w:rPr>
          <w:rFonts w:ascii="Arial" w:cs="Arial" w:eastAsia="Arial" w:hAnsi="Arial"/>
          <w:sz w:val="18"/>
          <w:szCs w:val="18"/>
          <w:color w:val="auto"/>
        </w:rPr>
      </w:pPr>
    </w:p>
    <w:p>
      <w:pPr>
        <w:ind w:left="4" w:right="20" w:firstLine="1292"/>
        <w:spacing w:after="0" w:line="269" w:lineRule="auto"/>
        <w:tabs>
          <w:tab w:leader="none" w:pos="2110"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 DGCL; (c)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case under items (c)-(e) of this subsection (iii) shall there be an increase in the interested stockholder’s proportionate share of the stock of any class or series of the Corporation or of the voting stock of the Corporation (except as a result of immaterial changes due to fractional share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415925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02" w:name="page103"/>
    <w:bookmarkEnd w:id="102"/>
    <w:p>
      <w:pPr>
        <w:ind w:firstLine="1292"/>
        <w:spacing w:after="0" w:line="257" w:lineRule="auto"/>
        <w:tabs>
          <w:tab w:leader="none" w:pos="2095"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spacing w:after="0" w:line="187" w:lineRule="exact"/>
        <w:rPr>
          <w:rFonts w:ascii="Arial" w:cs="Arial" w:eastAsia="Arial" w:hAnsi="Arial"/>
          <w:sz w:val="18"/>
          <w:szCs w:val="18"/>
          <w:color w:val="auto"/>
        </w:rPr>
      </w:pPr>
    </w:p>
    <w:p>
      <w:pPr>
        <w:ind w:right="100" w:firstLine="1292"/>
        <w:spacing w:after="0" w:line="291" w:lineRule="auto"/>
        <w:tabs>
          <w:tab w:leader="none" w:pos="2045" w:val="left"/>
        </w:tabs>
        <w:numPr>
          <w:ilvl w:val="1"/>
          <w:numId w:val="69"/>
        </w:numPr>
        <w:rPr>
          <w:rFonts w:ascii="Arial" w:cs="Arial" w:eastAsia="Arial" w:hAnsi="Arial"/>
          <w:sz w:val="16"/>
          <w:szCs w:val="16"/>
          <w:color w:val="auto"/>
        </w:rPr>
      </w:pPr>
      <w:r>
        <w:rPr>
          <w:rFonts w:ascii="Arial" w:cs="Arial" w:eastAsia="Arial" w:hAnsi="Arial"/>
          <w:sz w:val="16"/>
          <w:szCs w:val="16"/>
          <w:color w:val="auto"/>
        </w:rPr>
        <w:t>any receipt by the interested stockholder of the benefit, directly or indirectly (except proportionately as a stockholder of the Corporation), of any loans, advances, guarantees, pledges, or other financial benefits (other than those expressly permitted in subsections</w:t>
      </w:r>
    </w:p>
    <w:p>
      <w:pPr>
        <w:spacing w:after="0"/>
        <w:rPr>
          <w:rFonts w:ascii="Arial" w:cs="Arial" w:eastAsia="Arial" w:hAnsi="Arial"/>
          <w:sz w:val="16"/>
          <w:szCs w:val="16"/>
          <w:color w:val="auto"/>
        </w:rPr>
      </w:pPr>
      <w:r>
        <w:rPr>
          <w:rFonts w:ascii="Arial" w:cs="Arial" w:eastAsia="Arial" w:hAnsi="Arial"/>
          <w:sz w:val="18"/>
          <w:szCs w:val="18"/>
          <w:color w:val="auto"/>
        </w:rPr>
        <w:t>(i)-(iv) above) provided by or through the Corporation or any direct or indirect majority-owned subsidiary.</w:t>
      </w:r>
    </w:p>
    <w:p>
      <w:pPr>
        <w:spacing w:after="0" w:line="210" w:lineRule="exact"/>
        <w:rPr>
          <w:rFonts w:ascii="Arial" w:cs="Arial" w:eastAsia="Arial" w:hAnsi="Arial"/>
          <w:sz w:val="16"/>
          <w:szCs w:val="16"/>
          <w:color w:val="auto"/>
        </w:rPr>
      </w:pPr>
    </w:p>
    <w:p>
      <w:pPr>
        <w:ind w:right="40" w:firstLine="644"/>
        <w:spacing w:after="0" w:line="272" w:lineRule="auto"/>
        <w:tabs>
          <w:tab w:leader="none" w:pos="1323" w:val="left"/>
        </w:tabs>
        <w:numPr>
          <w:ilvl w:val="0"/>
          <w:numId w:val="7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including the terms “</w:t>
      </w:r>
      <w:r>
        <w:rPr>
          <w:rFonts w:ascii="Arial" w:cs="Arial" w:eastAsia="Arial" w:hAnsi="Arial"/>
          <w:sz w:val="17"/>
          <w:szCs w:val="17"/>
          <w:u w:val="single" w:color="auto"/>
          <w:color w:val="auto"/>
        </w:rPr>
        <w:t>controlling</w:t>
      </w:r>
      <w:r>
        <w:rPr>
          <w:rFonts w:ascii="Arial" w:cs="Arial" w:eastAsia="Arial" w:hAnsi="Arial"/>
          <w:sz w:val="17"/>
          <w:szCs w:val="17"/>
          <w:color w:val="auto"/>
        </w:rPr>
        <w:t>,” “</w:t>
      </w:r>
      <w:r>
        <w:rPr>
          <w:rFonts w:ascii="Arial" w:cs="Arial" w:eastAsia="Arial" w:hAnsi="Arial"/>
          <w:sz w:val="17"/>
          <w:szCs w:val="17"/>
          <w:u w:val="single" w:color="auto"/>
          <w:color w:val="auto"/>
        </w:rPr>
        <w:t>controlled by</w:t>
      </w:r>
      <w:r>
        <w:rPr>
          <w:rFonts w:ascii="Arial" w:cs="Arial" w:eastAsia="Arial" w:hAnsi="Arial"/>
          <w:sz w:val="17"/>
          <w:szCs w:val="17"/>
          <w:color w:val="auto"/>
        </w:rPr>
        <w:t>” and “</w:t>
      </w:r>
      <w:r>
        <w:rPr>
          <w:rFonts w:ascii="Arial" w:cs="Arial" w:eastAsia="Arial" w:hAnsi="Arial"/>
          <w:sz w:val="17"/>
          <w:szCs w:val="17"/>
          <w:u w:val="single" w:color="auto"/>
          <w:color w:val="auto"/>
        </w:rPr>
        <w:t>under common control with</w:t>
      </w:r>
      <w:r>
        <w:rPr>
          <w:rFonts w:ascii="Arial" w:cs="Arial" w:eastAsia="Arial" w:hAnsi="Arial"/>
          <w:sz w:val="17"/>
          <w:szCs w:val="17"/>
          <w:color w:val="auto"/>
        </w:rPr>
        <w:t>,”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the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Article X, as an agent, bank, broker, nominee, custodian or trustee for one or more owners who do not individually or as a group have control of such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413385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980" w:top="908" w:right="359" w:bottom="1440" w:gutter="0" w:footer="0" w:header="0"/>
        </w:sectPr>
      </w:pPr>
    </w:p>
    <w:bookmarkStart w:id="103" w:name="page104"/>
    <w:bookmarkEnd w:id="103"/>
    <w:p>
      <w:pPr>
        <w:ind w:left="-460" w:right="40" w:firstLine="644"/>
        <w:spacing w:after="0" w:line="285" w:lineRule="auto"/>
        <w:tabs>
          <w:tab w:leader="none" w:pos="863" w:val="left"/>
        </w:tabs>
        <w:numPr>
          <w:ilvl w:val="0"/>
          <w:numId w:val="7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interested stockholder</w:t>
      </w:r>
      <w:r>
        <w:rPr>
          <w:rFonts w:ascii="Arial" w:cs="Arial" w:eastAsia="Arial" w:hAnsi="Arial"/>
          <w:sz w:val="16"/>
          <w:szCs w:val="16"/>
          <w:color w:val="auto"/>
        </w:rPr>
        <w:t xml:space="preserve">” means any person (other than the Corporation or any direct or indirect majority-owned subsidiary of the Corporation) that (i) is the owner of 15% or more of the outstanding voting stock of the Corporation, or (ii) is an affiliate or associate of the Corporation and was the owner of 15% or more of the outstanding voting stock of the Corporation at any time within the three year period immediately prior to the date on which it is sought to be determined whether such person is an interested stockholder; and the affiliates and associates of such person; but “interested stockholder” shall not include or be deemed to include, in any case, (a) the Pamplona Investor (as defined in the Stockholders Agreement), any Pamplona Investors Direct Transferee, any Pamplona Investors Indirect Transferee or any of their respective affiliates or successors or any “group”, or any member of any such group, to which such persons are a party under Rule 13d-5 of the Exchange Act, (b) the Wynnchurch Investor (as defined in the Stockholders Agreement), any Wynnchurch Investors Direct Transferee, any Wynnchurch Investors Indirect Transferee or any of their respective affiliates or successors or any “group”, or any member of any such group, to which such persons are a party under Rule 13d-5 of the Exchange Act, or (c) any person whose ownership of shares in excess of the 15% limitation set forth herein is the result of any action taken solely by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person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176" w:lineRule="exact"/>
        <w:rPr>
          <w:rFonts w:ascii="Arial" w:cs="Arial" w:eastAsia="Arial" w:hAnsi="Arial"/>
          <w:sz w:val="16"/>
          <w:szCs w:val="16"/>
          <w:color w:val="auto"/>
        </w:rPr>
      </w:pPr>
    </w:p>
    <w:p>
      <w:pPr>
        <w:ind w:left="-460" w:right="360" w:firstLine="644"/>
        <w:spacing w:after="0" w:line="277" w:lineRule="auto"/>
        <w:tabs>
          <w:tab w:leader="none" w:pos="863"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owner</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own</w:t>
      </w:r>
      <w:r>
        <w:rPr>
          <w:rFonts w:ascii="Arial" w:cs="Arial" w:eastAsia="Arial" w:hAnsi="Arial"/>
          <w:sz w:val="18"/>
          <w:szCs w:val="18"/>
          <w:color w:val="auto"/>
        </w:rPr>
        <w:t>” and “</w:t>
      </w:r>
      <w:r>
        <w:rPr>
          <w:rFonts w:ascii="Arial" w:cs="Arial" w:eastAsia="Arial" w:hAnsi="Arial"/>
          <w:sz w:val="18"/>
          <w:szCs w:val="18"/>
          <w:u w:val="single" w:color="auto"/>
          <w:color w:val="auto"/>
        </w:rPr>
        <w:t>owned</w:t>
      </w:r>
      <w:r>
        <w:rPr>
          <w:rFonts w:ascii="Arial" w:cs="Arial" w:eastAsia="Arial" w:hAnsi="Arial"/>
          <w:sz w:val="18"/>
          <w:szCs w:val="18"/>
          <w:color w:val="auto"/>
        </w:rPr>
        <w:t>,” when used with respect to any stock, means a person that individually or with or through any of its affiliates or associates:</w:t>
      </w:r>
    </w:p>
    <w:p>
      <w:pPr>
        <w:spacing w:after="0" w:line="170" w:lineRule="exact"/>
        <w:rPr>
          <w:rFonts w:ascii="Arial" w:cs="Arial" w:eastAsia="Arial" w:hAnsi="Arial"/>
          <w:sz w:val="18"/>
          <w:szCs w:val="18"/>
          <w:color w:val="auto"/>
        </w:rPr>
      </w:pPr>
    </w:p>
    <w:p>
      <w:pPr>
        <w:ind w:left="1540" w:hanging="708"/>
        <w:spacing w:after="0"/>
        <w:tabs>
          <w:tab w:leader="none" w:pos="15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beneficially owns such stock, directly or indirectly; or</w:t>
      </w:r>
    </w:p>
    <w:p>
      <w:pPr>
        <w:spacing w:after="0" w:line="225" w:lineRule="exact"/>
        <w:rPr>
          <w:rFonts w:ascii="Arial" w:cs="Arial" w:eastAsia="Arial" w:hAnsi="Arial"/>
          <w:sz w:val="18"/>
          <w:szCs w:val="18"/>
          <w:color w:val="auto"/>
        </w:rPr>
      </w:pPr>
    </w:p>
    <w:p>
      <w:pPr>
        <w:ind w:left="-460" w:firstLine="1292"/>
        <w:spacing w:after="0" w:line="291" w:lineRule="auto"/>
        <w:tabs>
          <w:tab w:leader="none" w:pos="1596" w:val="left"/>
        </w:tabs>
        <w:numPr>
          <w:ilvl w:val="1"/>
          <w:numId w:val="71"/>
        </w:numPr>
        <w:rPr>
          <w:rFonts w:ascii="Arial" w:cs="Arial" w:eastAsia="Arial" w:hAnsi="Arial"/>
          <w:sz w:val="16"/>
          <w:szCs w:val="16"/>
          <w:color w:val="auto"/>
        </w:rPr>
      </w:pPr>
      <w:r>
        <w:rPr>
          <w:rFonts w:ascii="Arial" w:cs="Arial" w:eastAsia="Arial" w:hAnsi="Arial"/>
          <w:sz w:val="16"/>
          <w:szCs w:val="16"/>
          <w:color w:val="auto"/>
        </w:rPr>
        <w:t xml:space="preserve">has (a)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or more persons; or</w:t>
      </w:r>
    </w:p>
    <w:p>
      <w:pPr>
        <w:spacing w:after="0" w:line="166" w:lineRule="exact"/>
        <w:rPr>
          <w:rFonts w:ascii="Arial" w:cs="Arial" w:eastAsia="Arial" w:hAnsi="Arial"/>
          <w:sz w:val="16"/>
          <w:szCs w:val="16"/>
          <w:color w:val="auto"/>
        </w:rPr>
      </w:pPr>
    </w:p>
    <w:p>
      <w:pPr>
        <w:ind w:left="-460" w:right="240" w:firstLine="1292"/>
        <w:spacing w:after="0" w:line="263" w:lineRule="auto"/>
        <w:tabs>
          <w:tab w:leader="none" w:pos="1646" w:val="left"/>
        </w:tabs>
        <w:numPr>
          <w:ilvl w:val="1"/>
          <w:numId w:val="71"/>
        </w:numPr>
        <w:rPr>
          <w:rFonts w:ascii="Arial" w:cs="Arial" w:eastAsia="Arial" w:hAnsi="Arial"/>
          <w:sz w:val="18"/>
          <w:szCs w:val="18"/>
          <w:color w:val="auto"/>
        </w:rPr>
      </w:pPr>
      <w:r>
        <w:rPr>
          <w:rFonts w:ascii="Arial" w:cs="Arial" w:eastAsia="Arial" w:hAnsi="Arial"/>
          <w:sz w:val="18"/>
          <w:szCs w:val="18"/>
          <w:color w:val="auto"/>
        </w:rPr>
        <w:t>has any agreement, arrangement or understanding for the purpose of acquiring, holding, voting (except voting pursuant to a revocable proxy or consent as described in item (b) of subsection (ii) above), or disposing of such stock with any other person that beneficially owns, or whose affiliates or associates beneficially own, directly or indirectly, such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417195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04" w:name="page105"/>
    <w:bookmarkEnd w:id="104"/>
    <w:p>
      <w:pPr>
        <w:ind w:left="860" w:hanging="676"/>
        <w:spacing w:after="0"/>
        <w:tabs>
          <w:tab w:leader="none" w:pos="8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unincorporated association or other entity.</w:t>
      </w:r>
    </w:p>
    <w:p>
      <w:pPr>
        <w:spacing w:after="0" w:line="225" w:lineRule="exact"/>
        <w:rPr>
          <w:rFonts w:ascii="Arial" w:cs="Arial" w:eastAsia="Arial" w:hAnsi="Arial"/>
          <w:sz w:val="18"/>
          <w:szCs w:val="18"/>
          <w:color w:val="auto"/>
        </w:rPr>
      </w:pPr>
    </w:p>
    <w:p>
      <w:pPr>
        <w:ind w:left="-460" w:right="20" w:firstLine="644"/>
        <w:spacing w:after="0" w:line="279" w:lineRule="auto"/>
        <w:tabs>
          <w:tab w:leader="none" w:pos="863" w:val="left"/>
        </w:tabs>
        <w:numPr>
          <w:ilvl w:val="0"/>
          <w:numId w:val="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Pamplona Investors Direct Transferee</w:t>
      </w:r>
      <w:r>
        <w:rPr>
          <w:rFonts w:ascii="Arial" w:cs="Arial" w:eastAsia="Arial" w:hAnsi="Arial"/>
          <w:sz w:val="17"/>
          <w:szCs w:val="17"/>
          <w:color w:val="auto"/>
        </w:rPr>
        <w:t>” means any person that acquires (other than in a registered public offering or through a broker’s transaction executed on any securities exchange or other over-the-counter market) directly from either the Pamplona Investor or any of its affiliates or successors or any “group”, or any member of any such group, of which such persons are a party under Rule 13d-5 of the Exchange Act beneficial ownership of 15% or more of the then outstanding voting stock of the Corporation.</w:t>
      </w:r>
    </w:p>
    <w:p>
      <w:pPr>
        <w:spacing w:after="0" w:line="171" w:lineRule="exact"/>
        <w:rPr>
          <w:rFonts w:ascii="Arial" w:cs="Arial" w:eastAsia="Arial" w:hAnsi="Arial"/>
          <w:sz w:val="17"/>
          <w:szCs w:val="17"/>
          <w:color w:val="auto"/>
        </w:rPr>
      </w:pPr>
    </w:p>
    <w:p>
      <w:pPr>
        <w:ind w:left="-460" w:right="40" w:firstLine="644"/>
        <w:spacing w:after="0" w:line="259" w:lineRule="auto"/>
        <w:tabs>
          <w:tab w:leader="none" w:pos="863"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Pamplona Investors Indirect Transferee</w:t>
      </w:r>
      <w:r>
        <w:rPr>
          <w:rFonts w:ascii="Arial" w:cs="Arial" w:eastAsia="Arial" w:hAnsi="Arial"/>
          <w:sz w:val="18"/>
          <w:szCs w:val="18"/>
          <w:color w:val="auto"/>
        </w:rPr>
        <w:t>” means any person that acquires (other than in a registered public offering or through a broker’s transaction executed on any securities exchange or other over-the-counter market) directly from any Pamplona Investors Direct Transferee or any other Pamplona Investors Indirect Transferee beneficial ownership of 15% or more of the then outstanding voting stock of the Corporation.</w:t>
      </w:r>
    </w:p>
    <w:p>
      <w:pPr>
        <w:spacing w:after="0" w:line="186" w:lineRule="exact"/>
        <w:rPr>
          <w:rFonts w:ascii="Arial" w:cs="Arial" w:eastAsia="Arial" w:hAnsi="Arial"/>
          <w:sz w:val="18"/>
          <w:szCs w:val="18"/>
          <w:color w:val="auto"/>
        </w:rPr>
      </w:pPr>
    </w:p>
    <w:p>
      <w:pPr>
        <w:ind w:left="940" w:hanging="756"/>
        <w:spacing w:after="0"/>
        <w:tabs>
          <w:tab w:leader="none" w:pos="9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w:t>
      </w:r>
      <w:r>
        <w:rPr>
          <w:rFonts w:ascii="Arial" w:cs="Arial" w:eastAsia="Arial" w:hAnsi="Arial"/>
          <w:sz w:val="17"/>
          <w:szCs w:val="17"/>
          <w:color w:val="auto"/>
        </w:rPr>
        <w:t>” means, with respect to any corporation, capital stock and, with respect to any other entity, any equity interest.</w:t>
      </w:r>
    </w:p>
    <w:p>
      <w:pPr>
        <w:spacing w:after="0" w:line="236" w:lineRule="exact"/>
        <w:rPr>
          <w:rFonts w:ascii="Arial" w:cs="Arial" w:eastAsia="Arial" w:hAnsi="Arial"/>
          <w:sz w:val="17"/>
          <w:szCs w:val="17"/>
          <w:color w:val="auto"/>
        </w:rPr>
      </w:pPr>
    </w:p>
    <w:p>
      <w:pPr>
        <w:ind w:left="940" w:hanging="756"/>
        <w:spacing w:after="0"/>
        <w:tabs>
          <w:tab w:leader="none" w:pos="9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stock of any class or series entitled to vote generally in the election of directors.</w:t>
      </w:r>
    </w:p>
    <w:p>
      <w:pPr>
        <w:spacing w:after="0" w:line="225" w:lineRule="exact"/>
        <w:rPr>
          <w:rFonts w:ascii="Arial" w:cs="Arial" w:eastAsia="Arial" w:hAnsi="Arial"/>
          <w:sz w:val="18"/>
          <w:szCs w:val="18"/>
          <w:color w:val="auto"/>
        </w:rPr>
      </w:pPr>
    </w:p>
    <w:p>
      <w:pPr>
        <w:ind w:left="-460" w:firstLine="644"/>
        <w:spacing w:after="0" w:line="279" w:lineRule="auto"/>
        <w:tabs>
          <w:tab w:leader="none" w:pos="953" w:val="left"/>
        </w:tabs>
        <w:numPr>
          <w:ilvl w:val="0"/>
          <w:numId w:val="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Wynnchurch Investors Direct Transferee</w:t>
      </w:r>
      <w:r>
        <w:rPr>
          <w:rFonts w:ascii="Arial" w:cs="Arial" w:eastAsia="Arial" w:hAnsi="Arial"/>
          <w:sz w:val="17"/>
          <w:szCs w:val="17"/>
          <w:color w:val="auto"/>
        </w:rPr>
        <w:t>” means any person that acquires (other than in a registered public offering or through a broker’s transaction executed on any securities exchange or other over-the-counter market) directly from either the Wynnchurch Investor or any of its affiliates or successors or any “group”, or any member of any such group, of which such persons are a party under Rule 13d-5 of the Exchange Act beneficial ownership of 15% or more of the then outstanding voting stock of the Corporation.</w:t>
      </w:r>
    </w:p>
    <w:p>
      <w:pPr>
        <w:spacing w:after="0" w:line="171" w:lineRule="exact"/>
        <w:rPr>
          <w:rFonts w:ascii="Arial" w:cs="Arial" w:eastAsia="Arial" w:hAnsi="Arial"/>
          <w:sz w:val="17"/>
          <w:szCs w:val="17"/>
          <w:color w:val="auto"/>
        </w:rPr>
      </w:pPr>
    </w:p>
    <w:p>
      <w:pPr>
        <w:ind w:left="-460" w:right="340" w:firstLine="644"/>
        <w:spacing w:after="0" w:line="259" w:lineRule="auto"/>
        <w:tabs>
          <w:tab w:leader="none" w:pos="953"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Wynnchurch Investors Indirect Transferee</w:t>
      </w:r>
      <w:r>
        <w:rPr>
          <w:rFonts w:ascii="Arial" w:cs="Arial" w:eastAsia="Arial" w:hAnsi="Arial"/>
          <w:sz w:val="18"/>
          <w:szCs w:val="18"/>
          <w:color w:val="auto"/>
        </w:rPr>
        <w:t>” means any person that acquires (other than in a registered public offering or through a broker’s transaction executed on any securities exchange or other over-the-counter market) directly from any Wynnchurch Investors Direct Transferee or any other Wynnchurch Investors Indirect Transferee beneficial ownership of 15% or more of the then outstanding voting stock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419100</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05" w:name="page106"/>
    <w:bookmarkEnd w:id="105"/>
    <w:p>
      <w:pPr>
        <w:jc w:val="center"/>
        <w:ind w:right="-51"/>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9" w:lineRule="exact"/>
        <w:rPr>
          <w:sz w:val="20"/>
          <w:szCs w:val="20"/>
          <w:color w:val="auto"/>
        </w:rPr>
      </w:pPr>
    </w:p>
    <w:p>
      <w:pPr>
        <w:ind w:left="-8" w:right="60" w:firstLine="656"/>
        <w:spacing w:after="0" w:line="270" w:lineRule="auto"/>
        <w:tabs>
          <w:tab w:leader="none" w:pos="1355" w:val="left"/>
        </w:tabs>
        <w:numPr>
          <w:ilvl w:val="1"/>
          <w:numId w:val="73"/>
        </w:numPr>
        <w:rPr>
          <w:rFonts w:ascii="Arial" w:cs="Arial" w:eastAsia="Arial" w:hAnsi="Arial"/>
          <w:sz w:val="17"/>
          <w:szCs w:val="17"/>
          <w:color w:val="auto"/>
        </w:rPr>
      </w:pPr>
      <w:r>
        <w:rPr>
          <w:rFonts w:ascii="Arial" w:cs="Arial" w:eastAsia="Arial" w:hAnsi="Arial"/>
          <w:sz w:val="17"/>
          <w:szCs w:val="17"/>
          <w:color w:val="auto"/>
        </w:rPr>
        <w:t>If any provision or provisions of this Second Amended and Restated Certificate of Incorporation shall be held to be invalid, illegal or unenforceable as applied to any circumstance for any reason whatsoever: (i) the validity, legality and enforceability of such provisions in any other circumstance and of the remaining provisions of this Second Amended and Restated Certificate of Incorporation (including, without limitation, each portion of any paragraph of this Second Amended and Restated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Second Amended and Restated Certificate of Incorporation (including, without limitation, each such portion of any paragraph of this Second Amended and Restated Certificate of Incorporation containing any such provision held to be invalid, illegal or unenforceable) shall be construed so as to permit the Corporation to protect its directors, officers, employees and agents from personal liability in respect of their good faith service or for the benefit of the Corporation to the fullest extent permitted by law.</w:t>
      </w:r>
    </w:p>
    <w:p>
      <w:pPr>
        <w:spacing w:after="0" w:line="180" w:lineRule="exact"/>
        <w:rPr>
          <w:rFonts w:ascii="Arial" w:cs="Arial" w:eastAsia="Arial" w:hAnsi="Arial"/>
          <w:sz w:val="17"/>
          <w:szCs w:val="17"/>
          <w:color w:val="auto"/>
        </w:rPr>
      </w:pPr>
    </w:p>
    <w:p>
      <w:pPr>
        <w:ind w:left="-8" w:firstLine="656"/>
        <w:spacing w:after="0" w:line="291" w:lineRule="auto"/>
        <w:tabs>
          <w:tab w:leader="none" w:pos="1345" w:val="left"/>
        </w:tabs>
        <w:numPr>
          <w:ilvl w:val="1"/>
          <w:numId w:val="73"/>
        </w:numPr>
        <w:rPr>
          <w:rFonts w:ascii="Arial" w:cs="Arial" w:eastAsia="Arial" w:hAnsi="Arial"/>
          <w:sz w:val="16"/>
          <w:szCs w:val="16"/>
          <w:color w:val="auto"/>
        </w:rPr>
      </w:pPr>
      <w:r>
        <w:rPr>
          <w:rFonts w:ascii="Arial" w:cs="Arial" w:eastAsia="Arial" w:hAnsi="Arial"/>
          <w:sz w:val="16"/>
          <w:szCs w:val="16"/>
          <w:color w:val="auto"/>
        </w:rPr>
        <w:t>Unless the Corporation consents in writing to the selection of an alternative forum, the Court of Chancery of the State of Delaware shall, to the fullest extent permitted by law, be the sole and exclusive forum for (i) any derivative action or proceeding brought on behalf of the Corporation,</w:t>
      </w:r>
    </w:p>
    <w:p>
      <w:pPr>
        <w:ind w:left="-8" w:right="20" w:firstLine="8"/>
        <w:spacing w:after="0" w:line="268" w:lineRule="auto"/>
        <w:tabs>
          <w:tab w:leader="none" w:pos="257" w:val="left"/>
        </w:tabs>
        <w:numPr>
          <w:ilvl w:val="0"/>
          <w:numId w:val="74"/>
        </w:numPr>
        <w:rPr>
          <w:rFonts w:ascii="Arial" w:cs="Arial" w:eastAsia="Arial" w:hAnsi="Arial"/>
          <w:sz w:val="17"/>
          <w:szCs w:val="17"/>
          <w:color w:val="auto"/>
        </w:rPr>
      </w:pPr>
      <w:r>
        <w:rPr>
          <w:rFonts w:ascii="Arial" w:cs="Arial" w:eastAsia="Arial" w:hAnsi="Arial"/>
          <w:sz w:val="17"/>
          <w:szCs w:val="17"/>
          <w:color w:val="auto"/>
        </w:rPr>
        <w:t xml:space="preserve">any action asserting a claim of breach of a fiduciary duty owed by any director or officer of the Corporation to the Corporation or the Corporation’s stockholders, creditors or other constituents, (iii) any action asserting a claim against the Corporation or any director or officer of the Corporation arising pursuant to any provision of the DGCL or this Second Amended and Restated Certificate of Incorporation or the Bylaws (as either may be amended and/or restated from time to time), or (iv) any action asserting a claim against the Corporation or any director or officer of the Corporation governed by the internal affairs doctrine; </w:t>
      </w:r>
      <w:r>
        <w:rPr>
          <w:rFonts w:ascii="Arial" w:cs="Arial" w:eastAsia="Arial" w:hAnsi="Arial"/>
          <w:sz w:val="17"/>
          <w:szCs w:val="17"/>
          <w:u w:val="single" w:color="auto"/>
          <w:color w:val="auto"/>
        </w:rPr>
        <w:t>provided</w:t>
      </w:r>
      <w:r>
        <w:rPr>
          <w:rFonts w:ascii="Arial" w:cs="Arial" w:eastAsia="Arial" w:hAnsi="Arial"/>
          <w:sz w:val="17"/>
          <w:szCs w:val="17"/>
          <w:color w:val="auto"/>
        </w:rPr>
        <w:t>, that, if and only if the Court of Chancery of the State of Delaware dismisses any such action for lack of subject matter jurisdiction, such action may be brought in another state court sitting in the State of Delaware. Notwithstanding anything contrary in the foregoing, the provisions of this Section (B) shall not apply to claims arising under the Securities Act of 1933, as amended, the Exchange Act or other federal securities laws for which there is exclusive federal or concurrent federal and state jurisdiction.</w:t>
      </w:r>
    </w:p>
    <w:p>
      <w:pPr>
        <w:spacing w:after="0" w:line="183" w:lineRule="exact"/>
        <w:rPr>
          <w:rFonts w:ascii="Arial" w:cs="Arial" w:eastAsia="Arial" w:hAnsi="Arial"/>
          <w:sz w:val="17"/>
          <w:szCs w:val="17"/>
          <w:color w:val="auto"/>
        </w:rPr>
      </w:pPr>
    </w:p>
    <w:p>
      <w:pPr>
        <w:ind w:left="-8" w:right="120" w:firstLine="656"/>
        <w:spacing w:after="0" w:line="342" w:lineRule="auto"/>
        <w:tabs>
          <w:tab w:leader="none" w:pos="1345" w:val="left"/>
        </w:tabs>
        <w:numPr>
          <w:ilvl w:val="1"/>
          <w:numId w:val="74"/>
        </w:numPr>
        <w:rPr>
          <w:rFonts w:ascii="Arial" w:cs="Arial" w:eastAsia="Arial" w:hAnsi="Arial"/>
          <w:sz w:val="16"/>
          <w:szCs w:val="16"/>
          <w:color w:val="auto"/>
        </w:rPr>
      </w:pPr>
      <w:r>
        <w:rPr>
          <w:rFonts w:ascii="Arial" w:cs="Arial" w:eastAsia="Arial" w:hAnsi="Arial"/>
          <w:sz w:val="16"/>
          <w:szCs w:val="16"/>
          <w:color w:val="auto"/>
        </w:rPr>
        <w:t>Unless the Corporation consents in writing to the selection of an alternative forum, the federal district courts of the United States of America shall be the exclusive forum for the resolution of any complaint asserting a cause of action arising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379095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92"/>
          </w:cols>
          <w:pgMar w:left="328" w:top="904" w:right="379" w:bottom="1440" w:gutter="0" w:footer="0" w:header="0"/>
        </w:sectPr>
      </w:pPr>
    </w:p>
    <w:bookmarkStart w:id="106" w:name="page107"/>
    <w:bookmarkEnd w:id="106"/>
    <w:p>
      <w:pPr>
        <w:ind w:left="-180" w:firstLine="656"/>
        <w:spacing w:after="0" w:line="342" w:lineRule="auto"/>
        <w:tabs>
          <w:tab w:leader="none" w:pos="1183" w:val="left"/>
        </w:tabs>
        <w:numPr>
          <w:ilvl w:val="0"/>
          <w:numId w:val="75"/>
        </w:numPr>
        <w:rPr>
          <w:rFonts w:ascii="Arial" w:cs="Arial" w:eastAsia="Arial" w:hAnsi="Arial"/>
          <w:sz w:val="16"/>
          <w:szCs w:val="16"/>
          <w:color w:val="auto"/>
        </w:rPr>
      </w:pPr>
      <w:r>
        <w:rPr>
          <w:rFonts w:ascii="Arial" w:cs="Arial" w:eastAsia="Arial" w:hAnsi="Arial"/>
          <w:sz w:val="16"/>
          <w:szCs w:val="16"/>
          <w:color w:val="auto"/>
        </w:rPr>
        <w:t>To the fullest extent permitted by law, any Person purchasing or otherwise acquiring any interest in any shares of capital stock of the Corporation shall be deemed to have notice of and to have consented to the provisions of this Second Amended and Restated Certificate of Incorporation.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443230</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500" w:top="908" w:right="499" w:bottom="1440" w:gutter="0" w:footer="0" w:header="0"/>
        </w:sectPr>
      </w:pPr>
    </w:p>
    <w:bookmarkStart w:id="107" w:name="page108"/>
    <w:bookmarkEnd w:id="107"/>
    <w:p>
      <w:pPr>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caused this Second Amended and Restated Certificate of Incorporation to be duly executed in its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name by its duly authorized officer this 22nd day of April, 2021.</w:t>
      </w:r>
    </w:p>
    <w:p>
      <w:pPr>
        <w:spacing w:after="0" w:line="37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LATHAM GROUP,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Jason Duva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Jason Duva</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General Counsel and Chief Administrative Officer</w:t>
      </w:r>
    </w:p>
    <w:p>
      <w:pPr>
        <w:spacing w:after="0" w:line="211" w:lineRule="exact"/>
        <w:rPr>
          <w:sz w:val="20"/>
          <w:szCs w:val="20"/>
          <w:color w:val="auto"/>
        </w:rPr>
      </w:pPr>
    </w:p>
    <w:p>
      <w:pPr>
        <w:ind w:left="2760"/>
        <w:spacing w:after="0"/>
        <w:rPr>
          <w:sz w:val="20"/>
          <w:szCs w:val="20"/>
          <w:color w:val="auto"/>
        </w:rPr>
      </w:pPr>
      <w:r>
        <w:rPr>
          <w:rFonts w:ascii="Arial" w:cs="Arial" w:eastAsia="Arial" w:hAnsi="Arial"/>
          <w:sz w:val="18"/>
          <w:szCs w:val="18"/>
          <w:i w:val="1"/>
          <w:iCs w:val="1"/>
          <w:color w:val="auto"/>
        </w:rPr>
        <w:t>[Signature Page to Second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320" w:top="904" w:right="1019" w:bottom="1440" w:gutter="0" w:footer="0" w:header="0"/>
        </w:sectPr>
      </w:pPr>
    </w:p>
    <w:bookmarkStart w:id="108" w:name="page109"/>
    <w:bookmarkEnd w:id="108"/>
    <w:p>
      <w:pPr>
        <w:jc w:val="right"/>
        <w:spacing w:after="0"/>
        <w:rPr>
          <w:sz w:val="20"/>
          <w:szCs w:val="20"/>
          <w:color w:val="auto"/>
        </w:rPr>
      </w:pPr>
      <w:r>
        <w:rPr>
          <w:rFonts w:ascii="Arial" w:cs="Arial" w:eastAsia="Arial" w:hAnsi="Arial"/>
          <w:sz w:val="22"/>
          <w:szCs w:val="22"/>
          <w:b w:val="1"/>
          <w:bCs w:val="1"/>
          <w:color w:val="auto"/>
        </w:rPr>
        <w:t>Exhibit 3.2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LATHAM GROUP,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229" w:lineRule="exact"/>
        <w:rPr>
          <w:sz w:val="20"/>
          <w:szCs w:val="20"/>
          <w:color w:val="auto"/>
        </w:rPr>
      </w:pPr>
    </w:p>
    <w:p>
      <w:pPr>
        <w:ind w:right="320" w:firstLine="972"/>
        <w:spacing w:after="0" w:line="259"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Registered Office</w:t>
      </w:r>
      <w:r>
        <w:rPr>
          <w:rFonts w:ascii="Arial" w:cs="Arial" w:eastAsia="Arial" w:hAnsi="Arial"/>
          <w:sz w:val="18"/>
          <w:szCs w:val="18"/>
          <w:color w:val="auto"/>
        </w:rPr>
        <w:t>. The registered office and registered agent of Latham Group, Inc. (the “</w:t>
      </w:r>
      <w:r>
        <w:rPr>
          <w:rFonts w:ascii="Arial" w:cs="Arial" w:eastAsia="Arial" w:hAnsi="Arial"/>
          <w:sz w:val="18"/>
          <w:szCs w:val="18"/>
          <w:u w:val="single" w:color="auto"/>
          <w:color w:val="auto"/>
        </w:rPr>
        <w:t>Corporation</w:t>
      </w:r>
      <w:r>
        <w:rPr>
          <w:rFonts w:ascii="Arial" w:cs="Arial" w:eastAsia="Arial" w:hAnsi="Arial"/>
          <w:sz w:val="18"/>
          <w:szCs w:val="18"/>
          <w:color w:val="auto"/>
        </w:rPr>
        <w:t>”) in the State of Delaware shall be as set forth in the Certificate of Incorporation (as defined below). The Corporation may also have offices in such other places in the United States or elsewhere (and may change the Corporation’s registered agent) as the Board of Directors of the Corporation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may, from time to time, determine or as the business of the Corporation may require.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Meetings of Stockholders</w:t>
      </w:r>
    </w:p>
    <w:p>
      <w:pPr>
        <w:spacing w:after="0" w:line="229" w:lineRule="exact"/>
        <w:rPr>
          <w:sz w:val="20"/>
          <w:szCs w:val="20"/>
          <w:color w:val="auto"/>
        </w:rPr>
      </w:pPr>
    </w:p>
    <w:p>
      <w:pPr>
        <w:jc w:val="both"/>
        <w:ind w:right="280" w:firstLine="972"/>
        <w:spacing w:after="0" w:line="286"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u w:val="single" w:color="auto"/>
          <w:color w:val="auto"/>
        </w:rPr>
        <w:t>Annual Meetings</w:t>
      </w:r>
      <w:r>
        <w:rPr>
          <w:rFonts w:ascii="Arial" w:cs="Arial" w:eastAsia="Arial" w:hAnsi="Arial"/>
          <w:sz w:val="17"/>
          <w:szCs w:val="17"/>
          <w:color w:val="auto"/>
        </w:rPr>
        <w:t>. Annual meetings of stockholders may be held at such place, if any, either within or without the State of Delaware, or by means of remote communication, and at such time and date as the Board of Directors shall determine and state in the notice of meeting. The Board of Directors may, in its sole discretion, postpone, reschedule or cancel any annual meeting of stockholders.</w:t>
      </w:r>
    </w:p>
    <w:p>
      <w:pPr>
        <w:spacing w:after="0" w:line="165" w:lineRule="exact"/>
        <w:rPr>
          <w:sz w:val="20"/>
          <w:szCs w:val="20"/>
          <w:color w:val="auto"/>
        </w:rPr>
      </w:pPr>
    </w:p>
    <w:p>
      <w:pPr>
        <w:ind w:right="60" w:firstLine="972"/>
        <w:spacing w:after="0" w:line="254"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stockholders may only be called in the manner provided in the Corporation’s certificate of incorporation as then in effect (as the same may be amended and/or restated from time to time, the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xml:space="preserve">”) and may be held at such place, if any, either within or without the State of Delaware, or by means of remote communication, and at such time and date as the Board of Directors or the Chair of the Board of Directors shall determine and state in the notice of meeting. The Board of Directors may, in its sole discretion, postpone, reschedule or cancel any special meeting of stockholders;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any special meeting of stockholders previously scheduled by the Board of Directors or the Chair of the Board of Directors at the request of the Principal Stockholders (as defined in the Certificate of Incorporation), the Board of Directors shall not postpone, reschedule or cancel such special meeting without the prior written consent of the Principal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9" w:name="page110"/>
    <w:bookmarkEnd w:id="109"/>
    <w:p>
      <w:pPr>
        <w:ind w:left="96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Notice of Stockholder Business and Nominations</w:t>
      </w:r>
      <w:r>
        <w:rPr>
          <w:rFonts w:ascii="Arial" w:cs="Arial" w:eastAsia="Arial" w:hAnsi="Arial"/>
          <w:sz w:val="18"/>
          <w:szCs w:val="18"/>
          <w:color w:val="auto"/>
        </w:rPr>
        <w:t>.</w:t>
      </w:r>
    </w:p>
    <w:p>
      <w:pPr>
        <w:spacing w:after="0" w:line="225" w:lineRule="exact"/>
        <w:rPr>
          <w:sz w:val="20"/>
          <w:szCs w:val="20"/>
          <w:color w:val="auto"/>
        </w:rPr>
      </w:pPr>
    </w:p>
    <w:p>
      <w:pPr>
        <w:ind w:left="1260" w:hanging="300"/>
        <w:spacing w:after="0"/>
        <w:tabs>
          <w:tab w:leader="none" w:pos="126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Annual Meetings of Stockholders</w:t>
      </w:r>
      <w:r>
        <w:rPr>
          <w:rFonts w:ascii="Arial" w:cs="Arial" w:eastAsia="Arial" w:hAnsi="Arial"/>
          <w:sz w:val="18"/>
          <w:szCs w:val="18"/>
          <w:color w:val="auto"/>
        </w:rPr>
        <w:t>.</w:t>
      </w:r>
    </w:p>
    <w:p>
      <w:pPr>
        <w:spacing w:after="0" w:line="225" w:lineRule="exact"/>
        <w:rPr>
          <w:sz w:val="20"/>
          <w:szCs w:val="20"/>
          <w:color w:val="auto"/>
        </w:rPr>
      </w:pPr>
    </w:p>
    <w:p>
      <w:pPr>
        <w:ind w:left="-20" w:right="40" w:firstLine="980"/>
        <w:spacing w:after="0" w:line="272" w:lineRule="auto"/>
        <w:tabs>
          <w:tab w:leader="none" w:pos="1207" w:val="left"/>
        </w:tabs>
        <w:numPr>
          <w:ilvl w:val="0"/>
          <w:numId w:val="77"/>
        </w:numPr>
        <w:rPr>
          <w:rFonts w:ascii="Arial" w:cs="Arial" w:eastAsia="Arial" w:hAnsi="Arial"/>
          <w:sz w:val="17"/>
          <w:szCs w:val="17"/>
          <w:color w:val="auto"/>
        </w:rPr>
      </w:pPr>
      <w:r>
        <w:rPr>
          <w:rFonts w:ascii="Arial" w:cs="Arial" w:eastAsia="Arial" w:hAnsi="Arial"/>
          <w:sz w:val="17"/>
          <w:szCs w:val="17"/>
          <w:color w:val="auto"/>
        </w:rPr>
        <w:t>Nominations of persons for election to the Board of Directors and the proposal of other business to be considered by the stockholders may be made at an annual meeting of stockholders only (a) as provided in the Stockholders Agreement (as defined in the Certificate of Incorporation) (with respect to nominations of persons for election to the Board of Directors only), (b) pursuant to the Corporation’s notice of meeting (or any supplement thereto) delivered pursuant to Section 2.04 of these Amended and Restated Bylaws of the Corporation (these “Bylaws”), (c) by or at the direction of the Board of Directors or any authorized committee thereof or (d) by any stockholder of the Corporation who is entitled to vote at the meeting, who, subject to paragraph (C)(4) of this Section 2.03, complied with the notice procedures set forth in paragraphs (A)(2) and (A)(3) of this Section 2.03 and who was a stockholder of record at the time such notice is delivered to the Secretary of the Corporation.</w:t>
      </w:r>
    </w:p>
    <w:p>
      <w:pPr>
        <w:spacing w:after="0" w:line="177" w:lineRule="exact"/>
        <w:rPr>
          <w:rFonts w:ascii="Arial" w:cs="Arial" w:eastAsia="Arial" w:hAnsi="Arial"/>
          <w:sz w:val="17"/>
          <w:szCs w:val="17"/>
          <w:color w:val="auto"/>
        </w:rPr>
      </w:pPr>
    </w:p>
    <w:p>
      <w:pPr>
        <w:ind w:left="-20" w:firstLine="980"/>
        <w:spacing w:after="0" w:line="285" w:lineRule="auto"/>
        <w:tabs>
          <w:tab w:leader="none" w:pos="1207"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For nominations or other business to be properly brought before an annual meeting by a stockholder pursuant to clause (d) of paragraph (A)(1) of this Section 2.03, the stockholder must have given timely notice thereof in writing to the Secretary of the Corporation, and, in the case of business other than nominations of persons for election to the Board of Directors, such business must constitute a proper matter for stockholder action. To be timely, a stockholder’s notice shall be delivered to the Secretary of the Corporation at the principal executive offices of the Corporation not less than 90 days nor more than 120 days prior to the first anniversary of the preceding year’s annual meeting (in the case of the Corporation’s first annual meeting of stockholders as a corporation with a class of equity security registered under the Exchange Act (as defined below), for notice by the stockholder to be timely, it must be received (A) no earlier than 120 days before such annual meeting and (B) no later than the later of 90 days before such annual meeting and the tenth day after the day on which the notice of such annual meeting was first made by mail or public announcement);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date of the annual meeting is advanced by more than 30 days, or delayed by more than 70 days, from the anniversary date of the previous year’s meeting, or if no annual meeting was held in the preceding year, notice by the stockholder to be timely must be so delivered not earlier than 120 days prior to such annual meeting and not later than the close of business on the later of the 90th day prior to such annual meeting or the tenth day following the day on which public announcement of the date of such meeting is first made. Public announcement of an adjournment or postponement of an annual meeting shall not commence a new time period (or extend any time period) for the giving of a stockholder’s notice. Notwithstanding anything in this Section 2.03(A)(2) to the contrary, if the number of directors to be elected to the Board of Directors at an annual meeting is increased and there is no public announcement by the Corporation naming all of the nominees for director or specifying the size of the increased Board of Directors at least 100 calendar days prior to the first anniversary of the prior year’s annual meeting of stockholders, then a stockholder’s notice required by this Section 2.03 shall be considered timely, but only with respect to nominees for any new positions created by such increase, if it is received by the Secretary of the Corporation not later than the close of business on the tenth calendar day following the day on which such public announcement is first made by the Corporation.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341" w:right="359" w:bottom="1440" w:gutter="0" w:footer="0" w:header="0"/>
        </w:sectPr>
      </w:pPr>
    </w:p>
    <w:bookmarkStart w:id="110" w:name="page111"/>
    <w:bookmarkEnd w:id="110"/>
    <w:p>
      <w:pPr>
        <w:ind w:left="260" w:hanging="260"/>
        <w:spacing w:after="0"/>
        <w:tabs>
          <w:tab w:leader="none" w:pos="2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Such stockholder’s notice shall set forth:</w:t>
      </w:r>
    </w:p>
    <w:p>
      <w:pPr>
        <w:spacing w:after="0" w:line="225" w:lineRule="exact"/>
        <w:rPr>
          <w:rFonts w:ascii="Arial" w:cs="Arial" w:eastAsia="Arial" w:hAnsi="Arial"/>
          <w:sz w:val="18"/>
          <w:szCs w:val="18"/>
          <w:color w:val="auto"/>
        </w:rPr>
      </w:pPr>
    </w:p>
    <w:p>
      <w:pPr>
        <w:ind w:left="340" w:hanging="286"/>
        <w:spacing w:after="0"/>
        <w:tabs>
          <w:tab w:leader="none" w:pos="3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as to each person whom the stockholder proposes to nominate for election or re-election as a director:</w:t>
      </w:r>
    </w:p>
    <w:p>
      <w:pPr>
        <w:spacing w:after="0" w:line="225" w:lineRule="exact"/>
        <w:rPr>
          <w:rFonts w:ascii="Arial" w:cs="Arial" w:eastAsia="Arial" w:hAnsi="Arial"/>
          <w:sz w:val="18"/>
          <w:szCs w:val="18"/>
          <w:color w:val="auto"/>
        </w:rPr>
      </w:pPr>
    </w:p>
    <w:p>
      <w:pPr>
        <w:jc w:val="both"/>
        <w:ind w:left="1620" w:hanging="648"/>
        <w:spacing w:after="0" w:line="301" w:lineRule="auto"/>
        <w:tabs>
          <w:tab w:leader="none" w:pos="1620" w:val="left"/>
        </w:tabs>
        <w:numPr>
          <w:ilvl w:val="2"/>
          <w:numId w:val="78"/>
        </w:numPr>
        <w:rPr>
          <w:rFonts w:ascii="Arial" w:cs="Arial" w:eastAsia="Arial" w:hAnsi="Arial"/>
          <w:sz w:val="16"/>
          <w:szCs w:val="16"/>
          <w:color w:val="auto"/>
        </w:rPr>
      </w:pPr>
      <w:r>
        <w:rPr>
          <w:rFonts w:ascii="Arial" w:cs="Arial" w:eastAsia="Arial" w:hAnsi="Arial"/>
          <w:sz w:val="16"/>
          <w:szCs w:val="16"/>
          <w:color w:val="auto"/>
        </w:rPr>
        <w:t>all information relating to such person that is required to be disclosed in solicitations of proxies for election of directors in an election contest, or is otherwise required, in each case pursuant to Section 14(a)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and the rules and regulations promulgated thereunder, including such person’s written consent to being named in the proxy statement as a nominee and to serving as a director if elected; and</w:t>
      </w:r>
    </w:p>
    <w:p>
      <w:pPr>
        <w:spacing w:after="0" w:line="157" w:lineRule="exact"/>
        <w:rPr>
          <w:rFonts w:ascii="Arial" w:cs="Arial" w:eastAsia="Arial" w:hAnsi="Arial"/>
          <w:sz w:val="16"/>
          <w:szCs w:val="16"/>
          <w:color w:val="auto"/>
        </w:rPr>
      </w:pPr>
    </w:p>
    <w:p>
      <w:pPr>
        <w:ind w:left="1620" w:right="280" w:hanging="648"/>
        <w:spacing w:after="0" w:line="286" w:lineRule="auto"/>
        <w:tabs>
          <w:tab w:leader="none" w:pos="1620" w:val="left"/>
        </w:tabs>
        <w:numPr>
          <w:ilvl w:val="2"/>
          <w:numId w:val="78"/>
        </w:numPr>
        <w:rPr>
          <w:rFonts w:ascii="Arial" w:cs="Arial" w:eastAsia="Arial" w:hAnsi="Arial"/>
          <w:sz w:val="17"/>
          <w:szCs w:val="17"/>
          <w:color w:val="auto"/>
        </w:rPr>
      </w:pPr>
      <w:r>
        <w:rPr>
          <w:rFonts w:ascii="Arial" w:cs="Arial" w:eastAsia="Arial" w:hAnsi="Arial"/>
          <w:sz w:val="17"/>
          <w:szCs w:val="17"/>
          <w:color w:val="auto"/>
        </w:rPr>
        <w:t>complete and accurate responses to a written questionnaire with respect to the background and qualification of such person and the background of any other person or entity on whose behalf the nomination is being made (which questionnaire shall be provided by the Secretary of the Corporation upon written request);</w:t>
      </w:r>
    </w:p>
    <w:p>
      <w:pPr>
        <w:spacing w:after="0" w:line="165" w:lineRule="exact"/>
        <w:rPr>
          <w:rFonts w:ascii="Arial" w:cs="Arial" w:eastAsia="Arial" w:hAnsi="Arial"/>
          <w:sz w:val="17"/>
          <w:szCs w:val="17"/>
          <w:color w:val="auto"/>
        </w:rPr>
      </w:pPr>
    </w:p>
    <w:p>
      <w:pPr>
        <w:ind w:left="340" w:right="120" w:hanging="286"/>
        <w:spacing w:after="0" w:line="257" w:lineRule="auto"/>
        <w:tabs>
          <w:tab w:leader="none" w:pos="3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and any material interest in such business of such stockholder and the beneficial owner, if any, on whose behalf the proposal is made;</w:t>
      </w:r>
    </w:p>
    <w:p>
      <w:pPr>
        <w:spacing w:after="0" w:line="187" w:lineRule="exact"/>
        <w:rPr>
          <w:rFonts w:ascii="Arial" w:cs="Arial" w:eastAsia="Arial" w:hAnsi="Arial"/>
          <w:sz w:val="18"/>
          <w:szCs w:val="18"/>
          <w:color w:val="auto"/>
        </w:rPr>
      </w:pPr>
    </w:p>
    <w:p>
      <w:pPr>
        <w:ind w:left="340" w:hanging="286"/>
        <w:spacing w:after="0"/>
        <w:tabs>
          <w:tab w:leader="none" w:pos="3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as to the stockholder giving the notice and the beneficial owner, if any, on whose behalf the nomination or proposal is made:</w:t>
      </w:r>
    </w:p>
    <w:p>
      <w:pPr>
        <w:spacing w:after="0" w:line="225" w:lineRule="exact"/>
        <w:rPr>
          <w:rFonts w:ascii="Arial" w:cs="Arial" w:eastAsia="Arial" w:hAnsi="Arial"/>
          <w:sz w:val="18"/>
          <w:szCs w:val="18"/>
          <w:color w:val="auto"/>
        </w:rPr>
      </w:pPr>
    </w:p>
    <w:p>
      <w:pPr>
        <w:ind w:left="1620" w:right="700" w:hanging="648"/>
        <w:spacing w:after="0" w:line="277" w:lineRule="auto"/>
        <w:tabs>
          <w:tab w:leader="none" w:pos="1620" w:val="left"/>
        </w:tabs>
        <w:numPr>
          <w:ilvl w:val="2"/>
          <w:numId w:val="78"/>
        </w:numPr>
        <w:rPr>
          <w:rFonts w:ascii="Arial" w:cs="Arial" w:eastAsia="Arial" w:hAnsi="Arial"/>
          <w:sz w:val="18"/>
          <w:szCs w:val="18"/>
          <w:color w:val="auto"/>
        </w:rPr>
      </w:pPr>
      <w:r>
        <w:rPr>
          <w:rFonts w:ascii="Arial" w:cs="Arial" w:eastAsia="Arial" w:hAnsi="Arial"/>
          <w:sz w:val="18"/>
          <w:szCs w:val="18"/>
          <w:color w:val="auto"/>
        </w:rPr>
        <w:t>the name and address of such stockholder, as they appear on the Corporation’s books and records, and of such beneficial owner,</w:t>
      </w:r>
    </w:p>
    <w:p>
      <w:pPr>
        <w:spacing w:after="0" w:line="170" w:lineRule="exact"/>
        <w:rPr>
          <w:rFonts w:ascii="Arial" w:cs="Arial" w:eastAsia="Arial" w:hAnsi="Arial"/>
          <w:sz w:val="18"/>
          <w:szCs w:val="18"/>
          <w:color w:val="auto"/>
        </w:rPr>
      </w:pPr>
    </w:p>
    <w:p>
      <w:pPr>
        <w:ind w:left="1620" w:right="520" w:hanging="648"/>
        <w:spacing w:after="0" w:line="277" w:lineRule="auto"/>
        <w:tabs>
          <w:tab w:leader="none" w:pos="1620" w:val="left"/>
        </w:tabs>
        <w:numPr>
          <w:ilvl w:val="2"/>
          <w:numId w:val="78"/>
        </w:numPr>
        <w:rPr>
          <w:rFonts w:ascii="Arial" w:cs="Arial" w:eastAsia="Arial" w:hAnsi="Arial"/>
          <w:sz w:val="18"/>
          <w:szCs w:val="18"/>
          <w:color w:val="auto"/>
        </w:rPr>
      </w:pPr>
      <w:r>
        <w:rPr>
          <w:rFonts w:ascii="Arial" w:cs="Arial" w:eastAsia="Arial" w:hAnsi="Arial"/>
          <w:sz w:val="18"/>
          <w:szCs w:val="18"/>
          <w:color w:val="auto"/>
        </w:rPr>
        <w:t>the class or series and number of shares of capital stock of the Corporation that are owned, directly or indirectly, beneficially and of record by such stockholder and such beneficial owner,</w:t>
      </w:r>
    </w:p>
    <w:p>
      <w:pPr>
        <w:spacing w:after="0" w:line="170" w:lineRule="exact"/>
        <w:rPr>
          <w:rFonts w:ascii="Arial" w:cs="Arial" w:eastAsia="Arial" w:hAnsi="Arial"/>
          <w:sz w:val="18"/>
          <w:szCs w:val="18"/>
          <w:color w:val="auto"/>
        </w:rPr>
      </w:pPr>
    </w:p>
    <w:p>
      <w:pPr>
        <w:ind w:left="1620" w:right="20" w:hanging="648"/>
        <w:spacing w:after="0" w:line="263" w:lineRule="auto"/>
        <w:tabs>
          <w:tab w:leader="none" w:pos="1620" w:val="left"/>
        </w:tabs>
        <w:numPr>
          <w:ilvl w:val="2"/>
          <w:numId w:val="78"/>
        </w:numPr>
        <w:rPr>
          <w:rFonts w:ascii="Arial" w:cs="Arial" w:eastAsia="Arial" w:hAnsi="Arial"/>
          <w:sz w:val="18"/>
          <w:szCs w:val="18"/>
          <w:color w:val="auto"/>
        </w:rPr>
      </w:pPr>
      <w:r>
        <w:rPr>
          <w:rFonts w:ascii="Arial" w:cs="Arial" w:eastAsia="Arial" w:hAnsi="Arial"/>
          <w:sz w:val="18"/>
          <w:szCs w:val="18"/>
          <w:color w:val="auto"/>
        </w:rPr>
        <w:t>a representation that the stockholder is a holder of record of the stock of the Corporation at the time of the giving of the notice, will be entitled to vote at such meeting and will appear in person or by proxy at the meeting to propose such business or nomination,</w:t>
      </w:r>
    </w:p>
    <w:p>
      <w:pPr>
        <w:spacing w:after="0" w:line="40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20"/>
          </w:cols>
          <w:pgMar w:left="1300" w:top="341" w:right="379" w:bottom="1440" w:gutter="0" w:footer="0" w:header="0"/>
        </w:sectPr>
      </w:pPr>
    </w:p>
    <w:bookmarkStart w:id="111" w:name="page112"/>
    <w:bookmarkEnd w:id="111"/>
    <w:p>
      <w:pPr>
        <w:ind w:left="1566" w:right="20" w:hanging="648"/>
        <w:spacing w:after="0" w:line="279" w:lineRule="auto"/>
        <w:tabs>
          <w:tab w:leader="none" w:pos="1566" w:val="left"/>
        </w:tabs>
        <w:numPr>
          <w:ilvl w:val="1"/>
          <w:numId w:val="79"/>
        </w:numPr>
        <w:rPr>
          <w:rFonts w:ascii="Arial" w:cs="Arial" w:eastAsia="Arial" w:hAnsi="Arial"/>
          <w:sz w:val="17"/>
          <w:szCs w:val="17"/>
          <w:color w:val="auto"/>
        </w:rPr>
      </w:pPr>
      <w:r>
        <w:rPr>
          <w:rFonts w:ascii="Arial" w:cs="Arial" w:eastAsia="Arial" w:hAnsi="Arial"/>
          <w:sz w:val="17"/>
          <w:szCs w:val="17"/>
          <w:color w:val="auto"/>
        </w:rPr>
        <w:t>a representation whether the stockholder or the beneficial owner, if any, will be or is part of a group that will (x) deliver a proxy statement and/or form of proxy to holders of at least the percentage of the voting power of the Corporation’s outstanding capital stock required to approve or adopt the proposal or elect the nominee and/or (y) otherwise to solicit proxies or votes from stockholders in support of such proposal or nomination,</w:t>
      </w:r>
    </w:p>
    <w:p>
      <w:pPr>
        <w:spacing w:after="0" w:line="171" w:lineRule="exact"/>
        <w:rPr>
          <w:rFonts w:ascii="Arial" w:cs="Arial" w:eastAsia="Arial" w:hAnsi="Arial"/>
          <w:sz w:val="17"/>
          <w:szCs w:val="17"/>
          <w:color w:val="auto"/>
        </w:rPr>
      </w:pPr>
    </w:p>
    <w:p>
      <w:pPr>
        <w:ind w:left="1566" w:right="40" w:hanging="648"/>
        <w:spacing w:after="0" w:line="259" w:lineRule="auto"/>
        <w:tabs>
          <w:tab w:leader="none" w:pos="1566" w:val="left"/>
        </w:tabs>
        <w:numPr>
          <w:ilvl w:val="1"/>
          <w:numId w:val="79"/>
        </w:numPr>
        <w:rPr>
          <w:rFonts w:ascii="Arial" w:cs="Arial" w:eastAsia="Arial" w:hAnsi="Arial"/>
          <w:sz w:val="18"/>
          <w:szCs w:val="18"/>
          <w:color w:val="auto"/>
        </w:rPr>
      </w:pPr>
      <w:r>
        <w:rPr>
          <w:rFonts w:ascii="Arial" w:cs="Arial" w:eastAsia="Arial" w:hAnsi="Arial"/>
          <w:sz w:val="18"/>
          <w:szCs w:val="18"/>
          <w:color w:val="auto"/>
        </w:rPr>
        <w:t>a certification regarding whether such stockholder and beneficial owner, if any, have complied with all applicable federal, state and other legal requirements in connection with the stockholder’s and/or beneficial owner’s acquisition of shares of capital stock or other securities of the Corporation and/or the stockholder’s and/or beneficial owner’s acts or omissions as a stockholder of the Corporation and</w:t>
      </w:r>
    </w:p>
    <w:p>
      <w:pPr>
        <w:spacing w:after="0" w:line="186" w:lineRule="exact"/>
        <w:rPr>
          <w:rFonts w:ascii="Arial" w:cs="Arial" w:eastAsia="Arial" w:hAnsi="Arial"/>
          <w:sz w:val="18"/>
          <w:szCs w:val="18"/>
          <w:color w:val="auto"/>
        </w:rPr>
      </w:pPr>
    </w:p>
    <w:p>
      <w:pPr>
        <w:ind w:left="1566" w:right="20" w:hanging="648"/>
        <w:spacing w:after="0" w:line="259" w:lineRule="auto"/>
        <w:tabs>
          <w:tab w:leader="none" w:pos="1566"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other information relating to such stockholder and beneficial owner, if any,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w:t>
      </w:r>
    </w:p>
    <w:p>
      <w:pPr>
        <w:spacing w:after="0" w:line="186" w:lineRule="exact"/>
        <w:rPr>
          <w:rFonts w:ascii="Arial" w:cs="Arial" w:eastAsia="Arial" w:hAnsi="Arial"/>
          <w:sz w:val="18"/>
          <w:szCs w:val="18"/>
          <w:color w:val="auto"/>
        </w:rPr>
      </w:pPr>
    </w:p>
    <w:p>
      <w:pPr>
        <w:ind w:left="286" w:hanging="286"/>
        <w:spacing w:after="0" w:line="259" w:lineRule="auto"/>
        <w:tabs>
          <w:tab w:leader="none" w:pos="286"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description of any agreement, arrangement or understanding with respect to the nomination or proposal and/or the voting of shares of any class or series of stock of the Corporation between or among the stockholder giving the notice, the beneficial owner, if any, on whose behalf the nomination or proposal is made, any of their respective affiliates or associates and/or any others acting in concert with any of the foregoing (collectively, “</w:t>
      </w:r>
      <w:r>
        <w:rPr>
          <w:rFonts w:ascii="Arial" w:cs="Arial" w:eastAsia="Arial" w:hAnsi="Arial"/>
          <w:sz w:val="18"/>
          <w:szCs w:val="18"/>
          <w:u w:val="single" w:color="auto"/>
          <w:color w:val="auto"/>
        </w:rPr>
        <w:t>proponent persons</w:t>
      </w:r>
      <w:r>
        <w:rPr>
          <w:rFonts w:ascii="Arial" w:cs="Arial" w:eastAsia="Arial" w:hAnsi="Arial"/>
          <w:sz w:val="18"/>
          <w:szCs w:val="18"/>
          <w:color w:val="auto"/>
        </w:rPr>
        <w:t>”); and</w:t>
      </w:r>
    </w:p>
    <w:p>
      <w:pPr>
        <w:spacing w:after="0" w:line="186" w:lineRule="exact"/>
        <w:rPr>
          <w:rFonts w:ascii="Arial" w:cs="Arial" w:eastAsia="Arial" w:hAnsi="Arial"/>
          <w:sz w:val="18"/>
          <w:szCs w:val="18"/>
          <w:color w:val="auto"/>
        </w:rPr>
      </w:pPr>
    </w:p>
    <w:p>
      <w:pPr>
        <w:ind w:left="286" w:right="80" w:hanging="286"/>
        <w:spacing w:after="0" w:line="263" w:lineRule="auto"/>
        <w:tabs>
          <w:tab w:leader="none" w:pos="286"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description of any agreement, arrangement or understanding (including without limitation any contract to purchase or sell, acquisition or grant of any option, right or warrant to purchase or sell, swap or other instrument) to which any proponent person is a party, the intent or effect of which may be:</w:t>
      </w:r>
    </w:p>
    <w:p>
      <w:pPr>
        <w:spacing w:after="0" w:line="183" w:lineRule="exact"/>
        <w:rPr>
          <w:rFonts w:ascii="Arial" w:cs="Arial" w:eastAsia="Arial" w:hAnsi="Arial"/>
          <w:sz w:val="18"/>
          <w:szCs w:val="18"/>
          <w:color w:val="auto"/>
        </w:rPr>
      </w:pPr>
    </w:p>
    <w:p>
      <w:pPr>
        <w:ind w:left="1566" w:right="20" w:hanging="648"/>
        <w:spacing w:after="0" w:line="277" w:lineRule="auto"/>
        <w:tabs>
          <w:tab w:leader="none" w:pos="1566" w:val="left"/>
        </w:tabs>
        <w:numPr>
          <w:ilvl w:val="1"/>
          <w:numId w:val="80"/>
        </w:numPr>
        <w:rPr>
          <w:rFonts w:ascii="Arial" w:cs="Arial" w:eastAsia="Arial" w:hAnsi="Arial"/>
          <w:sz w:val="18"/>
          <w:szCs w:val="18"/>
          <w:color w:val="auto"/>
        </w:rPr>
      </w:pPr>
      <w:r>
        <w:rPr>
          <w:rFonts w:ascii="Arial" w:cs="Arial" w:eastAsia="Arial" w:hAnsi="Arial"/>
          <w:sz w:val="18"/>
          <w:szCs w:val="18"/>
          <w:color w:val="auto"/>
        </w:rPr>
        <w:t>to transfer to or from any proponent person, in whole or in part, any of the economic consequences of ownership of any security of the Corporation,</w:t>
      </w:r>
    </w:p>
    <w:p>
      <w:pPr>
        <w:spacing w:after="0" w:line="170" w:lineRule="exact"/>
        <w:rPr>
          <w:rFonts w:ascii="Arial" w:cs="Arial" w:eastAsia="Arial" w:hAnsi="Arial"/>
          <w:sz w:val="18"/>
          <w:szCs w:val="18"/>
          <w:color w:val="auto"/>
        </w:rPr>
      </w:pPr>
    </w:p>
    <w:p>
      <w:pPr>
        <w:ind w:left="1566" w:right="160" w:hanging="648"/>
        <w:spacing w:after="0" w:line="277" w:lineRule="auto"/>
        <w:tabs>
          <w:tab w:leader="none" w:pos="1566" w:val="left"/>
        </w:tabs>
        <w:numPr>
          <w:ilvl w:val="1"/>
          <w:numId w:val="80"/>
        </w:numPr>
        <w:rPr>
          <w:rFonts w:ascii="Arial" w:cs="Arial" w:eastAsia="Arial" w:hAnsi="Arial"/>
          <w:sz w:val="18"/>
          <w:szCs w:val="18"/>
          <w:color w:val="auto"/>
        </w:rPr>
      </w:pPr>
      <w:r>
        <w:rPr>
          <w:rFonts w:ascii="Arial" w:cs="Arial" w:eastAsia="Arial" w:hAnsi="Arial"/>
          <w:sz w:val="18"/>
          <w:szCs w:val="18"/>
          <w:color w:val="auto"/>
        </w:rPr>
        <w:t>to increase or decrease the voting power of any proponent person with respect to shares of any class or series of stock of the Corporation, and/or</w:t>
      </w:r>
    </w:p>
    <w:p>
      <w:pPr>
        <w:spacing w:after="0" w:line="386" w:lineRule="exact"/>
        <w:rPr>
          <w:sz w:val="20"/>
          <w:szCs w:val="20"/>
          <w:color w:val="auto"/>
        </w:rPr>
      </w:pPr>
    </w:p>
    <w:p>
      <w:pPr>
        <w:ind w:left="4546"/>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-650875</wp:posOffset>
            </wp:positionH>
            <wp:positionV relativeFrom="paragraph">
              <wp:posOffset>14605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86"/>
          </w:cols>
          <w:pgMar w:left="1354" w:top="341" w:right="359" w:bottom="1440" w:gutter="0" w:footer="0" w:header="0"/>
        </w:sectPr>
      </w:pPr>
    </w:p>
    <w:bookmarkStart w:id="112" w:name="page113"/>
    <w:bookmarkEnd w:id="112"/>
    <w:p>
      <w:pPr>
        <w:ind w:left="1480" w:hanging="648"/>
        <w:spacing w:after="0" w:line="284" w:lineRule="auto"/>
        <w:tabs>
          <w:tab w:leader="none" w:pos="14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to provide any proponent person, directly or indirectly, with the opportunity to profit or share in any profit derived from, or to otherwise benefit economically from, any increase or decrease in the value of any security of the Corporation. A stockholder providing notice of a proposed nomination for election to the Board of Directors or other business proposed to be brought before a meeting (whether given pursuant to this paragraph (A)(3) or paragraph (B) of this Section 2.03 of these Bylaws) shall update and supplement such notice from time to time to the extent necessary so that the information provided or required to be provided in such notice shall be true and correct (x) as of the record date for determining the stockholders entitled to notice of the meeting and (y) as of the date that is 15 days prior to the meeting or any adjournment or postponement thereof, provided that if the record date for determining the stockholders entitled to vote at the meeting is less than 15 days prior to the meeting or any adjournment or postponement thereof, the information shall be supplemented and updated as of such later date. Any such update and supplement shall be delivered in writing to the Secretary of the Corporation at the principal executive offices of the Corporation not later than five days after the record date for determining the stockholders entitled to notice of the meeting (in the case of any update and supplement required to be made as of the record date for determining the stockholders entitled to notice of the meeting), not later than ten days prior to the date for the meeting or any adjournment or postponement thereof (in the case of any update or supplement required to be made as of 15 days prior to the meeting or adjournment or postponement thereof) and not later than five days after the record date for determining the stockholders entitled to vote at the meeting, but no later than the date prior to the meeting or any adjournment or postponement thereof (in the case of any update and supplement required to be made as of a date less than 15 days prior the date of the meeting or any adjournment or postponement thereof). The proponent persons shall also provide any other information reasonably requested by the Corporation within five business days of such request.</w:t>
      </w:r>
    </w:p>
    <w:p>
      <w:pPr>
        <w:spacing w:after="0" w:line="39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00"/>
          </w:cols>
          <w:pgMar w:left="1440" w:top="341" w:right="359" w:bottom="1440" w:gutter="0" w:footer="0" w:header="0"/>
        </w:sectPr>
      </w:pPr>
    </w:p>
    <w:bookmarkStart w:id="113" w:name="page114"/>
    <w:bookmarkEnd w:id="113"/>
    <w:p>
      <w:pPr>
        <w:ind w:right="60" w:firstLine="980"/>
        <w:spacing w:after="0" w:line="296" w:lineRule="auto"/>
        <w:tabs>
          <w:tab w:leader="none" w:pos="1257"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Special Meetings of Stockholders</w:t>
      </w:r>
      <w:r>
        <w:rPr>
          <w:rFonts w:ascii="Arial" w:cs="Arial" w:eastAsia="Arial" w:hAnsi="Arial"/>
          <w:sz w:val="16"/>
          <w:szCs w:val="16"/>
          <w:color w:val="auto"/>
        </w:rPr>
        <w:t>. 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pursuant to the Corporation’s notice of meeting (1) as provided in the Stockholders Agreement or (2) by or at the direction of the Board of Directors or any committee thereof. In no event shall the public announcement of an adjournment or postponement of a special meeting commence a new time period (or extend any time period) for the giving of a stockholder’s notice as described above.</w:t>
      </w:r>
    </w:p>
    <w:p>
      <w:pPr>
        <w:spacing w:after="0" w:line="161" w:lineRule="exact"/>
        <w:rPr>
          <w:rFonts w:ascii="Arial" w:cs="Arial" w:eastAsia="Arial" w:hAnsi="Arial"/>
          <w:sz w:val="16"/>
          <w:szCs w:val="16"/>
          <w:color w:val="auto"/>
        </w:rPr>
      </w:pPr>
    </w:p>
    <w:p>
      <w:pPr>
        <w:ind w:left="1260" w:hanging="280"/>
        <w:spacing w:after="0"/>
        <w:tabs>
          <w:tab w:leader="none" w:pos="126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25" w:lineRule="exact"/>
        <w:rPr>
          <w:sz w:val="20"/>
          <w:szCs w:val="20"/>
          <w:color w:val="auto"/>
        </w:rPr>
      </w:pPr>
    </w:p>
    <w:p>
      <w:pPr>
        <w:ind w:firstLine="980"/>
        <w:spacing w:after="0" w:line="284" w:lineRule="auto"/>
        <w:tabs>
          <w:tab w:leader="none" w:pos="1227" w:val="left"/>
        </w:tabs>
        <w:numPr>
          <w:ilvl w:val="0"/>
          <w:numId w:val="83"/>
        </w:numPr>
        <w:rPr>
          <w:rFonts w:ascii="Arial" w:cs="Arial" w:eastAsia="Arial" w:hAnsi="Arial"/>
          <w:sz w:val="16"/>
          <w:szCs w:val="16"/>
          <w:color w:val="auto"/>
        </w:rPr>
      </w:pPr>
      <w:r>
        <w:rPr>
          <w:rFonts w:ascii="Arial" w:cs="Arial" w:eastAsia="Arial" w:hAnsi="Arial"/>
          <w:sz w:val="16"/>
          <w:szCs w:val="16"/>
          <w:color w:val="auto"/>
        </w:rPr>
        <w:t>Except as provided in paragraph (C)(4) of this Section 2.03, only such persons who are nominated in accordance with the procedures set forth in this Section 2.03 or the Stockholders Agreement shall be eligible to serve as directors and only such business shall be conducted at an annual or special meeting of stockholders as shall have been brought before the meeting in accordance with the procedures set forth in this Section 2.03. Except as otherwise provided by law, the Certificate of Incorporation or these Bylaws, the chair of the meeting shall, in addition to making any other determination that may be appropriate for the conduct of the meeting,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to declare that such defective proposal or nomination shall be disregarded. The date and time of the opening and the closing of the polls for each matter upon which the stockholders will vote at a meeting shall be announced at the meeting by the chair of the meeting. The Board of Directors may adopt by resolution such rules and regulations for the conduct of the meeting of stockholders as it shall deem appropriate. Except to the extent inconsistent with such rules and regulations as adopted by the Board of Directors, the chair of the meeting shall have the right and authority to convene and (for any or no reason) to recess and/or adjourn the meeting, to prescribe such rules, regulations and procedures and to do all such acts as, in the judgment of such chair, are appropriate for the proper conduct of the meeting. Such rules, regulations or procedures, whether adopted by the Board of Directors or prescribed by the chair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entitled to vote at the meeting, their duly authorized and constituted proxies or such other persons as the chair of the meeting shall determine; (d) restrictions on entry to the meeting after the time fixed for the commencement thereof; and (e) limitations on the time allotted to questions or comments by participants. Notwithstanding the foregoing provisions of this Section 2.03, unless otherwise required by law, if the stockholder (or a qualified representative of the stockholder) does not appear at the annual or special meeting of stockholders of the Corporation to present a nomination or business, such nomination shall be disregarded and such proposed business shall not be transacted, notwithstanding that proxies in respect of such vote may have been received by the Corporation. For purposes of this Section 2.03,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Unless and to the extent determined by the Board of Directors or the chair of the meeting, meeting of stockholders shall not be required to be held in accordance with the rules of parliamentary procedure.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4" w:name="page115"/>
    <w:bookmarkEnd w:id="114"/>
    <w:p>
      <w:pPr>
        <w:ind w:left="-40" w:firstLine="980"/>
        <w:spacing w:after="0" w:line="301" w:lineRule="auto"/>
        <w:tabs>
          <w:tab w:leader="none" w:pos="1187" w:val="left"/>
        </w:tabs>
        <w:numPr>
          <w:ilvl w:val="0"/>
          <w:numId w:val="84"/>
        </w:numPr>
        <w:rPr>
          <w:rFonts w:ascii="Arial" w:cs="Arial" w:eastAsia="Arial" w:hAnsi="Arial"/>
          <w:sz w:val="16"/>
          <w:szCs w:val="16"/>
          <w:color w:val="auto"/>
        </w:rPr>
      </w:pPr>
      <w:r>
        <w:rPr>
          <w:rFonts w:ascii="Arial" w:cs="Arial" w:eastAsia="Arial" w:hAnsi="Arial"/>
          <w:sz w:val="16"/>
          <w:szCs w:val="16"/>
          <w:color w:val="auto"/>
        </w:rPr>
        <w:t>Whenever used in these Bylaws, “</w:t>
      </w:r>
      <w:r>
        <w:rPr>
          <w:rFonts w:ascii="Arial" w:cs="Arial" w:eastAsia="Arial" w:hAnsi="Arial"/>
          <w:sz w:val="16"/>
          <w:szCs w:val="16"/>
          <w:u w:val="single" w:color="auto"/>
          <w:color w:val="auto"/>
        </w:rPr>
        <w:t>public announcement</w:t>
      </w:r>
      <w:r>
        <w:rPr>
          <w:rFonts w:ascii="Arial" w:cs="Arial" w:eastAsia="Arial" w:hAnsi="Arial"/>
          <w:sz w:val="16"/>
          <w:szCs w:val="16"/>
          <w:color w:val="auto"/>
        </w:rPr>
        <w:t>” shall mean disclosure (a) in a press release released by the Corporation, provided such press release is released by the Corporation following its customary procedures, is reported by the Dow Jones News Service, Associated Press or comparable national news service, or is generally available on internet news sites, or (b) in a document publicly filed by the Corporation with the Securities and Exchange Commission pursuant to Section 13, 14 or 15(d) of the Exchange Act and the rules and regulations promulgated thereunder.</w:t>
      </w:r>
    </w:p>
    <w:p>
      <w:pPr>
        <w:spacing w:after="0" w:line="157" w:lineRule="exact"/>
        <w:rPr>
          <w:rFonts w:ascii="Arial" w:cs="Arial" w:eastAsia="Arial" w:hAnsi="Arial"/>
          <w:sz w:val="16"/>
          <w:szCs w:val="16"/>
          <w:color w:val="auto"/>
        </w:rPr>
      </w:pPr>
    </w:p>
    <w:p>
      <w:pPr>
        <w:ind w:left="-40" w:firstLine="980"/>
        <w:spacing w:after="0" w:line="291" w:lineRule="auto"/>
        <w:tabs>
          <w:tab w:leader="none" w:pos="1187"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Notwithstanding the foregoing provisions of this Section 2.03, a stockholder shall also comply with all applicable requirements of the Exchange Act and the rules and regulations promulgated thereunder with respect to the matters set forth in this Section 2.03;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fullest extent permitted by law, any references in these Bylaws to the Exchange Act or the rules and regulations promulgated thereunder are not intended to and shall not limit any requirements applicable to nominations or proposals as to any other business to be considered pursuant to these Bylaws (including paragraphs (A)(1)(d) and (B) hereof), and compliance with paragraphs (A)(1)(d) and (B) of this Section 2.03 of these Bylaws shall be the exclusive means for a stockholder to make nominations or submit other business. Nothing in these Bylaws shall be deemed to affect any rights of the holders of any class or series of stock having a preference over the Common Stock as to dividends or upon liquidation to elect directors under specified circumstances.</w:t>
      </w:r>
    </w:p>
    <w:p>
      <w:pPr>
        <w:spacing w:after="0" w:line="166" w:lineRule="exact"/>
        <w:rPr>
          <w:rFonts w:ascii="Arial" w:cs="Arial" w:eastAsia="Arial" w:hAnsi="Arial"/>
          <w:sz w:val="16"/>
          <w:szCs w:val="16"/>
          <w:color w:val="auto"/>
        </w:rPr>
      </w:pPr>
    </w:p>
    <w:p>
      <w:pPr>
        <w:ind w:left="-40" w:right="80" w:firstLine="980"/>
        <w:spacing w:after="0" w:line="311" w:lineRule="auto"/>
        <w:tabs>
          <w:tab w:leader="none" w:pos="1187" w:val="left"/>
        </w:tabs>
        <w:numPr>
          <w:ilvl w:val="0"/>
          <w:numId w:val="84"/>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Section 2.03, for as long as the Stockholders Agreement remains in effect with respect to the Principal Stockholders, the Principal Stockholders (to the extent then subject to the Stockholders Agreement) shall not be subject to the notice procedures set forth in paragraphs (A)(2), (A)(3) or (B) of this Section 2.03 with respect to any annual or special meeting of stockholders.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60" w:top="341" w:right="359" w:bottom="1440" w:gutter="0" w:footer="0" w:header="0"/>
        </w:sectPr>
      </w:pPr>
    </w:p>
    <w:bookmarkStart w:id="115" w:name="page116"/>
    <w:bookmarkEnd w:id="115"/>
    <w:p>
      <w:pPr>
        <w:ind w:firstLine="972"/>
        <w:spacing w:after="0" w:line="272" w:lineRule="auto"/>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u w:val="single" w:color="auto"/>
          <w:color w:val="auto"/>
        </w:rPr>
        <w:t>Notice of Meetings</w:t>
      </w:r>
      <w:r>
        <w:rPr>
          <w:rFonts w:ascii="Arial" w:cs="Arial" w:eastAsia="Arial" w:hAnsi="Arial"/>
          <w:sz w:val="17"/>
          <w:szCs w:val="17"/>
          <w:color w:val="auto"/>
        </w:rPr>
        <w:t>. Whenever stockholders are required or permitted to take any action at a meeting, a timely notice in writing or by electronic transmission, in the manner provided in Section 232 of the General Corporation Law of the State of Delaware (the “</w:t>
      </w:r>
      <w:r>
        <w:rPr>
          <w:rFonts w:ascii="Arial" w:cs="Arial" w:eastAsia="Arial" w:hAnsi="Arial"/>
          <w:sz w:val="17"/>
          <w:szCs w:val="17"/>
          <w:u w:val="single" w:color="auto"/>
          <w:color w:val="auto"/>
        </w:rPr>
        <w:t>DGCL</w:t>
      </w:r>
      <w:r>
        <w:rPr>
          <w:rFonts w:ascii="Arial" w:cs="Arial" w:eastAsia="Arial" w:hAnsi="Arial"/>
          <w:sz w:val="17"/>
          <w:szCs w:val="17"/>
          <w:color w:val="auto"/>
        </w:rPr>
        <w:t>”), of the meeting, which shall state the place, if any, date and time of the meeting, the means of remote communications, if any, by which stockholders and proxyholders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purposes for which the meeting is called, shall be mailed to or transmitted electronically by the Secretary of the Corporation to each stockholder of record entitled to vote thereat as of the record date for determining the stockholders entitled to notice of the meeting.</w:t>
      </w:r>
    </w:p>
    <w:p>
      <w:pPr>
        <w:spacing w:after="0" w:line="17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Unless otherwise provided by law, the Certificate of Incorporation or these Bylaws, the notice of any meeting shall be given not less than ten nor more than 60 days before the date of the meeting to each stockholder entitled to vote at such meeting as of the record date for determining the stockholders entitled to notice of the meeting.</w:t>
      </w:r>
    </w:p>
    <w:p>
      <w:pPr>
        <w:spacing w:after="0" w:line="184" w:lineRule="exact"/>
        <w:rPr>
          <w:sz w:val="20"/>
          <w:szCs w:val="20"/>
          <w:color w:val="auto"/>
        </w:rPr>
      </w:pPr>
    </w:p>
    <w:p>
      <w:pPr>
        <w:ind w:right="20" w:firstLine="972"/>
        <w:spacing w:after="0" w:line="254"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Quorum</w:t>
      </w:r>
      <w:r>
        <w:rPr>
          <w:rFonts w:ascii="Arial" w:cs="Arial" w:eastAsia="Arial" w:hAnsi="Arial"/>
          <w:sz w:val="18"/>
          <w:szCs w:val="18"/>
          <w:color w:val="auto"/>
        </w:rPr>
        <w:t>. Unless otherwise required by law, the Certificate of Incorporation or the rules of any stock exchange upon which the Corporation’s securities are listed, the holders of record of a majority of the voting power of the issued and outstanding shares of capital stock of the Corporation entitled to vote thereat, present in person or represented by proxy, shall constitute a quorum for the transaction of business at all meetings of stockholders. Notwithstanding the foregoing, where a separate vote by a class or series or classes or series is required, a majority in voting power of the outstanding shares of such class or series or classes or series, present in person or represented by proxy, shall constitute a quorum entitled to take action with respect to the vote on that matter. Once a quorum is present to organize a meeting, it shall not be broken by the subsequent withdrawal of any stockholders.</w:t>
      </w:r>
    </w:p>
    <w:p>
      <w:pPr>
        <w:spacing w:after="0" w:line="195" w:lineRule="exact"/>
        <w:rPr>
          <w:sz w:val="20"/>
          <w:szCs w:val="20"/>
          <w:color w:val="auto"/>
        </w:rPr>
      </w:pPr>
    </w:p>
    <w:p>
      <w:pPr>
        <w:ind w:right="40" w:firstLine="972"/>
        <w:spacing w:after="0" w:line="285"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u w:val="single" w:color="auto"/>
          <w:color w:val="auto"/>
        </w:rPr>
        <w:t>Voting</w:t>
      </w:r>
      <w:r>
        <w:rPr>
          <w:rFonts w:ascii="Arial" w:cs="Arial" w:eastAsia="Arial" w:hAnsi="Arial"/>
          <w:sz w:val="16"/>
          <w:szCs w:val="16"/>
          <w:color w:val="auto"/>
        </w:rPr>
        <w:t>. Except as otherwise provided by or pursuant to the provisions of the Certificate of Incorporation, each stockholder entitled to vote at any meeting of stockholders shall be entitled to one vote for each share of stock held by such stockholder that has voting power upon the matter in question. Each stockholder entitled to vote at a meeting of stockholders or to express consent to corporate action in writing without a meeting may authorize another person or persons to act for such stockholder by proxy in any manner provided by applicable law, but no such proxy shall be voted or acted upon after three years from its date, unless the proxy provides for a longer period. A proxy shall be irrevocable if it states that it is irrevocable and if, and only as long as, it is coupled with an interest sufficient in law to support an irrevocable power. A stockholder may revoke any proxy that is not irrevocable by attending the meeting and voting in person or by delivering to the Secretary of the Corporation a revocation of the proxy or a new proxy bearing a later date. Unless required by the Certificate of Incorporation or applicable law, or determined by the chair of the meeting to be advisable, the vote on any question need not be by ballot. On a vote by ballot, each ballot shall be signed by the stockholder voting, or by such stockholder’s proxy, if there be such proxy. When a quorum is present or represented at any meeting, the vote of the holders of a majority of the voting power of the shares of stock present in person or represented by proxy and entitled to vote on the subject matter shall decide any question brought before such meeting, unless the question is one upon which, by express provision of applicable law, of the rules or regulations of any stock exchange applicable to the Corporation, of any regulation applicable to the Corporation or its securities, of the Certificate of Incorporation or of these Bylaws, a different vote is required, in which case such express provision shall govern and control the decision of such question. Notwithstanding the foregoing sentence and subject to the Certificate of Incorporation, all elections of directors shall be determined by a plurality of the votes cast in respect of the shares present in person or represented by proxy at the meeting and entitled to vote on the election of directors.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6" w:name="page117"/>
    <w:bookmarkEnd w:id="116"/>
    <w:p>
      <w:pPr>
        <w:ind w:right="420" w:firstLine="972"/>
        <w:spacing w:after="0" w:line="308" w:lineRule="auto"/>
        <w:rPr>
          <w:sz w:val="20"/>
          <w:szCs w:val="20"/>
          <w:color w:val="auto"/>
        </w:rPr>
      </w:pPr>
      <w:r>
        <w:rPr>
          <w:rFonts w:ascii="Arial" w:cs="Arial" w:eastAsia="Arial" w:hAnsi="Arial"/>
          <w:sz w:val="17"/>
          <w:szCs w:val="17"/>
          <w:color w:val="auto"/>
        </w:rPr>
        <w:t xml:space="preserve">SECTION 2.07 </w:t>
      </w:r>
      <w:r>
        <w:rPr>
          <w:rFonts w:ascii="Arial" w:cs="Arial" w:eastAsia="Arial" w:hAnsi="Arial"/>
          <w:sz w:val="17"/>
          <w:szCs w:val="17"/>
          <w:u w:val="single" w:color="auto"/>
          <w:color w:val="auto"/>
        </w:rPr>
        <w:t>Chair of Meetings</w:t>
      </w:r>
      <w:r>
        <w:rPr>
          <w:rFonts w:ascii="Arial" w:cs="Arial" w:eastAsia="Arial" w:hAnsi="Arial"/>
          <w:sz w:val="17"/>
          <w:szCs w:val="17"/>
          <w:color w:val="auto"/>
        </w:rPr>
        <w:t>. The Chair of the Board of Directors, if one is elected, or, in his or her absence or disability, a person designated by the Board of Directors shall be the chair of the meeting and, as such, preside at all meetings of the stockholders.</w:t>
      </w:r>
    </w:p>
    <w:p>
      <w:pPr>
        <w:spacing w:after="0" w:line="146" w:lineRule="exact"/>
        <w:rPr>
          <w:sz w:val="20"/>
          <w:szCs w:val="20"/>
          <w:color w:val="auto"/>
        </w:rPr>
      </w:pPr>
    </w:p>
    <w:p>
      <w:pPr>
        <w:ind w:right="60" w:firstLine="972"/>
        <w:spacing w:after="0" w:line="263"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Secretary of Meetings</w:t>
      </w:r>
      <w:r>
        <w:rPr>
          <w:rFonts w:ascii="Arial" w:cs="Arial" w:eastAsia="Arial" w:hAnsi="Arial"/>
          <w:sz w:val="18"/>
          <w:szCs w:val="18"/>
          <w:color w:val="auto"/>
        </w:rPr>
        <w:t>. The Secretary of the Corporation shall act as secretary at all meetings of the stockholders. In the absence or disability of the Secretary, the Chair of the Board of Directors, the Chief Executive Officer or the chair of the meeting shall appoint a person to act as secretary at such meetings.</w:t>
      </w:r>
    </w:p>
    <w:p>
      <w:pPr>
        <w:spacing w:after="0" w:line="184" w:lineRule="exact"/>
        <w:rPr>
          <w:sz w:val="20"/>
          <w:szCs w:val="20"/>
          <w:color w:val="auto"/>
        </w:rPr>
      </w:pPr>
    </w:p>
    <w:p>
      <w:pPr>
        <w:ind w:firstLine="972"/>
        <w:spacing w:after="0" w:line="263"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Consent of Stockholders in Lieu of Meeting</w:t>
      </w:r>
      <w:r>
        <w:rPr>
          <w:rFonts w:ascii="Arial" w:cs="Arial" w:eastAsia="Arial" w:hAnsi="Arial"/>
          <w:sz w:val="18"/>
          <w:szCs w:val="18"/>
          <w:color w:val="auto"/>
        </w:rPr>
        <w:t>. Any action required or permitted to be taken at any annual or special meeting of stockholders of the Corporation may be taken without a meeting, without prior notice and without a vote only in the manner provided in the Certificate of Incorporation and in accordance with applicable law.</w:t>
      </w:r>
    </w:p>
    <w:p>
      <w:pPr>
        <w:spacing w:after="0" w:line="184" w:lineRule="exact"/>
        <w:rPr>
          <w:sz w:val="20"/>
          <w:szCs w:val="20"/>
          <w:color w:val="auto"/>
        </w:rPr>
      </w:pPr>
    </w:p>
    <w:p>
      <w:pPr>
        <w:ind w:right="20" w:firstLine="972"/>
        <w:spacing w:after="0" w:line="254"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Adjournment</w:t>
      </w:r>
      <w:r>
        <w:rPr>
          <w:rFonts w:ascii="Arial" w:cs="Arial" w:eastAsia="Arial" w:hAnsi="Arial"/>
          <w:sz w:val="18"/>
          <w:szCs w:val="18"/>
          <w:color w:val="auto"/>
        </w:rPr>
        <w:t>. At any meeting of stockholders of the Corporation, the chair of the meeting or stockholders holding a majority in voting power of the shares of stock of the Corporation, present in person or by proxy and entitled to vote thereat, shall have the power to convene, adjourn, and reconvene the meeting from time to time without notice other than announcement at the meeting. Any business may be transacted at the adjourned meeting that might have been transacted at the meeting originally noticed. If after the adjournment a new record date for determination of stockholders entitled to vote is fixed for the adjourned meeting, the Board of Directors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adjourned meeting as of the record date so fixed for notice of such adjourned meeting.</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117" w:name="page118"/>
    <w:bookmarkEnd w:id="117"/>
    <w:p>
      <w:pPr>
        <w:ind w:right="20" w:firstLine="972"/>
        <w:spacing w:after="0" w:line="268" w:lineRule="auto"/>
        <w:rPr>
          <w:sz w:val="20"/>
          <w:szCs w:val="20"/>
          <w:color w:val="auto"/>
        </w:rPr>
      </w:pPr>
      <w:r>
        <w:rPr>
          <w:rFonts w:ascii="Arial" w:cs="Arial" w:eastAsia="Arial" w:hAnsi="Arial"/>
          <w:sz w:val="17"/>
          <w:szCs w:val="17"/>
          <w:color w:val="auto"/>
        </w:rPr>
        <w:t xml:space="preserve">SECTION 2.11 </w:t>
      </w:r>
      <w:r>
        <w:rPr>
          <w:rFonts w:ascii="Arial" w:cs="Arial" w:eastAsia="Arial" w:hAnsi="Arial"/>
          <w:sz w:val="17"/>
          <w:szCs w:val="17"/>
          <w:u w:val="single" w:color="auto"/>
          <w:color w:val="auto"/>
        </w:rPr>
        <w:t>Inspectors of Election</w:t>
      </w:r>
      <w:r>
        <w:rPr>
          <w:rFonts w:ascii="Arial" w:cs="Arial" w:eastAsia="Arial" w:hAnsi="Arial"/>
          <w:sz w:val="17"/>
          <w:szCs w:val="17"/>
          <w:color w:val="auto"/>
        </w:rPr>
        <w:t>. 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chair of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(a) ascertain the number of shares of capital stock of the Corporation outstanding and the voting power of each such share, (b) determine the shares of capital stock of the Corporation represented at the meeting and the validity of proxies and ballots, (c) count all votes and ballots, (d) determine and retain for a reasonable period a record of the disposition of any challenges made to any determination by the inspectors, and (e)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ind w:right="20" w:firstLine="972"/>
        <w:spacing w:after="0" w:line="259"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Powers</w:t>
      </w:r>
      <w:r>
        <w:rPr>
          <w:rFonts w:ascii="Arial" w:cs="Arial" w:eastAsia="Arial" w:hAnsi="Arial"/>
          <w:sz w:val="18"/>
          <w:szCs w:val="18"/>
          <w:color w:val="auto"/>
        </w:rPr>
        <w:t>. Except as otherwise provided in the Certificate of Incorporation or the DGCL, the business and affairs of the Corporation shall be managed by or under the direction of the Board of Directors. The Board of Directors may exercise all such authority and powers of the Corporation and do all such lawful acts and things as are not by the DGCL or the Certificate of Incorporation directed or required to be exercised or done by the stockholders.</w:t>
      </w:r>
    </w:p>
    <w:p>
      <w:pPr>
        <w:spacing w:after="0" w:line="187" w:lineRule="exact"/>
        <w:rPr>
          <w:sz w:val="20"/>
          <w:szCs w:val="20"/>
          <w:color w:val="auto"/>
        </w:rPr>
      </w:pPr>
    </w:p>
    <w:p>
      <w:pPr>
        <w:ind w:firstLine="972"/>
        <w:spacing w:after="0" w:line="293"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Number and Term; Chair</w:t>
      </w:r>
      <w:r>
        <w:rPr>
          <w:rFonts w:ascii="Arial" w:cs="Arial" w:eastAsia="Arial" w:hAnsi="Arial"/>
          <w:sz w:val="16"/>
          <w:szCs w:val="16"/>
          <w:color w:val="auto"/>
        </w:rPr>
        <w:t>. Subject to the Certificate of Incorporation and the Stockholders Agreement, the number of directors shall be fixed exclusively by resolution of the Board of Directors. Directors shall be elected by the stockholders at their annual meeting, and the term of each director so elected shall be as set forth in the Certificate of Incorporation. The Board of Directors shall elect a Chair of the Board of Directors, who shall have the powers and perform such duties as provided in these Bylaws and as the Board of Directors may from time to time prescribe. The Chair of the Board of Directors shall preside at all meetings of the Board of Directors at which he or she is present. If the Chair of the Board of Directors is not present at a meeting of the Board of Directors, a majority of the directors present at such meeting shall elect one of their members to preside.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8" w:name="page119"/>
    <w:bookmarkEnd w:id="118"/>
    <w:p>
      <w:pPr>
        <w:jc w:val="both"/>
        <w:ind w:right="120" w:firstLine="972"/>
        <w:spacing w:after="0" w:line="311"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Resignations</w:t>
      </w:r>
      <w:r>
        <w:rPr>
          <w:rFonts w:ascii="Arial" w:cs="Arial" w:eastAsia="Arial" w:hAnsi="Arial"/>
          <w:sz w:val="16"/>
          <w:szCs w:val="16"/>
          <w:color w:val="auto"/>
        </w:rPr>
        <w:t>. Any director may resign at any time upon notice given in writing or by electronic transmission to the Board of Directors or the Chair of the Board of Directors. The resignation shall take effect at the time specified therein, and if no time is specified, at the time of its receipt. The acceptance of a resignation shall not be necessary to make it effective unless otherwise expressly provided in the resignation.</w:t>
      </w:r>
    </w:p>
    <w:p>
      <w:pPr>
        <w:spacing w:after="0" w:line="149" w:lineRule="exact"/>
        <w:rPr>
          <w:sz w:val="20"/>
          <w:szCs w:val="20"/>
          <w:color w:val="auto"/>
        </w:rPr>
      </w:pPr>
    </w:p>
    <w:p>
      <w:pPr>
        <w:ind w:right="540" w:firstLine="972"/>
        <w:spacing w:after="0" w:line="277"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Removal</w:t>
      </w:r>
      <w:r>
        <w:rPr>
          <w:rFonts w:ascii="Arial" w:cs="Arial" w:eastAsia="Arial" w:hAnsi="Arial"/>
          <w:sz w:val="18"/>
          <w:szCs w:val="18"/>
          <w:color w:val="auto"/>
        </w:rPr>
        <w:t>. Directors of the Corporation may be removed in the manner provided in the Certificate of Incorporation, the Stockholders Agreement and applicable law.</w:t>
      </w:r>
    </w:p>
    <w:p>
      <w:pPr>
        <w:spacing w:after="0" w:line="170" w:lineRule="exact"/>
        <w:rPr>
          <w:sz w:val="20"/>
          <w:szCs w:val="20"/>
          <w:color w:val="auto"/>
        </w:rPr>
      </w:pPr>
    </w:p>
    <w:p>
      <w:pPr>
        <w:jc w:val="both"/>
        <w:ind w:right="80" w:firstLine="972"/>
        <w:spacing w:after="0" w:line="296" w:lineRule="auto"/>
        <w:rPr>
          <w:sz w:val="20"/>
          <w:szCs w:val="20"/>
          <w:color w:val="auto"/>
        </w:rPr>
      </w:pPr>
      <w:r>
        <w:rPr>
          <w:rFonts w:ascii="Arial" w:cs="Arial" w:eastAsia="Arial" w:hAnsi="Arial"/>
          <w:sz w:val="16"/>
          <w:szCs w:val="16"/>
          <w:color w:val="auto"/>
        </w:rPr>
        <w:t xml:space="preserve">SECTION 3.05 </w:t>
      </w:r>
      <w:r>
        <w:rPr>
          <w:rFonts w:ascii="Arial" w:cs="Arial" w:eastAsia="Arial" w:hAnsi="Arial"/>
          <w:sz w:val="16"/>
          <w:szCs w:val="16"/>
          <w:u w:val="single" w:color="auto"/>
          <w:color w:val="auto"/>
        </w:rPr>
        <w:t>Vacancies and Newly Created Directorships</w:t>
      </w:r>
      <w:r>
        <w:rPr>
          <w:rFonts w:ascii="Arial" w:cs="Arial" w:eastAsia="Arial" w:hAnsi="Arial"/>
          <w:sz w:val="16"/>
          <w:szCs w:val="16"/>
          <w:color w:val="auto"/>
        </w:rPr>
        <w:t>. Except as otherwise provided by applicable law and subject to the Stockholders Agreement, vacancies occurring in any directorship (whether by death, resignation, retirement, disqualification, removal or other cause) and newly created directorships resulting from any increase in the number of directors shall be filled in accordance with the Certificate of Incorporation. Any director elected to fill a vacancy or newly created directorship shall hold office until the next election of the class for which such director shall have been chosen and until his or her successor shall be elected and qualified, or until his or her earlier death, resignation, retirement, disqualification or removal.</w:t>
      </w:r>
    </w:p>
    <w:p>
      <w:pPr>
        <w:spacing w:after="0" w:line="161" w:lineRule="exact"/>
        <w:rPr>
          <w:sz w:val="20"/>
          <w:szCs w:val="20"/>
          <w:color w:val="auto"/>
        </w:rPr>
      </w:pPr>
    </w:p>
    <w:p>
      <w:pPr>
        <w:ind w:firstLine="972"/>
        <w:spacing w:after="0" w:line="289" w:lineRule="auto"/>
        <w:rPr>
          <w:sz w:val="20"/>
          <w:szCs w:val="20"/>
          <w:color w:val="auto"/>
        </w:rPr>
      </w:pPr>
      <w:r>
        <w:rPr>
          <w:rFonts w:ascii="Arial" w:cs="Arial" w:eastAsia="Arial" w:hAnsi="Arial"/>
          <w:sz w:val="16"/>
          <w:szCs w:val="16"/>
          <w:color w:val="auto"/>
        </w:rPr>
        <w:t xml:space="preserve">SECTION 3.06 </w:t>
      </w:r>
      <w:r>
        <w:rPr>
          <w:rFonts w:ascii="Arial" w:cs="Arial" w:eastAsia="Arial" w:hAnsi="Arial"/>
          <w:sz w:val="16"/>
          <w:szCs w:val="16"/>
          <w:u w:val="single" w:color="auto"/>
          <w:color w:val="auto"/>
        </w:rPr>
        <w:t>Meetings</w:t>
      </w:r>
      <w:r>
        <w:rPr>
          <w:rFonts w:ascii="Arial" w:cs="Arial" w:eastAsia="Arial" w:hAnsi="Arial"/>
          <w:sz w:val="16"/>
          <w:szCs w:val="16"/>
          <w:color w:val="auto"/>
        </w:rPr>
        <w:t>. Regular meetings of the Board of Directors may be held at such places and times as shall be determined from time to time by the Board of Directors. Special meetings of the Board of Directors may be called by the Chief Executive Officer of the Corporation or the Chair of the Board of Directors or as provided by the Certificate of Incorporation, and shall be called by the Chief Executive Officer or the Secretary of the Corporation if directed by the Board of Directors and shall be at such places and times as they or he or she shall fix. Special meetings of the Board of Directors may be also called by the Principal Stockholders at any time when the Principal Stockholders beneficially own at least a majority of the voting power of the stock of the Corporation entitled to vote generally in the election of directors, and shall be at such places and times as the Principal Stockholders shall fix. Notice need not be given of regular meetings of the Board of Directors. At least 24 hours before each special meeting of the Board of Directors, either written notice, notice by electronic transmission or oral notice (either in person or by telephone) notice of the time, date and place of the meeting shall be given to each director. Unless otherwise indicated in the notice thereof, any and all business may be transacted at a special meeting.</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19" w:name="page120"/>
    <w:bookmarkEnd w:id="119"/>
    <w:p>
      <w:pPr>
        <w:ind w:firstLine="972"/>
        <w:spacing w:after="0" w:line="257"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Quorum, Voting and Adjournment</w:t>
      </w:r>
      <w:r>
        <w:rPr>
          <w:rFonts w:ascii="Arial" w:cs="Arial" w:eastAsia="Arial" w:hAnsi="Arial"/>
          <w:sz w:val="18"/>
          <w:szCs w:val="18"/>
          <w:color w:val="auto"/>
        </w:rPr>
        <w:t>. A majority of the total number of directors shall constitute a quorum for the transaction of business. Except as otherwise provided by law, the Certificate of Incorporation or these Bylaws, the act of a majority of the directors present at a meeting at which a quorum is present shall be the act of the Board of Directors. In the absence of a quorum, a majority of the directors present thereat may adjourn such meeting to another time and place. Notice of such adjourned meeting need not be given if the time and place of such adjourned meeting are announced at the meeting so adjourned.</w:t>
      </w:r>
    </w:p>
    <w:p>
      <w:pPr>
        <w:spacing w:after="0" w:line="188" w:lineRule="exact"/>
        <w:rPr>
          <w:sz w:val="20"/>
          <w:szCs w:val="20"/>
          <w:color w:val="auto"/>
        </w:rPr>
      </w:pPr>
    </w:p>
    <w:p>
      <w:pPr>
        <w:ind w:right="20" w:firstLine="972"/>
        <w:spacing w:after="0" w:line="267" w:lineRule="auto"/>
        <w:rPr>
          <w:sz w:val="20"/>
          <w:szCs w:val="20"/>
          <w:color w:val="auto"/>
        </w:rPr>
      </w:pPr>
      <w:r>
        <w:rPr>
          <w:rFonts w:ascii="Arial" w:cs="Arial" w:eastAsia="Arial" w:hAnsi="Arial"/>
          <w:sz w:val="17"/>
          <w:szCs w:val="17"/>
          <w:color w:val="auto"/>
        </w:rPr>
        <w:t xml:space="preserve">SECTION 3.08 </w:t>
      </w:r>
      <w:r>
        <w:rPr>
          <w:rFonts w:ascii="Arial" w:cs="Arial" w:eastAsia="Arial" w:hAnsi="Arial"/>
          <w:sz w:val="17"/>
          <w:szCs w:val="17"/>
          <w:u w:val="single" w:color="auto"/>
          <w:color w:val="auto"/>
        </w:rPr>
        <w:t>Committees; Committee Rules</w:t>
      </w:r>
      <w:r>
        <w:rPr>
          <w:rFonts w:ascii="Arial" w:cs="Arial" w:eastAsia="Arial" w:hAnsi="Arial"/>
          <w:sz w:val="17"/>
          <w:szCs w:val="17"/>
          <w:color w:val="auto"/>
        </w:rPr>
        <w:t>. The Board of Directors may designate one or more committees, including but not limited to an Audit Committee, a Compensation Committee and a Nominating and Corporate Governance Committee, each such committee to consist of one or more of the directors of the Corporation. The Board of Directors may designate one or more directors as alternate members of any committee to replace any absent or disqualified member at any meeting of the committee. Any such committee, to the extent provided in the resolution of the Board of Directors establishing such committee,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in reference to the following matters: (a) approving or adopting, or recommending to the stockholders, any action or matter (other than the election or removal of directors) expressly required by the DGCL to be submitted to stockholders for approval or (b) adopting, amending or repealing any Bylaw of the Corporation. All committees of the Board of Directors shall keep minutes of their meetings and shall report their proceedings to the Board of Directors when requested or required by the Board of Directors. Each committee of the Board of Directors may fix its own rules of procedure and shall hold its meetings as provided by such rules, except as may otherwise be provided by a resolution of the Board of Directors designating such committee. Unless otherwise provided in such a resolution, the presence of at least a majority of the members of the committee shall be necessary to constitute a quorum unless the committee shall consist of one or two members, in which event one member shall constitute a quorum; and all matters shall be determined by a majority vote of the members present at a meeting of the committee at which a quorum is present. Unless otherwise provided in such a resolution, in the event that a member and that member’s alternate, if alternates are designated by the Board of Directors, of such committee is or are absent or disqualified, the member or members thereof present at any meeting and not disqualified from voting, whether or not such member or members constitute a quorum, may unanimously appoint another member of the Board of Directors to act at the meeting in place of any such absent or disqualified member.</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0" w:name="page121"/>
    <w:bookmarkEnd w:id="120"/>
    <w:p>
      <w:pPr>
        <w:ind w:right="20" w:firstLine="972"/>
        <w:spacing w:after="0" w:line="257"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Action Without a Meeting</w:t>
      </w:r>
      <w:r>
        <w:rPr>
          <w:rFonts w:ascii="Arial" w:cs="Arial" w:eastAsia="Arial" w:hAnsi="Arial"/>
          <w:sz w:val="18"/>
          <w:szCs w:val="18"/>
          <w:color w:val="auto"/>
        </w:rPr>
        <w:t>. Unless otherwise restricted by the Certificate of Incorporation, any action required or permitted to be taken at any meeting of the Board of Directors or of any committee thereof may be taken without a meeting if all members of the Board of Directors or any committee thereof, as the case may be, consent thereto in writing or by electronic transmission, and the writing or writings or electronic transmission or transmissions are filed in the minutes of proceedings of the Board of Directors. Such filing shall be in paper form if the minutes are maintained in paper form or shall be in electronic form if the minutes are maintained in electronic form.</w:t>
      </w:r>
    </w:p>
    <w:p>
      <w:pPr>
        <w:spacing w:after="0" w:line="188" w:lineRule="exact"/>
        <w:rPr>
          <w:sz w:val="20"/>
          <w:szCs w:val="20"/>
          <w:color w:val="auto"/>
        </w:rPr>
      </w:pPr>
    </w:p>
    <w:p>
      <w:pPr>
        <w:ind w:right="200" w:firstLine="972"/>
        <w:spacing w:after="0" w:line="259"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Remote Meeting</w:t>
      </w:r>
      <w:r>
        <w:rPr>
          <w:rFonts w:ascii="Arial" w:cs="Arial" w:eastAsia="Arial" w:hAnsi="Arial"/>
          <w:sz w:val="18"/>
          <w:szCs w:val="18"/>
          <w:color w:val="auto"/>
        </w:rPr>
        <w:t>. Unless otherwise restricted by the Certificate of Incorporation, members of the Board of Directors, or any committee designated by the Board of Directors, may participate in a meeting by means of conference telephone or other communications equipment in which all persons participating in the meeting can hear each other. Participation in a meeting by means of conference telephone or other communications equipment shall constitute presence in person at such meeting.</w:t>
      </w:r>
    </w:p>
    <w:p>
      <w:pPr>
        <w:spacing w:after="0" w:line="187" w:lineRule="exact"/>
        <w:rPr>
          <w:sz w:val="20"/>
          <w:szCs w:val="20"/>
          <w:color w:val="auto"/>
        </w:rPr>
      </w:pPr>
    </w:p>
    <w:p>
      <w:pPr>
        <w:ind w:right="200" w:firstLine="972"/>
        <w:spacing w:after="0" w:line="308" w:lineRule="auto"/>
        <w:rPr>
          <w:sz w:val="20"/>
          <w:szCs w:val="20"/>
          <w:color w:val="auto"/>
        </w:rPr>
      </w:pPr>
      <w:r>
        <w:rPr>
          <w:rFonts w:ascii="Arial" w:cs="Arial" w:eastAsia="Arial" w:hAnsi="Arial"/>
          <w:sz w:val="17"/>
          <w:szCs w:val="17"/>
          <w:color w:val="auto"/>
        </w:rPr>
        <w:t xml:space="preserve">SECTION 3.11 </w:t>
      </w:r>
      <w:r>
        <w:rPr>
          <w:rFonts w:ascii="Arial" w:cs="Arial" w:eastAsia="Arial" w:hAnsi="Arial"/>
          <w:sz w:val="17"/>
          <w:szCs w:val="17"/>
          <w:u w:val="single" w:color="auto"/>
          <w:color w:val="auto"/>
        </w:rPr>
        <w:t>Compensation</w:t>
      </w:r>
      <w:r>
        <w:rPr>
          <w:rFonts w:ascii="Arial" w:cs="Arial" w:eastAsia="Arial" w:hAnsi="Arial"/>
          <w:sz w:val="17"/>
          <w:szCs w:val="17"/>
          <w:color w:val="auto"/>
        </w:rPr>
        <w:t>. The Board of Directors, or any committee thereof designated with such authority, shall have the authority to fix the compensation, including fees and reimbursement of expenses, of directors for services to the Corporation in any capacity.</w:t>
      </w:r>
    </w:p>
    <w:p>
      <w:pPr>
        <w:spacing w:after="0" w:line="146" w:lineRule="exact"/>
        <w:rPr>
          <w:sz w:val="20"/>
          <w:szCs w:val="20"/>
          <w:color w:val="auto"/>
        </w:rPr>
      </w:pPr>
    </w:p>
    <w:p>
      <w:pPr>
        <w:ind w:firstLine="972"/>
        <w:spacing w:after="0" w:line="257"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Reliance on Books and Records</w:t>
      </w:r>
      <w:r>
        <w:rPr>
          <w:rFonts w:ascii="Arial" w:cs="Arial" w:eastAsia="Arial" w:hAnsi="Arial"/>
          <w:sz w:val="18"/>
          <w:szCs w:val="18"/>
          <w:color w:val="auto"/>
        </w:rPr>
        <w:t>. A member of the Board of Directors, or a member of any committee designated by the Board of Directors shall, in the performance of such person’s duties, be fully protected in relying in good faith upon records of the Corporation and upon such information, opinions, reports or statements presented to the Corporation by any of the Corporation’s officers or employees, or committees of the Board of Directors, or by any other person as to matters the member reasonably believes are within such other person’s professional or expert competence and who has been selected with reasonable care by or on behalf of the Corporation.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Officers</w:t>
      </w:r>
    </w:p>
    <w:p>
      <w:pPr>
        <w:spacing w:after="0" w:line="229" w:lineRule="exact"/>
        <w:rPr>
          <w:sz w:val="20"/>
          <w:szCs w:val="20"/>
          <w:color w:val="auto"/>
        </w:rPr>
      </w:pPr>
    </w:p>
    <w:p>
      <w:pPr>
        <w:ind w:right="40" w:firstLine="972"/>
        <w:spacing w:after="0" w:line="273"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u w:val="single" w:color="auto"/>
          <w:color w:val="auto"/>
        </w:rPr>
        <w:t>Number</w:t>
      </w:r>
      <w:r>
        <w:rPr>
          <w:rFonts w:ascii="Arial" w:cs="Arial" w:eastAsia="Arial" w:hAnsi="Arial"/>
          <w:sz w:val="17"/>
          <w:szCs w:val="17"/>
          <w:color w:val="auto"/>
        </w:rPr>
        <w:t>. The officers of the Corporation shall include a Chief Executive Officer, a principal financial officer, a principal accounting officer and a Secretary, each of whom shall be elected by the Board of Directors and who shall hold office for such terms as shall be determined by the Board of Directors and until their successors are elected and qualify or until their earlier resignation or removal. In addition, the Board of Directors may elect one or more Vice Presidents, including one or more Executive Vice Presidents, Senior Vice Presidents, a Treasurer and one or more Assistant Treasurers and one or more Assistant Secretaries, who shall hold their office for such terms and shall exercise such powers and perform such duties as shall be determined from time to time by the Board of Directors. Any number of offices may be held by the same person.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1" w:name="page122"/>
    <w:bookmarkEnd w:id="121"/>
    <w:p>
      <w:pPr>
        <w:ind w:right="300" w:firstLine="972"/>
        <w:spacing w:after="0" w:line="259"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Other Officers and Agents</w:t>
      </w:r>
      <w:r>
        <w:rPr>
          <w:rFonts w:ascii="Arial" w:cs="Arial" w:eastAsia="Arial" w:hAnsi="Arial"/>
          <w:sz w:val="18"/>
          <w:szCs w:val="18"/>
          <w:color w:val="auto"/>
        </w:rPr>
        <w:t>. The Board of Directors may appoint such other officers and agents as it deems advisable, who shall hold their office for such terms and shall exercise and perform such powers and duties as shall be determined from time to time by the Board of Directors. The Board of Directors may appoint one or more officers called a Vice Chair, each of whom does not need to be a member of the Board of Directors.</w:t>
      </w:r>
    </w:p>
    <w:p>
      <w:pPr>
        <w:spacing w:after="0" w:line="187" w:lineRule="exact"/>
        <w:rPr>
          <w:sz w:val="20"/>
          <w:szCs w:val="20"/>
          <w:color w:val="auto"/>
        </w:rPr>
      </w:pPr>
    </w:p>
    <w:p>
      <w:pPr>
        <w:jc w:val="both"/>
        <w:ind w:right="200" w:firstLine="972"/>
        <w:spacing w:after="0" w:line="263"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The Chief Executive Officer shall have general executive charge, management, and control of the properties and operations of the Corporation in the ordinary course of its business, with all such powers with respect to such properties and operations as may be reasonably incident to such responsibilities.</w:t>
      </w:r>
    </w:p>
    <w:p>
      <w:pPr>
        <w:spacing w:after="0" w:line="184" w:lineRule="exact"/>
        <w:rPr>
          <w:sz w:val="20"/>
          <w:szCs w:val="20"/>
          <w:color w:val="auto"/>
        </w:rPr>
      </w:pPr>
    </w:p>
    <w:p>
      <w:pPr>
        <w:ind w:right="100" w:firstLine="972"/>
        <w:spacing w:after="0" w:line="263"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Vice Presidents</w:t>
      </w:r>
      <w:r>
        <w:rPr>
          <w:rFonts w:ascii="Arial" w:cs="Arial" w:eastAsia="Arial" w:hAnsi="Arial"/>
          <w:sz w:val="18"/>
          <w:szCs w:val="18"/>
          <w:color w:val="auto"/>
        </w:rPr>
        <w:t>. Each Vice President, if any are appointed, of whom one or more may be designated an Executive Vice President or Senior Vice President, shall have such powers and shall perform such duties as shall be assigned to him or her by the Chief Executive Officer or the Board of Directors.</w:t>
      </w:r>
    </w:p>
    <w:p>
      <w:pPr>
        <w:spacing w:after="0" w:line="184" w:lineRule="exact"/>
        <w:rPr>
          <w:sz w:val="20"/>
          <w:szCs w:val="20"/>
          <w:color w:val="auto"/>
        </w:rPr>
      </w:pPr>
    </w:p>
    <w:p>
      <w:pPr>
        <w:ind w:firstLine="972"/>
        <w:spacing w:after="0" w:line="272" w:lineRule="auto"/>
        <w:rPr>
          <w:sz w:val="20"/>
          <w:szCs w:val="20"/>
          <w:color w:val="auto"/>
        </w:rPr>
      </w:pPr>
      <w:r>
        <w:rPr>
          <w:rFonts w:ascii="Arial" w:cs="Arial" w:eastAsia="Arial" w:hAnsi="Arial"/>
          <w:sz w:val="17"/>
          <w:szCs w:val="17"/>
          <w:color w:val="auto"/>
        </w:rPr>
        <w:t xml:space="preserve">SECTION 4.05 </w:t>
      </w:r>
      <w:r>
        <w:rPr>
          <w:rFonts w:ascii="Arial" w:cs="Arial" w:eastAsia="Arial" w:hAnsi="Arial"/>
          <w:sz w:val="17"/>
          <w:szCs w:val="17"/>
          <w:u w:val="single" w:color="auto"/>
          <w:color w:val="auto"/>
        </w:rPr>
        <w:t>Treasurer</w:t>
      </w:r>
      <w:r>
        <w:rPr>
          <w:rFonts w:ascii="Arial" w:cs="Arial" w:eastAsia="Arial" w:hAnsi="Arial"/>
          <w:sz w:val="17"/>
          <w:szCs w:val="17"/>
          <w:color w:val="auto"/>
        </w:rPr>
        <w:t>. The Treasurer shall have custody of the corporate funds, securities, evidences of indebtedness and other valuables of the Corporation and shall keep full and accurate accounts of receipts and disbursements in books belonging to the Corporation. The Treasurer shall deposit all moneys and other valuables in the name and to the credit of the Corporation in such depositories as may be designated by the Board of Directors or its designees selected for such purposes. The Treasurer shall disburse the funds of the Corporation, taking proper vouchers therefor. The Treasurer shall render to the Chief Executive Officer and the Board of Directors, upon their request, a report of the financial condition of the Corporation. If required by the Board of Directors, the Treasurer shall give the Corporation a bond for the faithful discharge of his or her duties in such amount and with such surety as the Board of Directors shall prescribe.</w:t>
      </w:r>
    </w:p>
    <w:p>
      <w:pPr>
        <w:spacing w:after="0" w:line="177" w:lineRule="exact"/>
        <w:rPr>
          <w:sz w:val="20"/>
          <w:szCs w:val="20"/>
          <w:color w:val="auto"/>
        </w:rPr>
      </w:pPr>
    </w:p>
    <w:p>
      <w:pPr>
        <w:ind w:firstLine="972"/>
        <w:spacing w:after="0" w:line="277" w:lineRule="auto"/>
        <w:rPr>
          <w:sz w:val="20"/>
          <w:szCs w:val="20"/>
          <w:color w:val="auto"/>
        </w:rPr>
      </w:pPr>
      <w:r>
        <w:rPr>
          <w:rFonts w:ascii="Arial" w:cs="Arial" w:eastAsia="Arial" w:hAnsi="Arial"/>
          <w:sz w:val="18"/>
          <w:szCs w:val="18"/>
          <w:color w:val="auto"/>
        </w:rPr>
        <w:t>In addition, the Treasurer shall have such further powers and perform such other duties incident to the office of Treasurer as from time to time are assigned to him or her by the Chief Executive Officer or the Board of Directors.</w:t>
      </w:r>
    </w:p>
    <w:p>
      <w:pPr>
        <w:spacing w:after="0" w:line="170" w:lineRule="exact"/>
        <w:rPr>
          <w:sz w:val="20"/>
          <w:szCs w:val="20"/>
          <w:color w:val="auto"/>
        </w:rPr>
      </w:pPr>
    </w:p>
    <w:p>
      <w:pPr>
        <w:ind w:right="40" w:firstLine="972"/>
        <w:spacing w:after="0" w:line="257"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Secretary</w:t>
      </w:r>
      <w:r>
        <w:rPr>
          <w:rFonts w:ascii="Arial" w:cs="Arial" w:eastAsia="Arial" w:hAnsi="Arial"/>
          <w:sz w:val="18"/>
          <w:szCs w:val="18"/>
          <w:color w:val="auto"/>
        </w:rPr>
        <w:t>. The Secretary shall: (a) cause minutes of all meetings of the stockholders and directors to be recorded and kept properly; (b) cause all notices required by these Bylaws or otherwise to be given properly; (c) see that the minute books, stock books, and other nonfinancial books, records and papers of the Corporation are kept properly; and (d) cause all reports, statements, returns, certificates and other documents to be prepared and filed when and as required. The Secretary shall have such further powers and perform such other duties as prescribed from time to time by the Chief Executive Officer or the Board of Directors.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22" w:name="page123"/>
    <w:bookmarkEnd w:id="122"/>
    <w:p>
      <w:pPr>
        <w:jc w:val="both"/>
        <w:ind w:right="140" w:firstLine="972"/>
        <w:spacing w:after="0" w:line="301" w:lineRule="auto"/>
        <w:rPr>
          <w:sz w:val="20"/>
          <w:szCs w:val="20"/>
          <w:color w:val="auto"/>
        </w:rPr>
      </w:pPr>
      <w:r>
        <w:rPr>
          <w:rFonts w:ascii="Arial" w:cs="Arial" w:eastAsia="Arial" w:hAnsi="Arial"/>
          <w:sz w:val="16"/>
          <w:szCs w:val="16"/>
          <w:color w:val="auto"/>
        </w:rPr>
        <w:t xml:space="preserve">SECTION 4.07 </w:t>
      </w:r>
      <w:r>
        <w:rPr>
          <w:rFonts w:ascii="Arial" w:cs="Arial" w:eastAsia="Arial" w:hAnsi="Arial"/>
          <w:sz w:val="16"/>
          <w:szCs w:val="16"/>
          <w:u w:val="single" w:color="auto"/>
          <w:color w:val="auto"/>
        </w:rPr>
        <w:t>Assistant Treasurers and Assistant Secretaries</w:t>
      </w:r>
      <w:r>
        <w:rPr>
          <w:rFonts w:ascii="Arial" w:cs="Arial" w:eastAsia="Arial" w:hAnsi="Arial"/>
          <w:sz w:val="16"/>
          <w:szCs w:val="16"/>
          <w:color w:val="auto"/>
        </w:rPr>
        <w:t>. Each Assistant Treasurer and each Assistant Secretary, if any are appointed, shall be vested with all the powers and shall perform all the duties of the Treasurer and Secretary, respectively, in the absence or disability of such officer, unless or until the Chief Executive Officer or the Board of Directors shall otherwise determine. In addition, Assistant Treasurers and Assistant Secretaries shall have such powers and shall perform such duties as shall be assigned to them by the Chief Executive Officer or the Board of Directors.</w:t>
      </w:r>
    </w:p>
    <w:p>
      <w:pPr>
        <w:spacing w:after="0" w:line="157" w:lineRule="exact"/>
        <w:rPr>
          <w:sz w:val="20"/>
          <w:szCs w:val="20"/>
          <w:color w:val="auto"/>
        </w:rPr>
      </w:pPr>
    </w:p>
    <w:p>
      <w:pPr>
        <w:ind w:firstLine="972"/>
        <w:spacing w:after="0" w:line="259" w:lineRule="auto"/>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u w:val="single" w:color="auto"/>
          <w:color w:val="auto"/>
        </w:rPr>
        <w:t>Corporate Funds and Checks</w:t>
      </w:r>
      <w:r>
        <w:rPr>
          <w:rFonts w:ascii="Arial" w:cs="Arial" w:eastAsia="Arial" w:hAnsi="Arial"/>
          <w:sz w:val="18"/>
          <w:szCs w:val="18"/>
          <w:color w:val="auto"/>
        </w:rPr>
        <w:t>. The funds of the Corporation shall be kept in such depositories as shall from time to time be prescribed by the Board of Directors or its designees selected for such purposes. All checks or other orders for the payment of money shall be signed by the Chief Executive Officer, a Vice President, the Treasurer or the Secretary or such other person or agent as may from time to time be authorized and with such countersignature, if any, as may be required by the Board of Directors.</w:t>
      </w:r>
    </w:p>
    <w:p>
      <w:pPr>
        <w:spacing w:after="0" w:line="187" w:lineRule="exact"/>
        <w:rPr>
          <w:sz w:val="20"/>
          <w:szCs w:val="20"/>
          <w:color w:val="auto"/>
        </w:rPr>
      </w:pPr>
    </w:p>
    <w:p>
      <w:pPr>
        <w:ind w:right="60" w:firstLine="972"/>
        <w:spacing w:after="0" w:line="259" w:lineRule="auto"/>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u w:val="single" w:color="auto"/>
          <w:color w:val="auto"/>
        </w:rPr>
        <w:t>Contracts and Other Documents</w:t>
      </w:r>
      <w:r>
        <w:rPr>
          <w:rFonts w:ascii="Arial" w:cs="Arial" w:eastAsia="Arial" w:hAnsi="Arial"/>
          <w:sz w:val="18"/>
          <w:szCs w:val="18"/>
          <w:color w:val="auto"/>
        </w:rPr>
        <w:t>. The Chief Executive Officer and the Secretary, or such other officer or officers as may from time to time be authorized by the Board of Directors or any other committee given specific authority in the premises by the Board of Directors during the intervals between the meetings of the Board of Directors, shall have power to sign and execute on behalf of the Corporation deeds, conveyances and contracts, and any and all other documents requiring execution by the Corporation.</w:t>
      </w:r>
    </w:p>
    <w:p>
      <w:pPr>
        <w:spacing w:after="0" w:line="187" w:lineRule="exact"/>
        <w:rPr>
          <w:sz w:val="20"/>
          <w:szCs w:val="20"/>
          <w:color w:val="auto"/>
        </w:rPr>
      </w:pPr>
    </w:p>
    <w:p>
      <w:pPr>
        <w:ind w:firstLine="972"/>
        <w:spacing w:after="0" w:line="296" w:lineRule="auto"/>
        <w:rPr>
          <w:sz w:val="20"/>
          <w:szCs w:val="20"/>
          <w:color w:val="auto"/>
        </w:rPr>
      </w:pPr>
      <w:r>
        <w:rPr>
          <w:rFonts w:ascii="Arial" w:cs="Arial" w:eastAsia="Arial" w:hAnsi="Arial"/>
          <w:sz w:val="16"/>
          <w:szCs w:val="16"/>
          <w:color w:val="auto"/>
        </w:rPr>
        <w:t xml:space="preserve">SECTION 4.10 </w:t>
      </w:r>
      <w:r>
        <w:rPr>
          <w:rFonts w:ascii="Arial" w:cs="Arial" w:eastAsia="Arial" w:hAnsi="Arial"/>
          <w:sz w:val="16"/>
          <w:szCs w:val="16"/>
          <w:u w:val="single" w:color="auto"/>
          <w:color w:val="auto"/>
        </w:rPr>
        <w:t>Ownership of Stock of Another Corporation</w:t>
      </w:r>
      <w:r>
        <w:rPr>
          <w:rFonts w:ascii="Arial" w:cs="Arial" w:eastAsia="Arial" w:hAnsi="Arial"/>
          <w:sz w:val="16"/>
          <w:szCs w:val="16"/>
          <w:color w:val="auto"/>
        </w:rPr>
        <w:t>. Unless otherwise directed by the Board of Directors, the Chief Executive Officer, a Vice President, the Treasurer or the Secretary, or such other officer or agent as shall be authorized by the Board of Directors, shall have the power and authority, on behalf of the Corporation, to attend and to vote at any meeting of securityholders of any entity in which the Corporation holds securities or equity interests and may exercise, on behalf of the Corporation, any and all of the rights and powers incident to the ownership of such securities or equity interests at any such meeting, including the authority to execute and deliver proxies and consents on behalf of the Corporation.</w:t>
      </w:r>
    </w:p>
    <w:p>
      <w:pPr>
        <w:spacing w:after="0" w:line="161" w:lineRule="exact"/>
        <w:rPr>
          <w:sz w:val="20"/>
          <w:szCs w:val="20"/>
          <w:color w:val="auto"/>
        </w:rPr>
      </w:pPr>
    </w:p>
    <w:p>
      <w:pPr>
        <w:ind w:right="20" w:firstLine="972"/>
        <w:spacing w:after="0" w:line="277" w:lineRule="auto"/>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In the absence, disability or refusal of any officer to exercise and perform his or her duties, the Board of Directors may delegate to another officer such powers or duties.</w:t>
      </w:r>
    </w:p>
    <w:p>
      <w:pPr>
        <w:spacing w:after="0" w:line="170" w:lineRule="exact"/>
        <w:rPr>
          <w:sz w:val="20"/>
          <w:szCs w:val="20"/>
          <w:color w:val="auto"/>
        </w:rPr>
      </w:pPr>
    </w:p>
    <w:p>
      <w:pPr>
        <w:ind w:firstLine="972"/>
        <w:spacing w:after="0" w:line="277" w:lineRule="auto"/>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Resignation and Removal</w:t>
      </w:r>
      <w:r>
        <w:rPr>
          <w:rFonts w:ascii="Arial" w:cs="Arial" w:eastAsia="Arial" w:hAnsi="Arial"/>
          <w:sz w:val="18"/>
          <w:szCs w:val="18"/>
          <w:color w:val="auto"/>
        </w:rPr>
        <w:t>. Any officer of the Corporation may be removed from office for or without cause at any time by the Board of Directors. Any officer may resign at any time in the same manner prescribed under Section 3.03 of these Bylaws.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23" w:name="page124"/>
    <w:bookmarkEnd w:id="123"/>
    <w:p>
      <w:pPr>
        <w:ind w:left="980"/>
        <w:spacing w:after="0"/>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u w:val="single" w:color="auto"/>
          <w:color w:val="auto"/>
        </w:rPr>
        <w:t>Vacancies</w:t>
      </w:r>
      <w:r>
        <w:rPr>
          <w:rFonts w:ascii="Arial" w:cs="Arial" w:eastAsia="Arial" w:hAnsi="Arial"/>
          <w:sz w:val="18"/>
          <w:szCs w:val="18"/>
          <w:color w:val="auto"/>
        </w:rPr>
        <w:t>. The Board of Directors shall have the power to fill vacancies occurring in any office.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w:t>
      </w:r>
    </w:p>
    <w:p>
      <w:pPr>
        <w:spacing w:after="0" w:line="229" w:lineRule="exact"/>
        <w:rPr>
          <w:sz w:val="20"/>
          <w:szCs w:val="20"/>
          <w:color w:val="auto"/>
        </w:rPr>
      </w:pPr>
    </w:p>
    <w:p>
      <w:pPr>
        <w:ind w:right="40" w:firstLine="972"/>
        <w:spacing w:after="0" w:line="270"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Shares With Certificates</w:t>
      </w:r>
      <w:r>
        <w:rPr>
          <w:rFonts w:ascii="Arial" w:cs="Arial" w:eastAsia="Arial" w:hAnsi="Arial"/>
          <w:sz w:val="17"/>
          <w:szCs w:val="17"/>
          <w:color w:val="auto"/>
        </w:rPr>
        <w:t>. The shares of stock of the Corporation shall be represented by certificates, provided that the Board of Directors may provide by resolution or resolutions that some or all of any or all classes or series of the Corporation’s stock shall be uncertificated shares. Any such resolution shall not apply to shares represented by a certificate until such certificate is surrendered to the Corporation. Every holder of stock in the Corporation represented by certificates shall be entitled to have a certificate signed by, or in the name of the Corporation by, (a) the Chair of the Board of Directors or the Vice Chair of the Board of Directors or, the Chief Executive Officer or a Vice President, and (b) the Treasurer or an Assistant Treasurer or the Secretary or an Assistant Secretary, certifying the number and class of shares of stock of the Corporation owned by such holder. Any or all of the signatures on the certificate may be a facsimile. The Board of Directors shall have the power to appoint one or more transfer agents and/or registrars for the transfer or registration of certificates of stock of any class, and may require stock certificates to be countersigned or registered by one or more of such transfer agents and/or registrars.</w:t>
      </w:r>
    </w:p>
    <w:p>
      <w:pPr>
        <w:spacing w:after="0" w:line="181" w:lineRule="exact"/>
        <w:rPr>
          <w:sz w:val="20"/>
          <w:szCs w:val="20"/>
          <w:color w:val="auto"/>
        </w:rPr>
      </w:pPr>
    </w:p>
    <w:p>
      <w:pPr>
        <w:ind w:right="80" w:firstLine="972"/>
        <w:spacing w:after="0" w:line="301"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Shares Without Certificates</w:t>
      </w:r>
      <w:r>
        <w:rPr>
          <w:rFonts w:ascii="Arial" w:cs="Arial" w:eastAsia="Arial" w:hAnsi="Arial"/>
          <w:sz w:val="16"/>
          <w:szCs w:val="16"/>
          <w:color w:val="auto"/>
        </w:rPr>
        <w:t>. If the Board of Directors chooses to issue shares of stock without certificates, the Corporation, if required by the DGCL, shall, within a reasonable time after the issue or transfer of shares without certificates, send the stockholder a written statement of the information required by the DGCL. The Corporation may adopt a system of issuance, recordation and transfer of its shares of stock by electronic or other means not involving the issuance of certificates, provided the use of such system by the Corporation is permitted in accordance with applicable law.</w:t>
      </w:r>
    </w:p>
    <w:p>
      <w:pPr>
        <w:spacing w:after="0" w:line="157" w:lineRule="exact"/>
        <w:rPr>
          <w:sz w:val="20"/>
          <w:szCs w:val="20"/>
          <w:color w:val="auto"/>
        </w:rPr>
      </w:pPr>
    </w:p>
    <w:p>
      <w:pPr>
        <w:ind w:firstLine="972"/>
        <w:spacing w:after="0" w:line="270" w:lineRule="auto"/>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u w:val="single" w:color="auto"/>
          <w:color w:val="auto"/>
        </w:rPr>
        <w:t>Transfer of Shares</w:t>
      </w:r>
      <w:r>
        <w:rPr>
          <w:rFonts w:ascii="Arial" w:cs="Arial" w:eastAsia="Arial" w:hAnsi="Arial"/>
          <w:sz w:val="17"/>
          <w:szCs w:val="17"/>
          <w:color w:val="auto"/>
        </w:rPr>
        <w:t>. Shares of stock of the Corporation shall be transferable upon its books by the holders thereof, in person or by their duly authorized attorneys or legal representatives, in the manner prescribed by law, the Certificate of Incorporation and in these Bylaws, upon surrender to the Corporation by delivery thereof (to the extent evidenced by a physical stock certificate) to the person in charge of the stock and transfer books and ledgers. Certificates representing such shares, if any, shall be cancelled and new certificates, if the shares are to be certificated, shall thereupon be issued. Shares of capital stock of the Corporation that are not represented by a certificate shall be transferred in accordance with applicable law. A record shall be made of each transfer. Whenever any transfer of shares shall be made for collateral security, and not absolutely, it shall be so expressed in the entry of the transfer if, when the certificates are presented, both the transferor and transferee request the Corporation to do so. The Board of Directors shall have power and authority to make such rules and regulations as it may deem necessary or proper concerning the issue, transfer and registration of certificates for shares of stock of the Corporation.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4" w:name="page125"/>
    <w:bookmarkEnd w:id="124"/>
    <w:p>
      <w:pPr>
        <w:ind w:right="60" w:firstLine="972"/>
        <w:spacing w:after="0" w:line="272" w:lineRule="auto"/>
        <w:rPr>
          <w:sz w:val="20"/>
          <w:szCs w:val="20"/>
          <w:color w:val="auto"/>
        </w:rPr>
      </w:pPr>
      <w:r>
        <w:rPr>
          <w:rFonts w:ascii="Arial" w:cs="Arial" w:eastAsia="Arial" w:hAnsi="Arial"/>
          <w:sz w:val="17"/>
          <w:szCs w:val="17"/>
          <w:color w:val="auto"/>
        </w:rPr>
        <w:t xml:space="preserve">SECTION 5.04 </w:t>
      </w:r>
      <w:r>
        <w:rPr>
          <w:rFonts w:ascii="Arial" w:cs="Arial" w:eastAsia="Arial" w:hAnsi="Arial"/>
          <w:sz w:val="17"/>
          <w:szCs w:val="17"/>
          <w:u w:val="single" w:color="auto"/>
          <w:color w:val="auto"/>
        </w:rPr>
        <w:t>Lost, Stolen, Destroyed or Mutilated Certificates</w:t>
      </w:r>
      <w:r>
        <w:rPr>
          <w:rFonts w:ascii="Arial" w:cs="Arial" w:eastAsia="Arial" w:hAnsi="Arial"/>
          <w:sz w:val="17"/>
          <w:szCs w:val="17"/>
          <w:color w:val="auto"/>
        </w:rPr>
        <w:t>. A new certificate of stock or uncertificated shares may be issued in the place of any certificate previously issued by the Corporation alleged to have been lost, stolen or destroyed, and the Corporation may, in its discretion, require the owner of such lost, stolen or destroyed certificate, or his or her legal representative, to give the Corporation a bond, in such sum as the Corporation may direct, in order to indemnify the Corporation against any claims that may be made against it in connection therewith. A new certificate or uncertificated shares of stock may be issued in the place of any certificate previously issued by the Corporation that has become mutilated upon the surrender by such owner of such mutilated certificate and, if required by the Corporation, the posting of a bond by such owner in an amount sufficient to indemnify the Corporation against any claim that may be made against it in connection therewith.</w:t>
      </w:r>
    </w:p>
    <w:p>
      <w:pPr>
        <w:spacing w:after="0" w:line="177" w:lineRule="exact"/>
        <w:rPr>
          <w:sz w:val="20"/>
          <w:szCs w:val="20"/>
          <w:color w:val="auto"/>
        </w:rPr>
      </w:pPr>
    </w:p>
    <w:p>
      <w:pPr>
        <w:ind w:firstLine="972"/>
        <w:spacing w:after="0" w:line="286" w:lineRule="auto"/>
        <w:rPr>
          <w:sz w:val="20"/>
          <w:szCs w:val="20"/>
          <w:color w:val="auto"/>
        </w:rPr>
      </w:pPr>
      <w:r>
        <w:rPr>
          <w:rFonts w:ascii="Arial" w:cs="Arial" w:eastAsia="Arial" w:hAnsi="Arial"/>
          <w:sz w:val="16"/>
          <w:szCs w:val="16"/>
          <w:color w:val="auto"/>
        </w:rPr>
        <w:t xml:space="preserve">SECTION 5.05 </w:t>
      </w:r>
      <w:r>
        <w:rPr>
          <w:rFonts w:ascii="Arial" w:cs="Arial" w:eastAsia="Arial" w:hAnsi="Arial"/>
          <w:sz w:val="16"/>
          <w:szCs w:val="16"/>
          <w:u w:val="single" w:color="auto"/>
          <w:color w:val="auto"/>
        </w:rPr>
        <w:t>List of Stockholders Entitled To Vote</w:t>
      </w:r>
      <w:r>
        <w:rPr>
          <w:rFonts w:ascii="Arial" w:cs="Arial" w:eastAsia="Arial" w:hAnsi="Arial"/>
          <w:sz w:val="16"/>
          <w:szCs w:val="16"/>
          <w:color w:val="auto"/>
        </w:rPr>
        <w:t>. The officer who has charge of the stock ledger shall prepare and make, at least ten days before every meeting of stockholders, a complete list of the stockholders entitled to vote at the meeting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the record date for determining the stockholders entitled to vote is less than ten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Such list shall be open to the examination of any stockholder, for any purpose germane to the meeting at least ten days prior to the meeting (a) on a reasonably accessible electronic network,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information required to gain access to such list is provided with the notice of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who are the stockholders entitled to examine the list of stockholders required by this Section 5.05 or to vote in person or by proxy at any meeting of stockholders.</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25" w:name="page126"/>
    <w:bookmarkEnd w:id="125"/>
    <w:p>
      <w:pPr>
        <w:ind w:left="960"/>
        <w:spacing w:after="0"/>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Fixing Date for Determination of Stockholders of Record.</w:t>
      </w:r>
    </w:p>
    <w:p>
      <w:pPr>
        <w:spacing w:after="0" w:line="225" w:lineRule="exact"/>
        <w:rPr>
          <w:sz w:val="20"/>
          <w:szCs w:val="20"/>
          <w:color w:val="auto"/>
        </w:rPr>
      </w:pPr>
    </w:p>
    <w:p>
      <w:pPr>
        <w:ind w:left="-20" w:firstLine="980"/>
        <w:spacing w:after="0" w:line="269" w:lineRule="auto"/>
        <w:tabs>
          <w:tab w:leader="none" w:pos="1247" w:val="left"/>
        </w:tabs>
        <w:numPr>
          <w:ilvl w:val="0"/>
          <w:numId w:val="85"/>
        </w:numPr>
        <w:rPr>
          <w:rFonts w:ascii="Arial" w:cs="Arial" w:eastAsia="Arial" w:hAnsi="Arial"/>
          <w:sz w:val="17"/>
          <w:szCs w:val="17"/>
          <w:color w:val="auto"/>
        </w:rPr>
      </w:pPr>
      <w:r>
        <w:rPr>
          <w:rFonts w:ascii="Arial" w:cs="Arial" w:eastAsia="Arial" w:hAnsi="Arial"/>
          <w:sz w:val="17"/>
          <w:szCs w:val="17"/>
          <w:color w:val="auto"/>
        </w:rPr>
        <w:t xml:space="preserve">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60 nor less than ten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78" w:lineRule="exact"/>
        <w:rPr>
          <w:rFonts w:ascii="Arial" w:cs="Arial" w:eastAsia="Arial" w:hAnsi="Arial"/>
          <w:sz w:val="17"/>
          <w:szCs w:val="17"/>
          <w:color w:val="auto"/>
        </w:rPr>
      </w:pPr>
    </w:p>
    <w:p>
      <w:pPr>
        <w:ind w:left="-20" w:right="220" w:firstLine="980"/>
        <w:spacing w:after="0" w:line="296" w:lineRule="auto"/>
        <w:tabs>
          <w:tab w:leader="none" w:pos="1237" w:val="left"/>
        </w:tabs>
        <w:numPr>
          <w:ilvl w:val="0"/>
          <w:numId w:val="85"/>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not be more than 60 days prior to such action. If no such record date is fixed, the record date for determining stockholders for any such purpose shall be at the close of business on the day on which the Board of Directors adopts the resolution relating thereto.</w:t>
      </w:r>
    </w:p>
    <w:p>
      <w:pPr>
        <w:spacing w:after="0" w:line="161" w:lineRule="exact"/>
        <w:rPr>
          <w:rFonts w:ascii="Arial" w:cs="Arial" w:eastAsia="Arial" w:hAnsi="Arial"/>
          <w:sz w:val="16"/>
          <w:szCs w:val="16"/>
          <w:color w:val="auto"/>
        </w:rPr>
      </w:pPr>
    </w:p>
    <w:p>
      <w:pPr>
        <w:ind w:left="-20" w:firstLine="980"/>
        <w:spacing w:after="0" w:line="290" w:lineRule="auto"/>
        <w:tabs>
          <w:tab w:leader="none" w:pos="1237" w:val="left"/>
        </w:tabs>
        <w:numPr>
          <w:ilvl w:val="0"/>
          <w:numId w:val="85"/>
        </w:numPr>
        <w:rPr>
          <w:rFonts w:ascii="Arial" w:cs="Arial" w:eastAsia="Arial" w:hAnsi="Arial"/>
          <w:sz w:val="16"/>
          <w:szCs w:val="16"/>
          <w:color w:val="auto"/>
        </w:rPr>
      </w:pPr>
      <w:r>
        <w:rPr>
          <w:rFonts w:ascii="Arial" w:cs="Arial" w:eastAsia="Arial" w:hAnsi="Arial"/>
          <w:sz w:val="16"/>
          <w:szCs w:val="16"/>
          <w:color w:val="auto"/>
        </w:rPr>
        <w:t>Unless otherwise restricted by the Certificate of Incorporation, in order that the Corporation may determine the stockholders entitled to express consent to corporate action in writing without a meeting, the Board of Directors may fix a record date, which record date shall not precede the date upon which the resolution fixing the record date is adopted by the Board of Directors, and which record date shall not be more than ten days after the date upon which the resolution fixing the record date is adopted by the Board of Directors. If no record date for determining stockholders entitled to express consent to corporate action in writing without a meeting is fixed by the Board of Directors, (a) when no prior action of the Board of Directors is required by law, the record date for such purpose shall be the first date on which a signed written consent setting forth the action taken or proposed to be taken is delivered to the Corporation in accordance with applicable law, and (b) if prior action by the Board of Directors is required by law, the record date for such purpose shall be at the close of business on the day on which the Board of Directors adopts the resolution taking such prior action.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341" w:right="359" w:bottom="1440" w:gutter="0" w:footer="0" w:header="0"/>
        </w:sectPr>
      </w:pPr>
    </w:p>
    <w:bookmarkStart w:id="126" w:name="page127"/>
    <w:bookmarkEnd w:id="126"/>
    <w:p>
      <w:pPr>
        <w:ind w:right="60" w:firstLine="972"/>
        <w:spacing w:after="0" w:line="296"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u w:val="single" w:color="auto"/>
          <w:color w:val="auto"/>
        </w:rPr>
        <w:t>Registered Stockholders</w:t>
      </w:r>
      <w:r>
        <w:rPr>
          <w:rFonts w:ascii="Arial" w:cs="Arial" w:eastAsia="Arial" w:hAnsi="Arial"/>
          <w:sz w:val="16"/>
          <w:szCs w:val="16"/>
          <w:color w:val="auto"/>
        </w:rPr>
        <w:t>. Prior to the surrender to the Corporation of the certificate or certificates for a share or shares of stock or notification to the Corporation of the transfer of uncertificated shares with a request to record the transfer of such share or shares, the Corporation may treat the registered owner of such share or shares as the person entitled to receive dividends, to vote, to receive notifications and otherwise to exercise all the rights and powers of an owner of such share or shares. To the fullest extent permitted by law, the Corporation shall not be bound to recognize any equitable or other claim to or interest in such share or shares on the part of any other person, whether or not it shall have express or other notice thereof.</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and Waiver of Notice</w:t>
      </w:r>
    </w:p>
    <w:p>
      <w:pPr>
        <w:spacing w:after="0" w:line="229" w:lineRule="exact"/>
        <w:rPr>
          <w:sz w:val="20"/>
          <w:szCs w:val="20"/>
          <w:color w:val="auto"/>
        </w:rPr>
      </w:pPr>
    </w:p>
    <w:p>
      <w:pPr>
        <w:ind w:right="260" w:firstLine="972"/>
        <w:spacing w:after="0" w:line="259"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Notice</w:t>
      </w:r>
      <w:r>
        <w:rPr>
          <w:rFonts w:ascii="Arial" w:cs="Arial" w:eastAsia="Arial" w:hAnsi="Arial"/>
          <w:sz w:val="18"/>
          <w:szCs w:val="18"/>
          <w:color w:val="auto"/>
        </w:rPr>
        <w:t>. If mailed, notice to stockholders shall be deemed given when deposited in the United States mail, postage prepaid, directed to the stockholder at such stockholder’s address as it appears on the records of the Corporation. Without limiting the manner by which notice otherwise may be given effectively to stockholders, any notice to stockholders may be given by electronic transmission in the manner provided in Section 232 of the DGCL.</w:t>
      </w:r>
    </w:p>
    <w:p>
      <w:pPr>
        <w:spacing w:after="0" w:line="187" w:lineRule="exact"/>
        <w:rPr>
          <w:sz w:val="20"/>
          <w:szCs w:val="20"/>
          <w:color w:val="auto"/>
        </w:rPr>
      </w:pPr>
    </w:p>
    <w:p>
      <w:pPr>
        <w:ind w:firstLine="972"/>
        <w:spacing w:after="0" w:line="275"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u w:val="single" w:color="auto"/>
          <w:color w:val="auto"/>
        </w:rPr>
        <w:t>Waiver of Notice</w:t>
      </w:r>
      <w:r>
        <w:rPr>
          <w:rFonts w:ascii="Arial" w:cs="Arial" w:eastAsia="Arial" w:hAnsi="Arial"/>
          <w:sz w:val="17"/>
          <w:szCs w:val="17"/>
          <w:color w:val="auto"/>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nor the purpose of any meeting need be specified in such a waiver. Attendance at any meeting (in person or by remote communication) shall constitute waiver of notice except attendance for the express purpose of objecting at the beginning of the meeting to the transaction of any business because the meeting is not lawfully called or convened.</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firstLine="972"/>
        <w:spacing w:after="0" w:line="268"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u w:val="single" w:color="auto"/>
          <w:color w:val="auto"/>
        </w:rPr>
        <w:t>Right to Indemnification</w:t>
      </w:r>
      <w:r>
        <w:rPr>
          <w:rFonts w:ascii="Arial" w:cs="Arial" w:eastAsia="Arial" w:hAnsi="Arial"/>
          <w:sz w:val="17"/>
          <w:szCs w:val="17"/>
          <w:color w:val="auto"/>
        </w:rPr>
        <w:t>. Each person who was or is made a party or is threatened to be made a party to or is otherwise involved in any action, suit or proceeding, whether civil, criminal, administrative or investigative (hereinafter a “</w:t>
      </w:r>
      <w:r>
        <w:rPr>
          <w:rFonts w:ascii="Arial" w:cs="Arial" w:eastAsia="Arial" w:hAnsi="Arial"/>
          <w:sz w:val="17"/>
          <w:szCs w:val="17"/>
          <w:u w:val="single" w:color="auto"/>
          <w:color w:val="auto"/>
        </w:rPr>
        <w:t>proceeding</w:t>
      </w:r>
      <w:r>
        <w:rPr>
          <w:rFonts w:ascii="Arial" w:cs="Arial" w:eastAsia="Arial" w:hAnsi="Arial"/>
          <w:sz w:val="17"/>
          <w:szCs w:val="17"/>
          <w:color w:val="auto"/>
        </w:rPr>
        <w:t>”), by reason of the fact that he or she is or was a director or an officer of the Corporation or, while a director or officer of the Corporation, is or was serving at the request of the Corporation as a director, manager, officer, employee, agent or trustee of another corporation or of a limited liability company, partnership, joint venture, trust or other enterprise, including service with respect to an employee benefit plan (hereinafter an “</w:t>
      </w:r>
      <w:r>
        <w:rPr>
          <w:rFonts w:ascii="Arial" w:cs="Arial" w:eastAsia="Arial" w:hAnsi="Arial"/>
          <w:sz w:val="17"/>
          <w:szCs w:val="17"/>
          <w:u w:val="single" w:color="auto"/>
          <w:color w:val="auto"/>
        </w:rPr>
        <w:t>indemnitee</w:t>
      </w:r>
      <w:r>
        <w:rPr>
          <w:rFonts w:ascii="Arial" w:cs="Arial" w:eastAsia="Arial" w:hAnsi="Arial"/>
          <w:sz w:val="17"/>
          <w:szCs w:val="17"/>
          <w:color w:val="auto"/>
        </w:rPr>
        <w:t xml:space="preserve">”), whether the basis of such proceeding is alleged action in an official capacity as a director, manager, officer, employee, agent or trustee or in any other capacity while serving as a director, manager, officer, employee, agent or trustee, shall be indemnified and held harmless by the Corporation to the fullest extent permitted by Delaware law, as the same exists or may hereafter be amended (but, in the case of any such amendment, if permitted, only to the extent that such amendment permits the Corporation to provide broader indemnification rights than such law permitted the Corporation to provide prior to such amendment), against all expense, liability and loss (including attorneys’ fees, judgments, fines, ERISA excise taxes or penalties and amounts paid in settlement) reasonably incurred or suffered by such indemnitee in connection therewith;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as provided in Section 7.03 with respect to proceedings to enforce rights to indemnification or advancement of expenses or with respect to any compulsory counterclaim brought by such indemnitee, the Corporation shall indemnify any such indemnitee in connection with a proceeding (or part thereof) initiated by such indemnitee only if such proceeding (or part thereof) was authorized by the Board of Directors.</w:t>
      </w:r>
    </w:p>
    <w:p>
      <w:pPr>
        <w:spacing w:after="0" w:line="184" w:lineRule="exact"/>
        <w:rPr>
          <w:sz w:val="20"/>
          <w:szCs w:val="20"/>
          <w:color w:val="auto"/>
        </w:rPr>
      </w:pPr>
    </w:p>
    <w:p>
      <w:pPr>
        <w:ind w:firstLine="972"/>
        <w:spacing w:after="0" w:line="287"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Right to Advancement of Expenses</w:t>
      </w:r>
      <w:r>
        <w:rPr>
          <w:rFonts w:ascii="Arial" w:cs="Arial" w:eastAsia="Arial" w:hAnsi="Arial"/>
          <w:sz w:val="16"/>
          <w:szCs w:val="16"/>
          <w:color w:val="auto"/>
        </w:rPr>
        <w:t>. In addition to the right to indemnification conferred in Section 7.01, an indemnitee shall also have the right to be paid by the Corporation the expenses (including attorneys’ fees) incurred in appearing at, participating in or defending any such proceeding in advance of its final disposition or in connection with a proceeding brought to establish or enforce a right to indemnification or advancement of expenses under this Article VII (which shall be governed by Section 7.03 (hereinafter an “</w:t>
      </w:r>
      <w:r>
        <w:rPr>
          <w:rFonts w:ascii="Arial" w:cs="Arial" w:eastAsia="Arial" w:hAnsi="Arial"/>
          <w:sz w:val="16"/>
          <w:szCs w:val="16"/>
          <w:u w:val="single" w:color="auto"/>
          <w:color w:val="auto"/>
        </w:rPr>
        <w:t>advancement of expenses</w:t>
      </w:r>
      <w:r>
        <w:rPr>
          <w:rFonts w:ascii="Arial" w:cs="Arial" w:eastAsia="Arial" w:hAnsi="Arial"/>
          <w:sz w:val="16"/>
          <w:szCs w:val="16"/>
          <w:color w:val="auto"/>
        </w:rPr>
        <w:t xml:space="preserve">”). Such advancement shall be unconditional, unsecured and interest free and shall be made without regard to indemnitee’s ability to repay any expenses advanced;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DGCL requires or in the case of an advance made in a proceeding brought to establish or enforce a right to indemnification or advancement, an advancement of expenses incurred by an indemnitee in his or her capacity as a director or officer (and not in any other capacity in which service was or is rendered by such indemnitee, including, without limitation, service to an employee benefit plan) shall be made solely upon delivery to the Corporation of an unsecured undertaking (hereinafter an “</w:t>
      </w:r>
      <w:r>
        <w:rPr>
          <w:rFonts w:ascii="Arial" w:cs="Arial" w:eastAsia="Arial" w:hAnsi="Arial"/>
          <w:sz w:val="16"/>
          <w:szCs w:val="16"/>
          <w:u w:val="single" w:color="auto"/>
          <w:color w:val="auto"/>
        </w:rPr>
        <w:t>undertaking</w:t>
      </w:r>
      <w:r>
        <w:rPr>
          <w:rFonts w:ascii="Arial" w:cs="Arial" w:eastAsia="Arial" w:hAnsi="Arial"/>
          <w:sz w:val="16"/>
          <w:szCs w:val="16"/>
          <w:color w:val="auto"/>
        </w:rPr>
        <w:t>”), by or on behalf of such indemnitee, to repay all amounts so advanced if it shall ultimately be determined by final judicial decision from which there is no further right to appeal (hereinafter a “</w:t>
      </w:r>
      <w:r>
        <w:rPr>
          <w:rFonts w:ascii="Arial" w:cs="Arial" w:eastAsia="Arial" w:hAnsi="Arial"/>
          <w:sz w:val="16"/>
          <w:szCs w:val="16"/>
          <w:u w:val="single" w:color="auto"/>
          <w:color w:val="auto"/>
        </w:rPr>
        <w:t>final adjudication</w:t>
      </w:r>
      <w:r>
        <w:rPr>
          <w:rFonts w:ascii="Arial" w:cs="Arial" w:eastAsia="Arial" w:hAnsi="Arial"/>
          <w:sz w:val="16"/>
          <w:szCs w:val="16"/>
          <w:color w:val="auto"/>
        </w:rPr>
        <w:t>”) that such indemnitee is not entitled to be indemnified or entitled to advancement of expenses under Sections 7.01 and 7.02 or otherwise.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28" w:name="page129"/>
    <w:bookmarkEnd w:id="128"/>
    <w:p>
      <w:pPr>
        <w:ind w:firstLine="972"/>
        <w:spacing w:after="0" w:line="285"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u w:val="single" w:color="auto"/>
          <w:color w:val="auto"/>
        </w:rPr>
        <w:t>Right of Indemnitee to Bring Suit</w:t>
      </w:r>
      <w:r>
        <w:rPr>
          <w:rFonts w:ascii="Arial" w:cs="Arial" w:eastAsia="Arial" w:hAnsi="Arial"/>
          <w:sz w:val="16"/>
          <w:szCs w:val="16"/>
          <w:color w:val="auto"/>
        </w:rPr>
        <w:t>. If a claim under Section 7.01 or 7.02 is not paid in full by the Corporation within (a) 60 days after a written claim for indemnification has been received by the Corporation or (b) 20 days after a claim for an advancement of expenses has been received by the Corporation, the indemnitee may at any time thereafter bring suit against the Corporation to recover the unpaid amount of the claim or to obtain advancement of expenses, as applicable. To the fullest extent permitted by law, if successful in whole or in part in any such suit, or in a suit brought by the Corporation to recover an advancement of expenses pursuant to the terms of an undertaking, the indemnitee shall be entitled to be paid also the expense of prosecuting or defending such suit. In any suit brought by the indemnitee to enforce a right to indemnification hereunder (but not in a suit brought by the indemnitee to enforce a right to an advancement of expenses) it shall be a defense that the indemnitee has not met any applicable standard for indemnification set forth in the DGCL, and in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DGCL.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VII or otherwise shall be on the Corporation.</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Indemnification Not Exclusive</w:t>
      </w:r>
      <w:r>
        <w:rPr>
          <w:rFonts w:ascii="Arial" w:cs="Arial" w:eastAsia="Arial" w:hAnsi="Arial"/>
          <w:sz w:val="18"/>
          <w:szCs w:val="18"/>
          <w:color w:val="auto"/>
        </w:rPr>
        <w:t>.</w:t>
      </w:r>
    </w:p>
    <w:p>
      <w:pPr>
        <w:spacing w:after="0" w:line="225" w:lineRule="exact"/>
        <w:rPr>
          <w:sz w:val="20"/>
          <w:szCs w:val="20"/>
          <w:color w:val="auto"/>
        </w:rPr>
      </w:pPr>
    </w:p>
    <w:p>
      <w:pPr>
        <w:ind w:right="40" w:firstLine="980"/>
        <w:spacing w:after="0" w:line="255" w:lineRule="auto"/>
        <w:tabs>
          <w:tab w:leader="none" w:pos="1267"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provision of indemnification to or the advancement of expenses and costs to any indemnitee under this Article VII, or the entitlement of any indemnitee to indemnification or advancement of expenses and costs under this Article VII, shall not limit or restrict in any way the power of the Corporation to indemnify or advance expenses and costs to such indemnitee in any other way permitted by law or be deemed exclusive of, or invalidate, any right to which any indemnitee seeking indemnification or advancement of expenses and costs may be entitled under any law, agreement, vote of stockholders or disinterested directors or otherwise, both as to action in such indemnitee’s capacity as an officer, director, employee or agent of the Corporation and as to action in any other capacity.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29" w:name="page130"/>
    <w:bookmarkEnd w:id="129"/>
    <w:p>
      <w:pPr>
        <w:ind w:left="-20" w:firstLine="980"/>
        <w:spacing w:after="0" w:line="285" w:lineRule="auto"/>
        <w:tabs>
          <w:tab w:leader="none" w:pos="1237" w:val="left"/>
        </w:tabs>
        <w:numPr>
          <w:ilvl w:val="0"/>
          <w:numId w:val="87"/>
        </w:numPr>
        <w:rPr>
          <w:rFonts w:ascii="Arial" w:cs="Arial" w:eastAsia="Arial" w:hAnsi="Arial"/>
          <w:sz w:val="16"/>
          <w:szCs w:val="16"/>
          <w:color w:val="auto"/>
        </w:rPr>
      </w:pPr>
      <w:r>
        <w:rPr>
          <w:rFonts w:ascii="Arial" w:cs="Arial" w:eastAsia="Arial" w:hAnsi="Arial"/>
          <w:sz w:val="16"/>
          <w:szCs w:val="16"/>
          <w:color w:val="auto"/>
        </w:rPr>
        <w:t>Given that certain jointly indemnifiable claims (as defined below) may arise due to the service of the indemnitee as a director and/or officer of the Corporation at the request of the indemnitee-related entities (as defined below), the Corporation shall be fully and primarily responsible for the payment to the indemnitee in respect of indemnification or advancement of all expenses, judgments, penalties, fines and amounts paid in settlement to the extent legally permitted and as required by the terms of the Certificate of Incorporation or these Bylaws (or any other agreement between the Corporation and such persons, including the Stockholders Agreement, as applicable) in connection with any such jointly indemnifiable claims, pursuant to and in accordance with the terms of this Article VII, irrespective of any right of recovery the indemnitee may have from the indemnitee-related entities. Any obligation on the part of any indemnitee-related entities to indemnify or advance expenses to any indemnitee shall be secondary to the Corporation’s obligation and shall be reduced by any amount that the indemnitee may collect as indemnification or advancement from the Corporation. The Corporation irrevocably waives, relinquishes and releases the indemnitee-related entities from any and all claims against the indemnitee-related entities for contribution, subrogation or any other recovery of any kind in respect thereof. Under no circumstance shall the Corporation be entitled to any right of subrogation or contribution by the indemnitee-related entities and no right of advancement or recovery the indemnitee may have from the indemnitee-related entities shall reduce or otherwise alter the rights of the indemnitee or the obligations of the Corporation hereunder. In the event that any of the indemnitee-related entities shall make any payment to the indemnitee in respect of indemnification or advancement of expenses with respect to any jointly indemnifiable claim, the indemnitee-related entity making such payment shall be subrogated to the extent of such payment to all of the rights of recovery of the indemnitee against the Corporation, and the indemnitee shall execute all papers reasonably required and shall do all things that may be reasonably necessary to secure such rights, including the execution of such documents as may be necessary to enable the indemnitee-related entities effectively to bring suit to enforce such rights. Each of the indemnitee-related entities shall be third-party beneficiaries with respect to this Section 7.04(B), entitled to enforce this Section 7.04(B).</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341" w:right="35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color w:val="auto"/>
        </w:rPr>
        <w:t>For purposes of this Section 7.04(B), the following terms shall have the following meanings:</w:t>
      </w:r>
    </w:p>
    <w:p>
      <w:pPr>
        <w:spacing w:after="0" w:line="225" w:lineRule="exact"/>
        <w:rPr>
          <w:sz w:val="20"/>
          <w:szCs w:val="20"/>
          <w:color w:val="auto"/>
        </w:rPr>
      </w:pPr>
    </w:p>
    <w:p>
      <w:pPr>
        <w:ind w:right="200" w:firstLine="656"/>
        <w:spacing w:after="0" w:line="296" w:lineRule="auto"/>
        <w:tabs>
          <w:tab w:leader="none" w:pos="903"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indemnitee-related entities</w:t>
      </w:r>
      <w:r>
        <w:rPr>
          <w:rFonts w:ascii="Arial" w:cs="Arial" w:eastAsia="Arial" w:hAnsi="Arial"/>
          <w:sz w:val="16"/>
          <w:szCs w:val="16"/>
          <w:color w:val="auto"/>
        </w:rPr>
        <w:t>” means any corporation, limited liability company, partnership, joint venture, trust, employee benefit plan or other enterprise (other than the Corporation or any other corporation, limited liability company, partnership, joint venture, trust, employee benefit plan or other enterprise for which the indemnitee has agreed, on behalf of the Corporation or at the Corporation’s request, to serve as a director, officer, employee or agent and which service is covered by the indemnity described herein) from whom an indemnitee may be entitled to indemnification or advancement of expenses with respect to which, in whole or in part, the Corporation may also have an indemnification or advancement obligation.</w:t>
      </w:r>
    </w:p>
    <w:p>
      <w:pPr>
        <w:spacing w:after="0" w:line="161" w:lineRule="exact"/>
        <w:rPr>
          <w:rFonts w:ascii="Arial" w:cs="Arial" w:eastAsia="Arial" w:hAnsi="Arial"/>
          <w:sz w:val="16"/>
          <w:szCs w:val="16"/>
          <w:color w:val="auto"/>
        </w:rPr>
      </w:pPr>
    </w:p>
    <w:p>
      <w:pPr>
        <w:ind w:right="360" w:firstLine="656"/>
        <w:spacing w:after="0" w:line="301" w:lineRule="auto"/>
        <w:tabs>
          <w:tab w:leader="none" w:pos="903"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jointly indemnifiable claims</w:t>
      </w:r>
      <w:r>
        <w:rPr>
          <w:rFonts w:ascii="Arial" w:cs="Arial" w:eastAsia="Arial" w:hAnsi="Arial"/>
          <w:sz w:val="16"/>
          <w:szCs w:val="16"/>
          <w:color w:val="auto"/>
        </w:rPr>
        <w:t>” shall be broadly construed and shall include, without limitation, any action, suit or proceeding for which the indemnitee shall be entitled to indemnification or advancement of expenses from both the indemnitee-related entities and the Corporation pursuant to Delaware law, any agreement or certificate of incorporation, bylaws, partnership agreement, operating agreement, certificate of formation, certificate of limited partnership or comparable organizational documents of the Corporation or the indemnitee-related entities, as applicable.</w:t>
      </w:r>
    </w:p>
    <w:p>
      <w:pPr>
        <w:spacing w:after="0" w:line="157" w:lineRule="exact"/>
        <w:rPr>
          <w:sz w:val="20"/>
          <w:szCs w:val="20"/>
          <w:color w:val="auto"/>
        </w:rPr>
      </w:pPr>
    </w:p>
    <w:p>
      <w:pPr>
        <w:ind w:firstLine="972"/>
        <w:spacing w:after="0" w:line="270" w:lineRule="auto"/>
        <w:rPr>
          <w:sz w:val="20"/>
          <w:szCs w:val="20"/>
          <w:color w:val="auto"/>
        </w:rPr>
      </w:pPr>
      <w:r>
        <w:rPr>
          <w:rFonts w:ascii="Arial" w:cs="Arial" w:eastAsia="Arial" w:hAnsi="Arial"/>
          <w:sz w:val="17"/>
          <w:szCs w:val="17"/>
          <w:color w:val="auto"/>
        </w:rPr>
        <w:t xml:space="preserve">SECTION 7.05 </w:t>
      </w:r>
      <w:r>
        <w:rPr>
          <w:rFonts w:ascii="Arial" w:cs="Arial" w:eastAsia="Arial" w:hAnsi="Arial"/>
          <w:sz w:val="17"/>
          <w:szCs w:val="17"/>
          <w:u w:val="single" w:color="auto"/>
          <w:color w:val="auto"/>
        </w:rPr>
        <w:t>Corporate Obligations; Reliance</w:t>
      </w:r>
      <w:r>
        <w:rPr>
          <w:rFonts w:ascii="Arial" w:cs="Arial" w:eastAsia="Arial" w:hAnsi="Arial"/>
          <w:sz w:val="17"/>
          <w:szCs w:val="17"/>
          <w:color w:val="auto"/>
        </w:rPr>
        <w:t>. The rights granted pursuant to the provisions of this Article VII shall vest at the time a person becomes a director or officer of the Corporation and shall be deemed to create a binding contractual obligation on the part of the Corporation to the persons who from time to time are elected as officers or directors of the Corporation, and such persons in acting in their capacities as officers or directors of the Corporation or any subsidiary shall be conclusively presumed to have relied on the rights to indemnity, advancement of expenses and other rights contained in this Article VII in entering into or continuing the service without being required to give notice thereof to the Corporation. Such rights shall continue as to an indemnitee who has ceased to be a director or officer and shall inure to the benefit of the indemnitee’s heirs, executors and administrators. Any amendment, alteration or repeal of this Article VII that adversely affects any right of an indemnitee or its successors shall be prospective only and shall not limit, eliminate, or impair any such right with respect to any proceeding involving any occurrence or alleged occurrence of any action or omission to act that took place prior to such amendment or repeal.</w:t>
      </w:r>
    </w:p>
    <w:p>
      <w:pPr>
        <w:spacing w:after="0" w:line="181" w:lineRule="exact"/>
        <w:rPr>
          <w:sz w:val="20"/>
          <w:szCs w:val="20"/>
          <w:color w:val="auto"/>
        </w:rPr>
      </w:pPr>
    </w:p>
    <w:p>
      <w:pPr>
        <w:ind w:right="60" w:firstLine="972"/>
        <w:spacing w:after="0" w:line="286" w:lineRule="auto"/>
        <w:rPr>
          <w:sz w:val="20"/>
          <w:szCs w:val="20"/>
          <w:color w:val="auto"/>
        </w:rPr>
      </w:pPr>
      <w:r>
        <w:rPr>
          <w:rFonts w:ascii="Arial" w:cs="Arial" w:eastAsia="Arial" w:hAnsi="Arial"/>
          <w:sz w:val="17"/>
          <w:szCs w:val="17"/>
          <w:color w:val="auto"/>
        </w:rPr>
        <w:t xml:space="preserve">SECTION 7.06 </w:t>
      </w:r>
      <w:r>
        <w:rPr>
          <w:rFonts w:ascii="Arial" w:cs="Arial" w:eastAsia="Arial" w:hAnsi="Arial"/>
          <w:sz w:val="17"/>
          <w:szCs w:val="17"/>
          <w:u w:val="single" w:color="auto"/>
          <w:color w:val="auto"/>
        </w:rPr>
        <w:t>Insurance</w:t>
      </w:r>
      <w:r>
        <w:rPr>
          <w:rFonts w:ascii="Arial" w:cs="Arial" w:eastAsia="Arial" w:hAnsi="Arial"/>
          <w:sz w:val="17"/>
          <w:szCs w:val="17"/>
          <w:color w:val="auto"/>
        </w:rPr>
        <w:t>. The Corporation may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165" w:lineRule="exact"/>
        <w:rPr>
          <w:sz w:val="20"/>
          <w:szCs w:val="20"/>
          <w:color w:val="auto"/>
        </w:rPr>
      </w:pPr>
    </w:p>
    <w:p>
      <w:pPr>
        <w:ind w:right="300" w:firstLine="972"/>
        <w:spacing w:after="0" w:line="259" w:lineRule="auto"/>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Indemnification of Employees and Agents of the Corporation</w:t>
      </w:r>
      <w:r>
        <w:rPr>
          <w:rFonts w:ascii="Arial" w:cs="Arial" w:eastAsia="Arial" w:hAnsi="Arial"/>
          <w:sz w:val="18"/>
          <w:szCs w:val="18"/>
          <w:color w:val="auto"/>
        </w:rPr>
        <w:t>. The Corporation may, to the extent authorized from time to time by the Board of Directors, grant rights to indemnification and to the advancement of expenses to any employee or agent of the Corporation to the fullest extent of the provisions of this Article VII with respect to the indemnification and advancement of expenses of directors and officers of the Corporation.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31" w:name="page132"/>
    <w:bookmarkEnd w:id="131"/>
    <w:p>
      <w:pPr>
        <w:ind w:right="40" w:firstLine="972"/>
        <w:spacing w:after="0" w:line="301" w:lineRule="auto"/>
        <w:rPr>
          <w:sz w:val="20"/>
          <w:szCs w:val="20"/>
          <w:color w:val="auto"/>
        </w:rPr>
      </w:pPr>
      <w:r>
        <w:rPr>
          <w:rFonts w:ascii="Arial" w:cs="Arial" w:eastAsia="Arial" w:hAnsi="Arial"/>
          <w:sz w:val="16"/>
          <w:szCs w:val="16"/>
          <w:color w:val="auto"/>
        </w:rPr>
        <w:t xml:space="preserve">SECTION 7.08 </w:t>
      </w:r>
      <w:r>
        <w:rPr>
          <w:rFonts w:ascii="Arial" w:cs="Arial" w:eastAsia="Arial" w:hAnsi="Arial"/>
          <w:sz w:val="16"/>
          <w:szCs w:val="16"/>
          <w:u w:val="single" w:color="auto"/>
          <w:color w:val="auto"/>
        </w:rPr>
        <w:t>Successful Defense.</w:t>
      </w:r>
      <w:r>
        <w:rPr>
          <w:rFonts w:ascii="Arial" w:cs="Arial" w:eastAsia="Arial" w:hAnsi="Arial"/>
          <w:sz w:val="16"/>
          <w:szCs w:val="16"/>
          <w:color w:val="auto"/>
        </w:rPr>
        <w:t xml:space="preserve"> In the event that any proceeding to which a indemnitee is a party is resolved in any manner other than by adverse judgment against the indemnitee (including, without limitation, settlement of such proceeding with or without payment of money or other consideration) it shall be presumed that the indemnitee has been successful on the merits or otherwise in such proceeding for purposes of Section 145(c) of the DGCL. Anyone seeking to overcome this presumption shall have the burden of proof and the burden of persuasion by clear and convincing evidence.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firstLine="972"/>
        <w:spacing w:after="0" w:line="263"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Electronic Transmission</w:t>
      </w:r>
      <w:r>
        <w:rPr>
          <w:rFonts w:ascii="Arial" w:cs="Arial" w:eastAsia="Arial" w:hAnsi="Arial"/>
          <w:sz w:val="18"/>
          <w:szCs w:val="18"/>
          <w:color w:val="auto"/>
        </w:rPr>
        <w:t>. For purposes of these Bylaws, “</w:t>
      </w:r>
      <w:r>
        <w:rPr>
          <w:rFonts w:ascii="Arial" w:cs="Arial" w:eastAsia="Arial" w:hAnsi="Arial"/>
          <w:sz w:val="18"/>
          <w:szCs w:val="18"/>
          <w:u w:val="single" w:color="auto"/>
          <w:color w:val="auto"/>
        </w:rPr>
        <w:t>electronic transmission</w:t>
      </w:r>
      <w:r>
        <w:rPr>
          <w:rFonts w:ascii="Arial" w:cs="Arial" w:eastAsia="Arial" w:hAnsi="Arial"/>
          <w:sz w:val="18"/>
          <w:szCs w:val="18"/>
          <w:color w:val="auto"/>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84"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Corporate Seal</w:t>
      </w:r>
      <w:r>
        <w:rPr>
          <w:rFonts w:ascii="Arial" w:cs="Arial" w:eastAsia="Arial" w:hAnsi="Arial"/>
          <w:sz w:val="18"/>
          <w:szCs w:val="18"/>
          <w:color w:val="auto"/>
        </w:rPr>
        <w:t>. The Board of Directors may provide a suitable seal, containing the name of the Corporation, which seal shall be in the charge of the Secretary. If and when so directed by the Board of Directors or a committee thereof, duplicates of the seal may be kept and used by the Treasurer or by an Assistant Secretary or Assistant Treasurer.</w:t>
      </w:r>
    </w:p>
    <w:p>
      <w:pPr>
        <w:spacing w:after="0" w:line="187" w:lineRule="exact"/>
        <w:rPr>
          <w:sz w:val="20"/>
          <w:szCs w:val="20"/>
          <w:color w:val="auto"/>
        </w:rPr>
      </w:pPr>
    </w:p>
    <w:p>
      <w:pPr>
        <w:ind w:right="320" w:firstLine="972"/>
        <w:spacing w:after="0" w:line="214"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end on December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of each year, or such other day as the Board of Directors may designate.</w:t>
      </w:r>
    </w:p>
    <w:p>
      <w:pPr>
        <w:spacing w:after="0" w:line="203" w:lineRule="exact"/>
        <w:rPr>
          <w:sz w:val="20"/>
          <w:szCs w:val="20"/>
          <w:color w:val="auto"/>
        </w:rPr>
      </w:pPr>
    </w:p>
    <w:p>
      <w:pPr>
        <w:ind w:right="640" w:firstLine="972"/>
        <w:spacing w:after="0" w:line="277"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Section Headings</w:t>
      </w:r>
      <w:r>
        <w:rPr>
          <w:rFonts w:ascii="Arial" w:cs="Arial" w:eastAsia="Arial" w:hAnsi="Arial"/>
          <w:sz w:val="18"/>
          <w:szCs w:val="18"/>
          <w:color w:val="auto"/>
        </w:rPr>
        <w:t>. Section headings in these Bylaws are for convenience of reference only and shall not be given any substantive effect in limiting or otherwise construing any provision herein.</w:t>
      </w:r>
    </w:p>
    <w:p>
      <w:pPr>
        <w:spacing w:after="0" w:line="170" w:lineRule="exact"/>
        <w:rPr>
          <w:sz w:val="20"/>
          <w:szCs w:val="20"/>
          <w:color w:val="auto"/>
        </w:rPr>
      </w:pPr>
    </w:p>
    <w:p>
      <w:pPr>
        <w:ind w:right="140" w:firstLine="972"/>
        <w:spacing w:after="0" w:line="263" w:lineRule="auto"/>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Inconsistent Provisions</w:t>
      </w:r>
      <w:r>
        <w:rPr>
          <w:rFonts w:ascii="Arial" w:cs="Arial" w:eastAsia="Arial" w:hAnsi="Arial"/>
          <w:sz w:val="18"/>
          <w:szCs w:val="18"/>
          <w:color w:val="auto"/>
        </w:rPr>
        <w:t>. In the event that any provision of these Bylaws is or becomes inconsistent with any provision of the Certificate of Incorporation, the DGCL or any other applicable law, such provision of these Bylaws shall not be given any effect to the extent of such inconsistency but shall otherwise be given full force and effect.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32" w:name="page133"/>
    <w:bookmarkEnd w:id="132"/>
    <w:p>
      <w:pPr>
        <w:jc w:val="center"/>
        <w:ind w:right="-9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Amendments</w:t>
      </w:r>
    </w:p>
    <w:p>
      <w:pPr>
        <w:spacing w:after="0" w:line="229" w:lineRule="exact"/>
        <w:rPr>
          <w:sz w:val="20"/>
          <w:szCs w:val="20"/>
          <w:color w:val="auto"/>
        </w:rPr>
      </w:pPr>
    </w:p>
    <w:p>
      <w:pPr>
        <w:ind w:firstLine="972"/>
        <w:spacing w:after="0" w:line="253"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Amendments</w:t>
      </w:r>
      <w:r>
        <w:rPr>
          <w:rFonts w:ascii="Arial" w:cs="Arial" w:eastAsia="Arial" w:hAnsi="Arial"/>
          <w:sz w:val="18"/>
          <w:szCs w:val="18"/>
          <w:color w:val="auto"/>
        </w:rPr>
        <w:t>. The Board of Directors is authorized to make, repeal, alter, amend and rescind, in whole or in part, these Bylaws without the assent or vote of the stockholders in any manner not inconsistent with the laws of the State of Delaware or the Certificate of Incorporation. Notwithstanding any other provisions of these Bylaws or any provision of law that might otherwise permit a lesser vote of the stockholders, at any time when the Principal Stockholders do not beneficially own, in the aggregate, at least a majority of the voting power of the stock of the Corporation entitled to vote generally in the election of directors, in addition to any vote of the holders of any class or series of capital stock of the Corporation required by the Certificate of Incorporation (including any certificate of designation relating to any series of Preferred Stock (as defined in the Certificate of Incorporation), these Bylaws or applicable law, the affirmative vote of the holders of at least 66⅔% in voting power of all the then-outstanding shares of stock of the Corporation entitled to vote thereon, voting together as a single class, shall be required in order for the stockholders of the Corporation to alter, amend, repeal or rescind, in whole or in part, any provision of these Bylaws (including, without limitation, this Section 9.01) or to adopt any provision inconsistent herewith.</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LATHAM GROUP,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Scott M. Rajeski, certify that:</w:t>
      </w:r>
    </w:p>
    <w:p>
      <w:pPr>
        <w:spacing w:after="0" w:line="225" w:lineRule="exact"/>
        <w:rPr>
          <w:sz w:val="20"/>
          <w:szCs w:val="20"/>
          <w:color w:val="auto"/>
        </w:rPr>
      </w:pPr>
    </w:p>
    <w:p>
      <w:pPr>
        <w:ind w:left="640" w:hanging="322"/>
        <w:spacing w:after="0"/>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Latham Group, Inc.;</w:t>
      </w:r>
    </w:p>
    <w:p>
      <w:pPr>
        <w:spacing w:after="0" w:line="225" w:lineRule="exact"/>
        <w:rPr>
          <w:rFonts w:ascii="Arial" w:cs="Arial" w:eastAsia="Arial" w:hAnsi="Arial"/>
          <w:sz w:val="18"/>
          <w:szCs w:val="18"/>
          <w:color w:val="auto"/>
        </w:rPr>
      </w:pPr>
    </w:p>
    <w:p>
      <w:pPr>
        <w:jc w:val="both"/>
        <w:ind w:left="640" w:hanging="322"/>
        <w:spacing w:after="0" w:line="263" w:lineRule="auto"/>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40" w:hanging="322"/>
        <w:spacing w:after="0" w:line="308" w:lineRule="auto"/>
        <w:tabs>
          <w:tab w:leader="none" w:pos="6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40" w:right="20" w:hanging="322"/>
        <w:spacing w:after="0" w:line="277" w:lineRule="auto"/>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Securities Exchange Act Rules 13a-15(e) and 15d-15(e)) for the registrant and have:</w:t>
      </w:r>
    </w:p>
    <w:p>
      <w:pPr>
        <w:spacing w:after="0" w:line="170" w:lineRule="exact"/>
        <w:rPr>
          <w:rFonts w:ascii="Arial" w:cs="Arial" w:eastAsia="Arial" w:hAnsi="Arial"/>
          <w:sz w:val="18"/>
          <w:szCs w:val="18"/>
          <w:color w:val="auto"/>
        </w:rPr>
      </w:pPr>
    </w:p>
    <w:p>
      <w:pPr>
        <w:jc w:val="both"/>
        <w:ind w:left="1300" w:hanging="334"/>
        <w:spacing w:after="0" w:line="263" w:lineRule="auto"/>
        <w:tabs>
          <w:tab w:leader="none" w:pos="13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hanging="334"/>
        <w:spacing w:after="0" w:line="342" w:lineRule="auto"/>
        <w:tabs>
          <w:tab w:leader="none" w:pos="1300" w:val="left"/>
        </w:tabs>
        <w:numPr>
          <w:ilvl w:val="1"/>
          <w:numId w:val="8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34"/>
        <w:spacing w:after="0" w:line="263" w:lineRule="auto"/>
        <w:tabs>
          <w:tab w:leader="none" w:pos="13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40" w:right="20" w:hanging="322"/>
        <w:spacing w:after="0" w:line="342" w:lineRule="auto"/>
        <w:tabs>
          <w:tab w:leader="none" w:pos="6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334"/>
        <w:spacing w:after="0" w:line="308" w:lineRule="auto"/>
        <w:tabs>
          <w:tab w:leader="none" w:pos="1300" w:val="left"/>
        </w:tabs>
        <w:numPr>
          <w:ilvl w:val="1"/>
          <w:numId w:val="8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ind w:left="11100"/>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41" w:lineRule="exact"/>
        <w:rPr>
          <w:sz w:val="20"/>
          <w:szCs w:val="20"/>
          <w:color w:val="auto"/>
        </w:rPr>
      </w:pPr>
    </w:p>
    <w:p>
      <w:pPr>
        <w:ind w:left="1300" w:right="20" w:hanging="320"/>
        <w:spacing w:after="0" w:line="277" w:lineRule="auto"/>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June 3, 2021</w:t>
            </w:r>
          </w:p>
        </w:tc>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Scott M. Rajeski</w:t>
            </w:r>
          </w:p>
        </w:tc>
      </w:tr>
      <w:tr>
        <w:trPr>
          <w:trHeight w:val="195"/>
        </w:trPr>
        <w:tc>
          <w:tcPr>
            <w:tcW w:w="5620" w:type="dxa"/>
            <w:vAlign w:val="bottom"/>
          </w:tcPr>
          <w:p>
            <w:pPr>
              <w:spacing w:after="0"/>
              <w:rPr>
                <w:sz w:val="16"/>
                <w:szCs w:val="16"/>
                <w:color w:val="auto"/>
              </w:rPr>
            </w:pPr>
          </w:p>
        </w:tc>
        <w:tc>
          <w:tcPr>
            <w:tcW w:w="5620" w:type="dxa"/>
            <w:vAlign w:val="bottom"/>
          </w:tcPr>
          <w:p>
            <w:pPr>
              <w:jc w:val="center"/>
              <w:spacing w:after="0" w:line="195" w:lineRule="exact"/>
              <w:rPr>
                <w:sz w:val="20"/>
                <w:szCs w:val="20"/>
                <w:color w:val="auto"/>
              </w:rPr>
            </w:pPr>
            <w:r>
              <w:rPr>
                <w:rFonts w:ascii="Arial" w:cs="Arial" w:eastAsia="Arial" w:hAnsi="Arial"/>
                <w:sz w:val="18"/>
                <w:szCs w:val="18"/>
                <w:color w:val="auto"/>
                <w:w w:val="93"/>
              </w:rPr>
              <w:t>Scott M. Rajeski</w:t>
            </w:r>
          </w:p>
        </w:tc>
      </w:tr>
      <w:tr>
        <w:trPr>
          <w:trHeight w:val="216"/>
        </w:trPr>
        <w:tc>
          <w:tcPr>
            <w:tcW w:w="5620" w:type="dxa"/>
            <w:vAlign w:val="bottom"/>
          </w:tcPr>
          <w:p>
            <w:pPr>
              <w:spacing w:after="0"/>
              <w:rPr>
                <w:sz w:val="18"/>
                <w:szCs w:val="18"/>
                <w:color w:val="auto"/>
              </w:rPr>
            </w:pPr>
          </w:p>
        </w:tc>
        <w:tc>
          <w:tcPr>
            <w:tcW w:w="5620" w:type="dxa"/>
            <w:vAlign w:val="bottom"/>
          </w:tcPr>
          <w:p>
            <w:pPr>
              <w:jc w:val="center"/>
              <w:spacing w:after="0"/>
              <w:rPr>
                <w:sz w:val="20"/>
                <w:szCs w:val="20"/>
                <w:color w:val="auto"/>
              </w:rPr>
            </w:pPr>
            <w:r>
              <w:rPr>
                <w:rFonts w:ascii="Arial" w:cs="Arial" w:eastAsia="Arial" w:hAnsi="Arial"/>
                <w:sz w:val="18"/>
                <w:szCs w:val="18"/>
                <w:color w:val="auto"/>
                <w:w w:val="91"/>
              </w:rPr>
              <w:t>Chief Executive Officer and President</w:t>
            </w:r>
          </w:p>
        </w:tc>
      </w:tr>
      <w:tr>
        <w:trPr>
          <w:trHeight w:val="230"/>
        </w:trPr>
        <w:tc>
          <w:tcPr>
            <w:tcW w:w="5620" w:type="dxa"/>
            <w:vAlign w:val="bottom"/>
          </w:tcPr>
          <w:p>
            <w:pPr>
              <w:spacing w:after="0"/>
              <w:rPr>
                <w:sz w:val="20"/>
                <w:szCs w:val="20"/>
                <w:color w:val="auto"/>
              </w:rPr>
            </w:pPr>
          </w:p>
        </w:tc>
        <w:tc>
          <w:tcPr>
            <w:tcW w:w="5620" w:type="dxa"/>
            <w:vAlign w:val="bottom"/>
          </w:tcPr>
          <w:p>
            <w:pPr>
              <w:jc w:val="center"/>
              <w:spacing w:after="0"/>
              <w:rPr>
                <w:sz w:val="20"/>
                <w:szCs w:val="20"/>
                <w:color w:val="auto"/>
              </w:rPr>
            </w:pPr>
            <w:r>
              <w:rPr>
                <w:rFonts w:ascii="Arial" w:cs="Arial" w:eastAsia="Arial" w:hAnsi="Arial"/>
                <w:sz w:val="18"/>
                <w:szCs w:val="18"/>
                <w:color w:val="auto"/>
                <w:w w:val="92"/>
              </w:rPr>
              <w:t>Latham Group, Inc.</w:t>
            </w:r>
          </w:p>
        </w:tc>
      </w:tr>
      <w:tr>
        <w:trPr>
          <w:trHeight w:val="675"/>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LATHAM GROUP,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James Mark Borseth, certify that:</w:t>
      </w:r>
    </w:p>
    <w:p>
      <w:pPr>
        <w:spacing w:after="0" w:line="225" w:lineRule="exact"/>
        <w:rPr>
          <w:sz w:val="20"/>
          <w:szCs w:val="20"/>
          <w:color w:val="auto"/>
        </w:rPr>
      </w:pPr>
    </w:p>
    <w:p>
      <w:pPr>
        <w:ind w:left="640" w:hanging="322"/>
        <w:spacing w:after="0"/>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Latham Group, Inc.;</w:t>
      </w:r>
    </w:p>
    <w:p>
      <w:pPr>
        <w:spacing w:after="0" w:line="225" w:lineRule="exact"/>
        <w:rPr>
          <w:rFonts w:ascii="Arial" w:cs="Arial" w:eastAsia="Arial" w:hAnsi="Arial"/>
          <w:sz w:val="18"/>
          <w:szCs w:val="18"/>
          <w:color w:val="auto"/>
        </w:rPr>
      </w:pPr>
    </w:p>
    <w:p>
      <w:pPr>
        <w:jc w:val="both"/>
        <w:ind w:left="640" w:hanging="322"/>
        <w:spacing w:after="0" w:line="263" w:lineRule="auto"/>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40" w:hanging="322"/>
        <w:spacing w:after="0" w:line="308" w:lineRule="auto"/>
        <w:tabs>
          <w:tab w:leader="none" w:pos="6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40" w:right="20" w:hanging="322"/>
        <w:spacing w:after="0" w:line="277" w:lineRule="auto"/>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Securities Exchange Act Rules 13a-15(e) and 15d-15(e)) for the registrant and have:</w:t>
      </w:r>
    </w:p>
    <w:p>
      <w:pPr>
        <w:spacing w:after="0" w:line="170" w:lineRule="exact"/>
        <w:rPr>
          <w:rFonts w:ascii="Arial" w:cs="Arial" w:eastAsia="Arial" w:hAnsi="Arial"/>
          <w:sz w:val="18"/>
          <w:szCs w:val="18"/>
          <w:color w:val="auto"/>
        </w:rPr>
      </w:pPr>
    </w:p>
    <w:p>
      <w:pPr>
        <w:jc w:val="both"/>
        <w:ind w:left="1300" w:hanging="334"/>
        <w:spacing w:after="0" w:line="263" w:lineRule="auto"/>
        <w:tabs>
          <w:tab w:leader="none" w:pos="13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hanging="334"/>
        <w:spacing w:after="0" w:line="342" w:lineRule="auto"/>
        <w:tabs>
          <w:tab w:leader="none" w:pos="1300" w:val="left"/>
        </w:tabs>
        <w:numPr>
          <w:ilvl w:val="1"/>
          <w:numId w:val="9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34"/>
        <w:spacing w:after="0" w:line="263" w:lineRule="auto"/>
        <w:tabs>
          <w:tab w:leader="none" w:pos="13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40" w:right="20" w:hanging="322"/>
        <w:spacing w:after="0" w:line="342" w:lineRule="auto"/>
        <w:tabs>
          <w:tab w:leader="none" w:pos="6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334"/>
        <w:spacing w:after="0" w:line="308" w:lineRule="auto"/>
        <w:tabs>
          <w:tab w:leader="none" w:pos="1300" w:val="left"/>
        </w:tabs>
        <w:numPr>
          <w:ilvl w:val="1"/>
          <w:numId w:val="9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ind w:left="11100"/>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41" w:lineRule="exact"/>
        <w:rPr>
          <w:sz w:val="20"/>
          <w:szCs w:val="20"/>
          <w:color w:val="auto"/>
        </w:rPr>
      </w:pPr>
    </w:p>
    <w:p>
      <w:pPr>
        <w:ind w:left="1300" w:right="20" w:hanging="320"/>
        <w:spacing w:after="0" w:line="277" w:lineRule="auto"/>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June 3, 2021</w:t>
            </w:r>
          </w:p>
        </w:tc>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James Mark Borseth</w:t>
            </w:r>
          </w:p>
        </w:tc>
      </w:tr>
      <w:tr>
        <w:trPr>
          <w:trHeight w:val="195"/>
        </w:trPr>
        <w:tc>
          <w:tcPr>
            <w:tcW w:w="5620" w:type="dxa"/>
            <w:vAlign w:val="bottom"/>
          </w:tcPr>
          <w:p>
            <w:pPr>
              <w:spacing w:after="0"/>
              <w:rPr>
                <w:sz w:val="16"/>
                <w:szCs w:val="16"/>
                <w:color w:val="auto"/>
              </w:rPr>
            </w:pPr>
          </w:p>
        </w:tc>
        <w:tc>
          <w:tcPr>
            <w:tcW w:w="5620" w:type="dxa"/>
            <w:vAlign w:val="bottom"/>
          </w:tcPr>
          <w:p>
            <w:pPr>
              <w:jc w:val="center"/>
              <w:spacing w:after="0" w:line="195" w:lineRule="exact"/>
              <w:rPr>
                <w:sz w:val="20"/>
                <w:szCs w:val="20"/>
                <w:color w:val="auto"/>
              </w:rPr>
            </w:pPr>
            <w:r>
              <w:rPr>
                <w:rFonts w:ascii="Arial" w:cs="Arial" w:eastAsia="Arial" w:hAnsi="Arial"/>
                <w:sz w:val="18"/>
                <w:szCs w:val="18"/>
                <w:color w:val="auto"/>
                <w:w w:val="89"/>
              </w:rPr>
              <w:t>James Mark Borseth</w:t>
            </w:r>
          </w:p>
        </w:tc>
      </w:tr>
      <w:tr>
        <w:trPr>
          <w:trHeight w:val="216"/>
        </w:trPr>
        <w:tc>
          <w:tcPr>
            <w:tcW w:w="5620" w:type="dxa"/>
            <w:vAlign w:val="bottom"/>
          </w:tcPr>
          <w:p>
            <w:pPr>
              <w:spacing w:after="0"/>
              <w:rPr>
                <w:sz w:val="18"/>
                <w:szCs w:val="18"/>
                <w:color w:val="auto"/>
              </w:rPr>
            </w:pPr>
          </w:p>
        </w:tc>
        <w:tc>
          <w:tcPr>
            <w:tcW w:w="562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r>
        <w:trPr>
          <w:trHeight w:val="230"/>
        </w:trPr>
        <w:tc>
          <w:tcPr>
            <w:tcW w:w="5620" w:type="dxa"/>
            <w:vAlign w:val="bottom"/>
          </w:tcPr>
          <w:p>
            <w:pPr>
              <w:spacing w:after="0"/>
              <w:rPr>
                <w:sz w:val="20"/>
                <w:szCs w:val="20"/>
                <w:color w:val="auto"/>
              </w:rPr>
            </w:pPr>
          </w:p>
        </w:tc>
        <w:tc>
          <w:tcPr>
            <w:tcW w:w="5620" w:type="dxa"/>
            <w:vAlign w:val="bottom"/>
          </w:tcPr>
          <w:p>
            <w:pPr>
              <w:jc w:val="center"/>
              <w:spacing w:after="0"/>
              <w:rPr>
                <w:sz w:val="20"/>
                <w:szCs w:val="20"/>
                <w:color w:val="auto"/>
              </w:rPr>
            </w:pPr>
            <w:r>
              <w:rPr>
                <w:rFonts w:ascii="Arial" w:cs="Arial" w:eastAsia="Arial" w:hAnsi="Arial"/>
                <w:sz w:val="18"/>
                <w:szCs w:val="18"/>
                <w:color w:val="auto"/>
                <w:w w:val="92"/>
              </w:rPr>
              <w:t>Latham Group, Inc.</w:t>
            </w:r>
          </w:p>
        </w:tc>
      </w:tr>
      <w:tr>
        <w:trPr>
          <w:trHeight w:val="675"/>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LATHAM GROUP,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left="20" w:right="140"/>
        <w:spacing w:after="0" w:line="263" w:lineRule="auto"/>
        <w:rPr>
          <w:sz w:val="20"/>
          <w:szCs w:val="20"/>
          <w:color w:val="auto"/>
        </w:rPr>
      </w:pPr>
      <w:r>
        <w:rPr>
          <w:rFonts w:ascii="Arial" w:cs="Arial" w:eastAsia="Arial" w:hAnsi="Arial"/>
          <w:sz w:val="18"/>
          <w:szCs w:val="18"/>
          <w:color w:val="auto"/>
        </w:rPr>
        <w:t>In connection with the Quarterly Report of Latham Group, Inc. (the “</w:t>
      </w:r>
      <w:r>
        <w:rPr>
          <w:rFonts w:ascii="Arial" w:cs="Arial" w:eastAsia="Arial" w:hAnsi="Arial"/>
          <w:sz w:val="18"/>
          <w:szCs w:val="18"/>
          <w:u w:val="single" w:color="auto"/>
          <w:color w:val="auto"/>
        </w:rPr>
        <w:t>Company</w:t>
      </w:r>
      <w:r>
        <w:rPr>
          <w:rFonts w:ascii="Arial" w:cs="Arial" w:eastAsia="Arial" w:hAnsi="Arial"/>
          <w:sz w:val="18"/>
          <w:szCs w:val="18"/>
          <w:color w:val="auto"/>
        </w:rPr>
        <w:t>”) on Form 10-Q for the period ending April 3, 2021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Scott M. Rajeski, Chief Executive Officer of the Company, certify, pursuant to 18 U.S.C. Section 1350, as adopted pursuant to Section 906 of the Sarbanes-Oxley Act of 2002, that:</w:t>
      </w:r>
    </w:p>
    <w:p>
      <w:pPr>
        <w:spacing w:after="0" w:line="184" w:lineRule="exact"/>
        <w:rPr>
          <w:sz w:val="20"/>
          <w:szCs w:val="20"/>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June 3, 2021</w:t>
            </w:r>
          </w:p>
        </w:tc>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Scott M. Rajeski</w:t>
            </w:r>
          </w:p>
        </w:tc>
      </w:tr>
      <w:tr>
        <w:trPr>
          <w:trHeight w:val="195"/>
        </w:trPr>
        <w:tc>
          <w:tcPr>
            <w:tcW w:w="5620" w:type="dxa"/>
            <w:vAlign w:val="bottom"/>
          </w:tcPr>
          <w:p>
            <w:pPr>
              <w:spacing w:after="0"/>
              <w:rPr>
                <w:sz w:val="16"/>
                <w:szCs w:val="16"/>
                <w:color w:val="auto"/>
              </w:rPr>
            </w:pPr>
          </w:p>
        </w:tc>
        <w:tc>
          <w:tcPr>
            <w:tcW w:w="5620" w:type="dxa"/>
            <w:vAlign w:val="bottom"/>
          </w:tcPr>
          <w:p>
            <w:pPr>
              <w:jc w:val="center"/>
              <w:spacing w:after="0" w:line="195" w:lineRule="exact"/>
              <w:rPr>
                <w:sz w:val="20"/>
                <w:szCs w:val="20"/>
                <w:color w:val="auto"/>
              </w:rPr>
            </w:pPr>
            <w:r>
              <w:rPr>
                <w:rFonts w:ascii="Arial" w:cs="Arial" w:eastAsia="Arial" w:hAnsi="Arial"/>
                <w:sz w:val="18"/>
                <w:szCs w:val="18"/>
                <w:color w:val="auto"/>
                <w:w w:val="93"/>
              </w:rPr>
              <w:t>Scott M. Rajeski</w:t>
            </w:r>
          </w:p>
        </w:tc>
      </w:tr>
      <w:tr>
        <w:trPr>
          <w:trHeight w:val="216"/>
        </w:trPr>
        <w:tc>
          <w:tcPr>
            <w:tcW w:w="5620" w:type="dxa"/>
            <w:vAlign w:val="bottom"/>
          </w:tcPr>
          <w:p>
            <w:pPr>
              <w:spacing w:after="0"/>
              <w:rPr>
                <w:sz w:val="18"/>
                <w:szCs w:val="18"/>
                <w:color w:val="auto"/>
              </w:rPr>
            </w:pPr>
          </w:p>
        </w:tc>
        <w:tc>
          <w:tcPr>
            <w:tcW w:w="5620" w:type="dxa"/>
            <w:vAlign w:val="bottom"/>
          </w:tcPr>
          <w:p>
            <w:pPr>
              <w:jc w:val="center"/>
              <w:spacing w:after="0"/>
              <w:rPr>
                <w:sz w:val="20"/>
                <w:szCs w:val="20"/>
                <w:color w:val="auto"/>
              </w:rPr>
            </w:pPr>
            <w:r>
              <w:rPr>
                <w:rFonts w:ascii="Arial" w:cs="Arial" w:eastAsia="Arial" w:hAnsi="Arial"/>
                <w:sz w:val="18"/>
                <w:szCs w:val="18"/>
                <w:color w:val="auto"/>
                <w:w w:val="91"/>
              </w:rPr>
              <w:t>Chief Executive Officer and President</w:t>
            </w:r>
          </w:p>
        </w:tc>
      </w:tr>
      <w:tr>
        <w:trPr>
          <w:trHeight w:val="230"/>
        </w:trPr>
        <w:tc>
          <w:tcPr>
            <w:tcW w:w="5620" w:type="dxa"/>
            <w:vAlign w:val="bottom"/>
          </w:tcPr>
          <w:p>
            <w:pPr>
              <w:spacing w:after="0"/>
              <w:rPr>
                <w:sz w:val="20"/>
                <w:szCs w:val="20"/>
                <w:color w:val="auto"/>
              </w:rPr>
            </w:pPr>
          </w:p>
        </w:tc>
        <w:tc>
          <w:tcPr>
            <w:tcW w:w="5620" w:type="dxa"/>
            <w:vAlign w:val="bottom"/>
          </w:tcPr>
          <w:p>
            <w:pPr>
              <w:jc w:val="center"/>
              <w:spacing w:after="0"/>
              <w:rPr>
                <w:sz w:val="20"/>
                <w:szCs w:val="20"/>
                <w:color w:val="auto"/>
              </w:rPr>
            </w:pPr>
            <w:r>
              <w:rPr>
                <w:rFonts w:ascii="Arial" w:cs="Arial" w:eastAsia="Arial" w:hAnsi="Arial"/>
                <w:sz w:val="18"/>
                <w:szCs w:val="18"/>
                <w:color w:val="auto"/>
                <w:w w:val="92"/>
              </w:rPr>
              <w:t>Latham Group, Inc.</w:t>
            </w:r>
          </w:p>
        </w:tc>
      </w:tr>
    </w:tbl>
    <w:p>
      <w:pPr>
        <w:spacing w:after="0" w:line="202"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LATHAM GROUP,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left="20" w:right="140"/>
        <w:spacing w:after="0" w:line="263" w:lineRule="auto"/>
        <w:rPr>
          <w:sz w:val="20"/>
          <w:szCs w:val="20"/>
          <w:color w:val="auto"/>
        </w:rPr>
      </w:pPr>
      <w:r>
        <w:rPr>
          <w:rFonts w:ascii="Arial" w:cs="Arial" w:eastAsia="Arial" w:hAnsi="Arial"/>
          <w:sz w:val="18"/>
          <w:szCs w:val="18"/>
          <w:color w:val="auto"/>
        </w:rPr>
        <w:t>In connection with the Quarterly Report of Latham Group, Inc. (the “</w:t>
      </w:r>
      <w:r>
        <w:rPr>
          <w:rFonts w:ascii="Arial" w:cs="Arial" w:eastAsia="Arial" w:hAnsi="Arial"/>
          <w:sz w:val="18"/>
          <w:szCs w:val="18"/>
          <w:u w:val="single" w:color="auto"/>
          <w:color w:val="auto"/>
        </w:rPr>
        <w:t>Company</w:t>
      </w:r>
      <w:r>
        <w:rPr>
          <w:rFonts w:ascii="Arial" w:cs="Arial" w:eastAsia="Arial" w:hAnsi="Arial"/>
          <w:sz w:val="18"/>
          <w:szCs w:val="18"/>
          <w:color w:val="auto"/>
        </w:rPr>
        <w:t>”) on Form 10-Q for the period ending April 3, 2021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James Mark Borseth, Chief Financial Officer of the Company, certify, pursuant to 18 U.S.C. Section 1350, as adopted pursuant to Section 906 of the Sarbanes-Oxley Act of 2002, that:</w:t>
      </w:r>
    </w:p>
    <w:p>
      <w:pPr>
        <w:spacing w:after="0" w:line="184" w:lineRule="exact"/>
        <w:rPr>
          <w:sz w:val="20"/>
          <w:szCs w:val="20"/>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June 3, 2021</w:t>
            </w:r>
          </w:p>
        </w:tc>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James Mark Borseth</w:t>
            </w:r>
          </w:p>
        </w:tc>
      </w:tr>
      <w:tr>
        <w:trPr>
          <w:trHeight w:val="195"/>
        </w:trPr>
        <w:tc>
          <w:tcPr>
            <w:tcW w:w="5620" w:type="dxa"/>
            <w:vAlign w:val="bottom"/>
          </w:tcPr>
          <w:p>
            <w:pPr>
              <w:spacing w:after="0"/>
              <w:rPr>
                <w:sz w:val="16"/>
                <w:szCs w:val="16"/>
                <w:color w:val="auto"/>
              </w:rPr>
            </w:pPr>
          </w:p>
        </w:tc>
        <w:tc>
          <w:tcPr>
            <w:tcW w:w="5620" w:type="dxa"/>
            <w:vAlign w:val="bottom"/>
          </w:tcPr>
          <w:p>
            <w:pPr>
              <w:jc w:val="center"/>
              <w:spacing w:after="0" w:line="195" w:lineRule="exact"/>
              <w:rPr>
                <w:sz w:val="20"/>
                <w:szCs w:val="20"/>
                <w:color w:val="auto"/>
              </w:rPr>
            </w:pPr>
            <w:r>
              <w:rPr>
                <w:rFonts w:ascii="Arial" w:cs="Arial" w:eastAsia="Arial" w:hAnsi="Arial"/>
                <w:sz w:val="18"/>
                <w:szCs w:val="18"/>
                <w:color w:val="auto"/>
                <w:w w:val="89"/>
              </w:rPr>
              <w:t>James Mark Borseth</w:t>
            </w:r>
          </w:p>
        </w:tc>
      </w:tr>
      <w:tr>
        <w:trPr>
          <w:trHeight w:val="216"/>
        </w:trPr>
        <w:tc>
          <w:tcPr>
            <w:tcW w:w="5620" w:type="dxa"/>
            <w:vAlign w:val="bottom"/>
          </w:tcPr>
          <w:p>
            <w:pPr>
              <w:spacing w:after="0"/>
              <w:rPr>
                <w:sz w:val="18"/>
                <w:szCs w:val="18"/>
                <w:color w:val="auto"/>
              </w:rPr>
            </w:pPr>
          </w:p>
        </w:tc>
        <w:tc>
          <w:tcPr>
            <w:tcW w:w="562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r>
        <w:trPr>
          <w:trHeight w:val="230"/>
        </w:trPr>
        <w:tc>
          <w:tcPr>
            <w:tcW w:w="5620" w:type="dxa"/>
            <w:vAlign w:val="bottom"/>
          </w:tcPr>
          <w:p>
            <w:pPr>
              <w:spacing w:after="0"/>
              <w:rPr>
                <w:sz w:val="20"/>
                <w:szCs w:val="20"/>
                <w:color w:val="auto"/>
              </w:rPr>
            </w:pPr>
          </w:p>
        </w:tc>
        <w:tc>
          <w:tcPr>
            <w:tcW w:w="5620" w:type="dxa"/>
            <w:vAlign w:val="bottom"/>
          </w:tcPr>
          <w:p>
            <w:pPr>
              <w:jc w:val="center"/>
              <w:spacing w:after="0"/>
              <w:rPr>
                <w:sz w:val="20"/>
                <w:szCs w:val="20"/>
                <w:color w:val="auto"/>
              </w:rPr>
            </w:pPr>
            <w:r>
              <w:rPr>
                <w:rFonts w:ascii="Arial" w:cs="Arial" w:eastAsia="Arial" w:hAnsi="Arial"/>
                <w:sz w:val="18"/>
                <w:szCs w:val="18"/>
                <w:color w:val="auto"/>
                <w:w w:val="92"/>
              </w:rPr>
              <w:t>Latham Group, Inc.</w:t>
            </w:r>
          </w:p>
        </w:tc>
      </w:tr>
    </w:tbl>
    <w:p>
      <w:pPr>
        <w:spacing w:after="0" w:line="202"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1)"/>
      <w:numFmt w:val="lowerRoman"/>
      <w:start w:val="2"/>
    </w:lvl>
  </w:abstractNum>
  <w:abstractNum w:abstractNumId="3">
    <w:nsid w:val="684A481A"/>
    <w:multiLevelType w:val="hybridMultilevel"/>
    <w:lvl w:ilvl="0">
      <w:lvlJc w:val="left"/>
      <w:lvlText w:val="(%1)"/>
      <w:numFmt w:val="lowerRoman"/>
      <w:start w:val="2"/>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
      <w:numFmt w:val="bullet"/>
      <w:start w:val="1"/>
    </w:lvl>
  </w:abstractNum>
  <w:abstractNum w:abstractNumId="6">
    <w:nsid w:val="3DC240FB"/>
    <w:multiLevelType w:val="hybridMultilevel"/>
    <w:lvl w:ilvl="0">
      <w:lvlJc w:val="left"/>
      <w:lvlText w:val="(%1)"/>
      <w:numFmt w:val="lowerRoman"/>
      <w:start w:val="10"/>
    </w:lvl>
  </w:abstractNum>
  <w:abstractNum w:abstractNumId="7">
    <w:nsid w:val="1BA026FA"/>
    <w:multiLevelType w:val="hybridMultilevel"/>
    <w:lvl w:ilvl="0">
      <w:lvlJc w:val="left"/>
      <w:lvlText w:val="(%1)"/>
      <w:numFmt w:val="lowerLetter"/>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1)"/>
      <w:numFmt w:val="lowerLetter"/>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1."/>
      <w:numFmt w:val="upperLetter"/>
      <w:start w:val="9"/>
    </w:lvl>
    <w:lvl w:ilvl="1">
      <w:lvlJc w:val="left"/>
      <w:lvlText w:val="%2."/>
      <w:numFmt w:val="upperLetter"/>
      <w:start w:val="1"/>
    </w:lvl>
  </w:abstractNum>
  <w:abstractNum w:abstractNumId="13">
    <w:nsid w:val="374A3FE6"/>
    <w:multiLevelType w:val="hybridMultilevel"/>
    <w:lvl w:ilvl="0">
      <w:lvlJc w:val="left"/>
      <w:lvlText w:val="%1."/>
      <w:numFmt w:val="upperLetter"/>
      <w:start w:val="6"/>
    </w:lvl>
  </w:abstractNum>
  <w:abstractNum w:abstractNumId="14">
    <w:nsid w:val="4F4EF005"/>
    <w:multiLevelType w:val="hybridMultilevel"/>
    <w:lvl w:ilvl="0">
      <w:lvlJc w:val="left"/>
      <w:lvlText w:val="%1."/>
      <w:numFmt w:val="upperLetter"/>
      <w:start w:val="1"/>
    </w:lvl>
  </w:abstractNum>
  <w:abstractNum w:abstractNumId="15">
    <w:nsid w:val="23F9C13C"/>
    <w:multiLevelType w:val="hybridMultilevel"/>
    <w:lvl w:ilvl="0">
      <w:lvlJc w:val="left"/>
      <w:lvlText w:val="%1."/>
      <w:numFmt w:val="upperLetter"/>
      <w:start w:val="1"/>
    </w:lvl>
  </w:abstractNum>
  <w:abstractNum w:abstractNumId="16">
    <w:nsid w:val="649BB77C"/>
    <w:multiLevelType w:val="hybridMultilevel"/>
    <w:lvl w:ilvl="0">
      <w:lvlJc w:val="left"/>
      <w:lvlText w:val="%1."/>
      <w:numFmt w:val="upperLetter"/>
      <w:start w:val="2"/>
    </w:lvl>
  </w:abstractNum>
  <w:abstractNum w:abstractNumId="17">
    <w:nsid w:val="275AC794"/>
    <w:multiLevelType w:val="hybridMultilevel"/>
    <w:lvl w:ilvl="0">
      <w:lvlJc w:val="left"/>
      <w:lvlText w:val="%1."/>
      <w:numFmt w:val="upperLetter"/>
      <w:start w:val="5"/>
    </w:lvl>
  </w:abstractNum>
  <w:abstractNum w:abstractNumId="18">
    <w:nsid w:val="39386575"/>
    <w:multiLevelType w:val="hybridMultilevel"/>
    <w:lvl w:ilvl="0">
      <w:lvlJc w:val="left"/>
      <w:lvlText w:val="%1."/>
      <w:numFmt w:val="upperLetter"/>
      <w:start w:val="1"/>
    </w:lvl>
  </w:abstractNum>
  <w:abstractNum w:abstractNumId="19">
    <w:nsid w:val="1CF10FD8"/>
    <w:multiLevelType w:val="hybridMultilevel"/>
    <w:lvl w:ilvl="0">
      <w:lvlJc w:val="left"/>
      <w:lvlText w:val="%1."/>
      <w:numFmt w:val="upperLetter"/>
      <w:start w:val="1"/>
    </w:lvl>
  </w:abstractNum>
  <w:abstractNum w:abstractNumId="20">
    <w:nsid w:val="180115BE"/>
    <w:multiLevelType w:val="hybridMultilevel"/>
    <w:lvl w:ilvl="0">
      <w:lvlJc w:val="left"/>
      <w:lvlText w:val="%1."/>
      <w:numFmt w:val="upperLetter"/>
      <w:start w:val="2"/>
    </w:lvl>
  </w:abstractNum>
  <w:abstractNum w:abstractNumId="21">
    <w:nsid w:val="235BA861"/>
    <w:multiLevelType w:val="hybridMultilevel"/>
    <w:lvl w:ilvl="0">
      <w:lvlJc w:val="left"/>
      <w:lvlText w:val="%1."/>
      <w:numFmt w:val="upperLetter"/>
      <w:start w:val="1"/>
    </w:lvl>
  </w:abstractNum>
  <w:abstractNum w:abstractNumId="22">
    <w:nsid w:val="47398C89"/>
    <w:multiLevelType w:val="hybridMultilevel"/>
    <w:lvl w:ilvl="0">
      <w:lvlJc w:val="left"/>
      <w:lvlText w:val="%1"/>
      <w:numFmt w:val="upperLetter"/>
      <w:start w:val="1"/>
    </w:lvl>
    <w:lvl w:ilvl="1">
      <w:lvlJc w:val="left"/>
      <w:lvlText w:val="%2."/>
      <w:numFmt w:val="upperLetter"/>
      <w:start w:val="2"/>
    </w:lvl>
  </w:abstractNum>
  <w:abstractNum w:abstractNumId="23">
    <w:nsid w:val="354FE9F9"/>
    <w:multiLevelType w:val="hybridMultilevel"/>
    <w:lvl w:ilvl="0">
      <w:lvlJc w:val="left"/>
      <w:lvlText w:val="(%1)"/>
      <w:numFmt w:val="upperLetter"/>
      <w:start w:val="4"/>
    </w:lvl>
    <w:lvl w:ilvl="1">
      <w:lvlJc w:val="left"/>
      <w:lvlText w:val="%2"/>
      <w:numFmt w:val="upperLetter"/>
      <w:start w:val="1"/>
    </w:lvl>
  </w:abstractNum>
  <w:abstractNum w:abstractNumId="24">
    <w:nsid w:val="15B5AF5C"/>
    <w:multiLevelType w:val="hybridMultilevel"/>
    <w:lvl w:ilvl="0">
      <w:lvlJc w:val="left"/>
      <w:lvlText w:val="%1."/>
      <w:numFmt w:val="upperLetter"/>
      <w:start w:val="3"/>
    </w:lvl>
  </w:abstractNum>
  <w:abstractNum w:abstractNumId="25">
    <w:nsid w:val="741226BB"/>
    <w:multiLevelType w:val="hybridMultilevel"/>
    <w:lvl w:ilvl="0">
      <w:lvlJc w:val="left"/>
      <w:lvlText w:val="%1."/>
      <w:numFmt w:val="upperLetter"/>
      <w:start w:val="9"/>
    </w:lvl>
  </w:abstractNum>
  <w:abstractNum w:abstractNumId="26">
    <w:nsid w:val="D34B6A8"/>
    <w:multiLevelType w:val="hybridMultilevel"/>
    <w:lvl w:ilvl="0">
      <w:lvlJc w:val="left"/>
      <w:lvlText w:val="%1."/>
      <w:numFmt w:val="upperLetter"/>
      <w:start w:val="1"/>
    </w:lvl>
    <w:lvl w:ilvl="1">
      <w:lvlJc w:val="left"/>
      <w:lvlText w:val="%2."/>
      <w:numFmt w:val="decimal"/>
      <w:start w:val="1"/>
    </w:lvl>
  </w:abstractNum>
  <w:abstractNum w:abstractNumId="27">
    <w:nsid w:val="10233C99"/>
    <w:multiLevelType w:val="hybridMultilevel"/>
    <w:lvl w:ilvl="0">
      <w:lvlJc w:val="left"/>
      <w:lvlText w:val="%1"/>
      <w:numFmt w:val="lowerRoman"/>
      <w:start w:val="1"/>
    </w:lvl>
    <w:lvl w:ilvl="1">
      <w:lvlJc w:val="left"/>
      <w:lvlText w:val="%2."/>
      <w:numFmt w:val="upperLetter"/>
      <w:start w:val="3"/>
    </w:lvl>
    <w:lvl w:ilvl="2">
      <w:lvlJc w:val="left"/>
      <w:lvlText w:val="%3."/>
      <w:numFmt w:val="decimal"/>
      <w:start w:val="1"/>
    </w:lvl>
    <w:lvl w:ilvl="3">
      <w:lvlJc w:val="left"/>
      <w:lvlText w:val="(%4)"/>
      <w:numFmt w:val="lowerRoman"/>
      <w:start w:val="1"/>
    </w:lvl>
  </w:abstractNum>
  <w:abstractNum w:abstractNumId="28">
    <w:nsid w:val="3F6AB60F"/>
    <w:multiLevelType w:val="hybridMultilevel"/>
    <w:lvl w:ilvl="0">
      <w:lvlJc w:val="left"/>
      <w:lvlText w:val="(%1)"/>
      <w:numFmt w:val="lowerRoman"/>
      <w:start w:val="3"/>
    </w:lvl>
    <w:lvl w:ilvl="1">
      <w:lvlJc w:val="left"/>
      <w:lvlText w:val="%2"/>
      <w:numFmt w:val="upperLetter"/>
      <w:start w:val="1"/>
    </w:lvl>
    <w:lvl w:ilvl="2">
      <w:lvlJc w:val="left"/>
      <w:lvlText w:val="%3"/>
      <w:numFmt w:val="decimal"/>
      <w:start w:val="1"/>
    </w:lvl>
    <w:lvl w:ilvl="3">
      <w:lvlJc w:val="left"/>
      <w:lvlText w:val="%4"/>
      <w:numFmt w:val="lowerRoman"/>
      <w:start w:val="1"/>
    </w:lvl>
  </w:abstractNum>
  <w:abstractNum w:abstractNumId="29">
    <w:nsid w:val="61574095"/>
    <w:multiLevelType w:val="hybridMultilevel"/>
    <w:lvl w:ilvl="0">
      <w:lvlJc w:val="left"/>
      <w:lvlText w:val="%1"/>
      <w:numFmt w:val="decimal"/>
      <w:start w:val="1"/>
    </w:lvl>
    <w:lvl w:ilvl="1">
      <w:lvlJc w:val="left"/>
      <w:lvlText w:val="(%2)"/>
      <w:numFmt w:val="lowerRoman"/>
      <w:start w:val="4"/>
    </w:lvl>
  </w:abstractNum>
  <w:abstractNum w:abstractNumId="30">
    <w:nsid w:val="7E0C57B1"/>
    <w:multiLevelType w:val="hybridMultilevel"/>
    <w:lvl w:ilvl="0">
      <w:lvlJc w:val="left"/>
      <w:lvlText w:val="%1."/>
      <w:numFmt w:val="decimal"/>
      <w:start w:val="4"/>
    </w:lvl>
    <w:lvl w:ilvl="1">
      <w:lvlJc w:val="left"/>
      <w:lvlText w:val="%2"/>
      <w:numFmt w:val="lowerRoman"/>
      <w:start w:val="1"/>
    </w:lvl>
  </w:abstractNum>
  <w:abstractNum w:abstractNumId="31">
    <w:nsid w:val="77AE35EB"/>
    <w:multiLevelType w:val="hybridMultilevel"/>
    <w:lvl w:ilvl="0">
      <w:lvlJc w:val="left"/>
      <w:lvlText w:val="%1."/>
      <w:numFmt w:val="decimal"/>
      <w:start w:val="6"/>
    </w:lvl>
    <w:lvl w:ilvl="1">
      <w:lvlJc w:val="left"/>
      <w:lvlText w:val="(%2)"/>
      <w:numFmt w:val="lowerRoman"/>
      <w:start w:val="1"/>
    </w:lvl>
  </w:abstractNum>
  <w:abstractNum w:abstractNumId="32">
    <w:nsid w:val="579BE4F1"/>
    <w:multiLevelType w:val="hybridMultilevel"/>
    <w:lvl w:ilvl="0">
      <w:lvlJc w:val="left"/>
      <w:lvlText w:val="%1."/>
      <w:numFmt w:val="decimal"/>
      <w:start w:val="7"/>
    </w:lvl>
  </w:abstractNum>
  <w:abstractNum w:abstractNumId="33">
    <w:nsid w:val="310C50B3"/>
    <w:multiLevelType w:val="hybridMultilevel"/>
    <w:lvl w:ilvl="0">
      <w:lvlJc w:val="left"/>
      <w:lvlText w:val="%1."/>
      <w:numFmt w:val="upperLetter"/>
      <w:start w:val="1"/>
    </w:lvl>
  </w:abstractNum>
  <w:abstractNum w:abstractNumId="34">
    <w:nsid w:val="5FF87E05"/>
    <w:multiLevelType w:val="hybridMultilevel"/>
    <w:lvl w:ilvl="0">
      <w:lvlJc w:val="left"/>
      <w:lvlText w:val="(%1)"/>
      <w:numFmt w:val="upperLetter"/>
      <w:start w:val="1"/>
    </w:lvl>
  </w:abstractNum>
  <w:abstractNum w:abstractNumId="35">
    <w:nsid w:val="2F305DEF"/>
    <w:multiLevelType w:val="hybridMultilevel"/>
    <w:lvl w:ilvl="0">
      <w:lvlJc w:val="left"/>
      <w:lvlText w:val="(%1)"/>
      <w:numFmt w:val="decimal"/>
      <w:start w:val="1"/>
    </w:lvl>
  </w:abstractNum>
  <w:abstractNum w:abstractNumId="36">
    <w:nsid w:val="25A70BF7"/>
    <w:multiLevelType w:val="hybridMultilevel"/>
    <w:lvl w:ilvl="0">
      <w:lvlJc w:val="left"/>
      <w:lvlText w:val="%1"/>
      <w:numFmt w:val="lowerLetter"/>
      <w:start w:val="1"/>
    </w:lvl>
    <w:lvl w:ilvl="1">
      <w:lvlJc w:val="left"/>
      <w:lvlText w:val="(%2)"/>
      <w:numFmt w:val="decimal"/>
      <w:start w:val="3"/>
    </w:lvl>
    <w:lvl w:ilvl="2">
      <w:lvlJc w:val="left"/>
      <w:lvlText w:val="%3"/>
      <w:numFmt w:val="lowerRoman"/>
      <w:start w:val="1"/>
    </w:lvl>
    <w:lvl w:ilvl="3">
      <w:lvlJc w:val="left"/>
      <w:lvlText w:val="%4"/>
      <w:numFmt w:val="lowerRoman"/>
      <w:start w:val="1"/>
    </w:lvl>
  </w:abstractNum>
  <w:abstractNum w:abstractNumId="37">
    <w:nsid w:val="1DBABF00"/>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lvl w:ilvl="3">
      <w:lvlJc w:val="left"/>
      <w:lvlText w:val="(%4)"/>
      <w:numFmt w:val="lowerRoman"/>
      <w:start w:val="1"/>
    </w:lvl>
  </w:abstractNum>
  <w:abstractNum w:abstractNumId="38">
    <w:nsid w:val="4AD084E9"/>
    <w:multiLevelType w:val="hybridMultilevel"/>
    <w:lvl w:ilvl="0">
      <w:lvlJc w:val="left"/>
      <w:lvlText w:val="%1"/>
      <w:numFmt w:val="lowerLetter"/>
      <w:start w:val="1"/>
    </w:lvl>
    <w:lvl w:ilvl="1">
      <w:lvlJc w:val="left"/>
      <w:lvlText w:val="(%2)"/>
      <w:numFmt w:val="lowerRoman"/>
      <w:start w:val="4"/>
    </w:lvl>
  </w:abstractNum>
  <w:abstractNum w:abstractNumId="39">
    <w:nsid w:val="1F48EAA1"/>
    <w:multiLevelType w:val="hybridMultilevel"/>
    <w:lvl w:ilvl="0">
      <w:lvlJc w:val="left"/>
      <w:lvlText w:val="(%1)"/>
      <w:numFmt w:val="lowerLetter"/>
      <w:start w:val="4"/>
    </w:lvl>
    <w:lvl w:ilvl="1">
      <w:lvlJc w:val="left"/>
      <w:lvlText w:val="(%2)"/>
      <w:numFmt w:val="lowerRoman"/>
      <w:start w:val="1"/>
    </w:lvl>
  </w:abstractNum>
  <w:abstractNum w:abstractNumId="40">
    <w:nsid w:val="1381823A"/>
    <w:multiLevelType w:val="hybridMultilevel"/>
    <w:lvl w:ilvl="0">
      <w:lvlJc w:val="left"/>
      <w:lvlText w:val="(%1)"/>
      <w:numFmt w:val="lowerRoman"/>
      <w:start w:val="3"/>
    </w:lvl>
  </w:abstractNum>
  <w:abstractNum w:abstractNumId="41">
    <w:nsid w:val="5DB70AE5"/>
    <w:multiLevelType w:val="hybridMultilevel"/>
    <w:lvl w:ilvl="0">
      <w:lvlJc w:val="left"/>
      <w:lvlText w:val="(%1)"/>
      <w:numFmt w:val="upperLetter"/>
      <w:start w:val="2"/>
    </w:lvl>
  </w:abstractNum>
  <w:abstractNum w:abstractNumId="42">
    <w:nsid w:val="100F8FCA"/>
    <w:multiLevelType w:val="hybridMultilevel"/>
    <w:lvl w:ilvl="0">
      <w:lvlJc w:val="left"/>
      <w:lvlText w:val="(%1)"/>
      <w:numFmt w:val="decimal"/>
      <w:start w:val="1"/>
    </w:lvl>
  </w:abstractNum>
  <w:abstractNum w:abstractNumId="43">
    <w:nsid w:val="6590700B"/>
    <w:multiLevelType w:val="hybridMultilevel"/>
    <w:lvl w:ilvl="0">
      <w:lvlJc w:val="left"/>
      <w:lvlText w:val="(%1)"/>
      <w:numFmt w:val="decimal"/>
      <w:start w:val="2"/>
    </w:lvl>
  </w:abstractNum>
  <w:abstractNum w:abstractNumId="44">
    <w:nsid w:val="15014ACB"/>
    <w:multiLevelType w:val="hybridMultilevel"/>
    <w:lvl w:ilvl="0">
      <w:lvlJc w:val="left"/>
      <w:lvlText w:val="(%1)"/>
      <w:numFmt w:val="upperLetter"/>
      <w:start w:val="1"/>
    </w:lvl>
  </w:abstractNum>
  <w:abstractNum w:abstractNumId="45">
    <w:nsid w:val="5F5E7FD0"/>
    <w:multiLevelType w:val="hybridMultilevel"/>
    <w:lvl w:ilvl="0">
      <w:lvlJc w:val="left"/>
      <w:lvlText w:val="(%1)"/>
      <w:numFmt w:val="upperLetter"/>
      <w:start w:val="1"/>
    </w:lvl>
  </w:abstractNum>
  <w:abstractNum w:abstractNumId="46">
    <w:nsid w:val="98A3148"/>
    <w:multiLevelType w:val="hybridMultilevel"/>
    <w:lvl w:ilvl="0">
      <w:lvlJc w:val="left"/>
      <w:lvlText w:val="(%1)"/>
      <w:numFmt w:val="upperLetter"/>
      <w:start w:val="2"/>
    </w:lvl>
  </w:abstractNum>
  <w:abstractNum w:abstractNumId="47">
    <w:nsid w:val="799D0247"/>
    <w:multiLevelType w:val="hybridMultilevel"/>
    <w:lvl w:ilvl="0">
      <w:lvlJc w:val="left"/>
      <w:lvlText w:val="(%1)"/>
      <w:numFmt w:val="decimal"/>
      <w:start w:val="1"/>
    </w:lvl>
  </w:abstractNum>
  <w:abstractNum w:abstractNumId="48">
    <w:nsid w:val="6B94764"/>
    <w:multiLevelType w:val="hybridMultilevel"/>
    <w:lvl w:ilvl="0">
      <w:lvlJc w:val="left"/>
      <w:lvlText w:val="1"/>
      <w:numFmt w:val="bullet"/>
      <w:start w:val="1"/>
    </w:lvl>
  </w:abstractNum>
  <w:abstractNum w:abstractNumId="49">
    <w:nsid w:val="42C296BD"/>
    <w:multiLevelType w:val="hybridMultilevel"/>
    <w:lvl w:ilvl="0">
      <w:lvlJc w:val="left"/>
      <w:lvlText w:val="2"/>
      <w:numFmt w:val="bullet"/>
      <w:start w:val="1"/>
    </w:lvl>
  </w:abstractNum>
  <w:abstractNum w:abstractNumId="50">
    <w:nsid w:val="168E121F"/>
    <w:multiLevelType w:val="hybridMultilevel"/>
    <w:lvl w:ilvl="0">
      <w:lvlJc w:val="left"/>
      <w:lvlText w:val="%1."/>
      <w:numFmt w:val="upperLetter"/>
      <w:start w:val="9"/>
    </w:lvl>
    <w:lvl w:ilvl="1">
      <w:lvlJc w:val="left"/>
      <w:lvlText w:val="%2."/>
      <w:numFmt w:val="upperLetter"/>
      <w:start w:val="1"/>
    </w:lvl>
  </w:abstractNum>
  <w:abstractNum w:abstractNumId="51">
    <w:nsid w:val="1EBA5D23"/>
    <w:multiLevelType w:val="hybridMultilevel"/>
    <w:lvl w:ilvl="0">
      <w:lvlJc w:val="left"/>
      <w:lvlText w:val="%1."/>
      <w:numFmt w:val="upperLetter"/>
      <w:start w:val="6"/>
    </w:lvl>
  </w:abstractNum>
  <w:abstractNum w:abstractNumId="52">
    <w:nsid w:val="661E3F1E"/>
    <w:multiLevelType w:val="hybridMultilevel"/>
    <w:lvl w:ilvl="0">
      <w:lvlJc w:val="left"/>
      <w:lvlText w:val="%1."/>
      <w:numFmt w:val="upperLetter"/>
      <w:start w:val="1"/>
    </w:lvl>
  </w:abstractNum>
  <w:abstractNum w:abstractNumId="53">
    <w:nsid w:val="5DC79EA8"/>
    <w:multiLevelType w:val="hybridMultilevel"/>
    <w:lvl w:ilvl="0">
      <w:lvlJc w:val="left"/>
      <w:lvlText w:val="%1."/>
      <w:numFmt w:val="upperLetter"/>
      <w:start w:val="1"/>
    </w:lvl>
  </w:abstractNum>
  <w:abstractNum w:abstractNumId="54">
    <w:nsid w:val="540A471C"/>
    <w:multiLevelType w:val="hybridMultilevel"/>
    <w:lvl w:ilvl="0">
      <w:lvlJc w:val="left"/>
      <w:lvlText w:val="%1."/>
      <w:numFmt w:val="upperLetter"/>
      <w:start w:val="2"/>
    </w:lvl>
  </w:abstractNum>
  <w:abstractNum w:abstractNumId="55">
    <w:nsid w:val="7BD3EE7B"/>
    <w:multiLevelType w:val="hybridMultilevel"/>
    <w:lvl w:ilvl="0">
      <w:lvlJc w:val="left"/>
      <w:lvlText w:val="%1."/>
      <w:numFmt w:val="upperLetter"/>
      <w:start w:val="5"/>
    </w:lvl>
  </w:abstractNum>
  <w:abstractNum w:abstractNumId="56">
    <w:nsid w:val="51D9C564"/>
    <w:multiLevelType w:val="hybridMultilevel"/>
    <w:lvl w:ilvl="0">
      <w:lvlJc w:val="left"/>
      <w:lvlText w:val="%1."/>
      <w:numFmt w:val="upperLetter"/>
      <w:start w:val="1"/>
    </w:lvl>
  </w:abstractNum>
  <w:abstractNum w:abstractNumId="57">
    <w:nsid w:val="613EFDC5"/>
    <w:multiLevelType w:val="hybridMultilevel"/>
    <w:lvl w:ilvl="0">
      <w:lvlJc w:val="left"/>
      <w:lvlText w:val="%1."/>
      <w:numFmt w:val="upperLetter"/>
      <w:start w:val="1"/>
    </w:lvl>
  </w:abstractNum>
  <w:abstractNum w:abstractNumId="58">
    <w:nsid w:val="BF72B14"/>
    <w:multiLevelType w:val="hybridMultilevel"/>
    <w:lvl w:ilvl="0">
      <w:lvlJc w:val="left"/>
      <w:lvlText w:val="%1."/>
      <w:numFmt w:val="upperLetter"/>
      <w:start w:val="2"/>
    </w:lvl>
  </w:abstractNum>
  <w:abstractNum w:abstractNumId="59">
    <w:nsid w:val="11447B73"/>
    <w:multiLevelType w:val="hybridMultilevel"/>
    <w:lvl w:ilvl="0">
      <w:lvlJc w:val="left"/>
      <w:lvlText w:val="%1."/>
      <w:numFmt w:val="upperLetter"/>
      <w:start w:val="1"/>
    </w:lvl>
  </w:abstractNum>
  <w:abstractNum w:abstractNumId="60">
    <w:nsid w:val="42963E5A"/>
    <w:multiLevelType w:val="hybridMultilevel"/>
    <w:lvl w:ilvl="0">
      <w:lvlJc w:val="left"/>
      <w:lvlText w:val="%1"/>
      <w:numFmt w:val="lowerRoman"/>
      <w:start w:val="1"/>
    </w:lvl>
    <w:lvl w:ilvl="1">
      <w:lvlJc w:val="left"/>
      <w:lvlText w:val="%2."/>
      <w:numFmt w:val="upperLetter"/>
      <w:start w:val="2"/>
    </w:lvl>
  </w:abstractNum>
  <w:abstractNum w:abstractNumId="61">
    <w:nsid w:val="A0382C5"/>
    <w:multiLevelType w:val="hybridMultilevel"/>
    <w:lvl w:ilvl="0">
      <w:lvlJc w:val="left"/>
      <w:lvlText w:val="(%1)"/>
      <w:numFmt w:val="lowerRoman"/>
      <w:start w:val="2"/>
    </w:lvl>
    <w:lvl w:ilvl="1">
      <w:lvlJc w:val="left"/>
      <w:lvlText w:val="%2"/>
      <w:numFmt w:val="upperLetter"/>
      <w:start w:val="1"/>
    </w:lvl>
  </w:abstractNum>
  <w:abstractNum w:abstractNumId="62">
    <w:nsid w:val="8F2B15E"/>
    <w:multiLevelType w:val="hybridMultilevel"/>
    <w:lvl w:ilvl="0">
      <w:lvlJc w:val="left"/>
      <w:lvlText w:val="%1"/>
      <w:numFmt w:val="lowerRoman"/>
      <w:start w:val="1"/>
    </w:lvl>
    <w:lvl w:ilvl="1">
      <w:lvlJc w:val="left"/>
      <w:lvlText w:val="%2."/>
      <w:numFmt w:val="upperLetter"/>
      <w:start w:val="3"/>
    </w:lvl>
  </w:abstractNum>
  <w:abstractNum w:abstractNumId="63">
    <w:nsid w:val="1A32234B"/>
    <w:multiLevelType w:val="hybridMultilevel"/>
    <w:lvl w:ilvl="0">
      <w:lvlJc w:val="left"/>
      <w:lvlText w:val="(%1)"/>
      <w:numFmt w:val="lowerRoman"/>
      <w:start w:val="3"/>
    </w:lvl>
    <w:lvl w:ilvl="1">
      <w:lvlJc w:val="left"/>
      <w:lvlText w:val="%2."/>
      <w:numFmt w:val="upperLetter"/>
      <w:start w:val="6"/>
    </w:lvl>
  </w:abstractNum>
  <w:abstractNum w:abstractNumId="64">
    <w:nsid w:val="3B0FD379"/>
    <w:multiLevelType w:val="hybridMultilevel"/>
    <w:lvl w:ilvl="0">
      <w:lvlJc w:val="left"/>
      <w:lvlText w:val="%1."/>
      <w:numFmt w:val="upperLetter"/>
      <w:start w:val="9"/>
    </w:lvl>
  </w:abstractNum>
  <w:abstractNum w:abstractNumId="65">
    <w:nsid w:val="68EB2F63"/>
    <w:multiLevelType w:val="hybridMultilevel"/>
    <w:lvl w:ilvl="0">
      <w:lvlJc w:val="left"/>
      <w:lvlText w:val="%1."/>
      <w:numFmt w:val="upperLetter"/>
      <w:start w:val="1"/>
    </w:lvl>
    <w:lvl w:ilvl="1">
      <w:lvlJc w:val="left"/>
      <w:lvlText w:val="%2."/>
      <w:numFmt w:val="decimal"/>
      <w:start w:val="1"/>
    </w:lvl>
  </w:abstractNum>
  <w:abstractNum w:abstractNumId="66">
    <w:nsid w:val="4962813B"/>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9"/>
    </w:lvl>
  </w:abstractNum>
  <w:abstractNum w:abstractNumId="67">
    <w:nsid w:val="60B6DF70"/>
    <w:multiLevelType w:val="hybridMultilevel"/>
    <w:lvl w:ilvl="0">
      <w:lvlJc w:val="left"/>
      <w:lvlText w:val="(%1)"/>
      <w:numFmt w:val="lowerRoman"/>
      <w:start w:val="2"/>
    </w:lvl>
  </w:abstractNum>
  <w:abstractNum w:abstractNumId="68">
    <w:nsid w:val="6A5EE64"/>
    <w:multiLevelType w:val="hybridMultilevel"/>
    <w:lvl w:ilvl="0">
      <w:lvlJc w:val="left"/>
      <w:lvlText w:val="%1"/>
      <w:numFmt w:val="decimal"/>
      <w:start w:val="1"/>
    </w:lvl>
    <w:lvl w:ilvl="1">
      <w:lvlJc w:val="left"/>
      <w:lvlText w:val="(%2)"/>
      <w:numFmt w:val="lowerRoman"/>
      <w:start w:val="4"/>
    </w:lvl>
  </w:abstractNum>
  <w:abstractNum w:abstractNumId="69">
    <w:nsid w:val="14330624"/>
    <w:multiLevelType w:val="hybridMultilevel"/>
    <w:lvl w:ilvl="0">
      <w:lvlJc w:val="left"/>
      <w:lvlText w:val="%1."/>
      <w:numFmt w:val="decimal"/>
      <w:start w:val="4"/>
    </w:lvl>
    <w:lvl w:ilvl="1">
      <w:lvlJc w:val="left"/>
      <w:lvlText w:val="%2"/>
      <w:numFmt w:val="lowerRoman"/>
      <w:start w:val="1"/>
    </w:lvl>
  </w:abstractNum>
  <w:abstractNum w:abstractNumId="70">
    <w:nsid w:val="7FFFCA11"/>
    <w:multiLevelType w:val="hybridMultilevel"/>
    <w:lvl w:ilvl="0">
      <w:lvlJc w:val="left"/>
      <w:lvlText w:val="%1."/>
      <w:numFmt w:val="decimal"/>
      <w:start w:val="5"/>
    </w:lvl>
    <w:lvl w:ilvl="1">
      <w:lvlJc w:val="left"/>
      <w:lvlText w:val="(%2)"/>
      <w:numFmt w:val="lowerRoman"/>
      <w:start w:val="1"/>
    </w:lvl>
  </w:abstractNum>
  <w:abstractNum w:abstractNumId="71">
    <w:nsid w:val="1A27709E"/>
    <w:multiLevelType w:val="hybridMultilevel"/>
    <w:lvl w:ilvl="0">
      <w:lvlJc w:val="left"/>
      <w:lvlText w:val="%1."/>
      <w:numFmt w:val="decimal"/>
      <w:start w:val="7"/>
    </w:lvl>
  </w:abstractNum>
  <w:abstractNum w:abstractNumId="72">
    <w:nsid w:val="71EA1109"/>
    <w:multiLevelType w:val="hybridMultilevel"/>
    <w:lvl w:ilvl="0">
      <w:lvlJc w:val="left"/>
      <w:lvlText w:val="%1"/>
      <w:numFmt w:val="lowerRoman"/>
      <w:start w:val="1"/>
    </w:lvl>
    <w:lvl w:ilvl="1">
      <w:lvlJc w:val="left"/>
      <w:lvlText w:val="%2."/>
      <w:numFmt w:val="upperLetter"/>
      <w:start w:val="1"/>
    </w:lvl>
  </w:abstractNum>
  <w:abstractNum w:abstractNumId="73">
    <w:nsid w:val="100F59DC"/>
    <w:multiLevelType w:val="hybridMultilevel"/>
    <w:lvl w:ilvl="0">
      <w:lvlJc w:val="left"/>
      <w:lvlText w:val="(%1)"/>
      <w:numFmt w:val="lowerRoman"/>
      <w:start w:val="2"/>
    </w:lvl>
    <w:lvl w:ilvl="1">
      <w:lvlJc w:val="left"/>
      <w:lvlText w:val="%2."/>
      <w:numFmt w:val="upperLetter"/>
      <w:start w:val="3"/>
    </w:lvl>
  </w:abstractNum>
  <w:abstractNum w:abstractNumId="74">
    <w:nsid w:val="7FB7E0AA"/>
    <w:multiLevelType w:val="hybridMultilevel"/>
    <w:lvl w:ilvl="0">
      <w:lvlJc w:val="left"/>
      <w:lvlText w:val="%1."/>
      <w:numFmt w:val="upperLetter"/>
      <w:start w:val="4"/>
    </w:lvl>
  </w:abstractNum>
  <w:abstractNum w:abstractNumId="75">
    <w:nsid w:val="6EB5BD4"/>
    <w:multiLevelType w:val="hybridMultilevel"/>
    <w:lvl w:ilvl="0">
      <w:lvlJc w:val="left"/>
      <w:lvlText w:val="(%1)"/>
      <w:numFmt w:val="upperLetter"/>
      <w:start w:val="1"/>
    </w:lvl>
  </w:abstractNum>
  <w:abstractNum w:abstractNumId="76">
    <w:nsid w:val="6F6DD9AC"/>
    <w:multiLevelType w:val="hybridMultilevel"/>
    <w:lvl w:ilvl="0">
      <w:lvlJc w:val="left"/>
      <w:lvlText w:val="(%1)"/>
      <w:numFmt w:val="decimal"/>
      <w:start w:val="1"/>
    </w:lvl>
  </w:abstractNum>
  <w:abstractNum w:abstractNumId="77">
    <w:nsid w:val="94211F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8">
    <w:nsid w:val="885E1B"/>
    <w:multiLevelType w:val="hybridMultilevel"/>
    <w:lvl w:ilvl="0">
      <w:lvlJc w:val="left"/>
      <w:lvlText w:val="%1"/>
      <w:numFmt w:val="lowerLetter"/>
      <w:start w:val="1"/>
    </w:lvl>
    <w:lvl w:ilvl="1">
      <w:lvlJc w:val="left"/>
      <w:lvlText w:val="(%2)"/>
      <w:numFmt w:val="lowerRoman"/>
      <w:start w:val="4"/>
    </w:lvl>
  </w:abstractNum>
  <w:abstractNum w:abstractNumId="79">
    <w:nsid w:val="76272110"/>
    <w:multiLevelType w:val="hybridMultilevel"/>
    <w:lvl w:ilvl="0">
      <w:lvlJc w:val="left"/>
      <w:lvlText w:val="(%1)"/>
      <w:numFmt w:val="lowerLetter"/>
      <w:start w:val="4"/>
    </w:lvl>
    <w:lvl w:ilvl="1">
      <w:lvlJc w:val="left"/>
      <w:lvlText w:val="(%2)"/>
      <w:numFmt w:val="lowerRoman"/>
      <w:start w:val="1"/>
    </w:lvl>
  </w:abstractNum>
  <w:abstractNum w:abstractNumId="80">
    <w:nsid w:val="4C04A8AF"/>
    <w:multiLevelType w:val="hybridMultilevel"/>
    <w:lvl w:ilvl="0">
      <w:lvlJc w:val="left"/>
      <w:lvlText w:val="(%1)"/>
      <w:numFmt w:val="lowerRoman"/>
      <w:start w:val="3"/>
    </w:lvl>
  </w:abstractNum>
  <w:abstractNum w:abstractNumId="81">
    <w:nsid w:val="1716703B"/>
    <w:multiLevelType w:val="hybridMultilevel"/>
    <w:lvl w:ilvl="0">
      <w:lvlJc w:val="left"/>
      <w:lvlText w:val="(%1)"/>
      <w:numFmt w:val="upperLetter"/>
      <w:start w:val="2"/>
    </w:lvl>
  </w:abstractNum>
  <w:abstractNum w:abstractNumId="82">
    <w:nsid w:val="14E17E33"/>
    <w:multiLevelType w:val="hybridMultilevel"/>
    <w:lvl w:ilvl="0">
      <w:lvlJc w:val="left"/>
      <w:lvlText w:val="(%1)"/>
      <w:numFmt w:val="decimal"/>
      <w:start w:val="1"/>
    </w:lvl>
  </w:abstractNum>
  <w:abstractNum w:abstractNumId="83">
    <w:nsid w:val="3222E7CD"/>
    <w:multiLevelType w:val="hybridMultilevel"/>
    <w:lvl w:ilvl="0">
      <w:lvlJc w:val="left"/>
      <w:lvlText w:val="(%1)"/>
      <w:numFmt w:val="decimal"/>
      <w:start w:val="2"/>
    </w:lvl>
  </w:abstractNum>
  <w:abstractNum w:abstractNumId="84">
    <w:nsid w:val="74DE0EE3"/>
    <w:multiLevelType w:val="hybridMultilevel"/>
    <w:lvl w:ilvl="0">
      <w:lvlJc w:val="left"/>
      <w:lvlText w:val="(%1)"/>
      <w:numFmt w:val="upperLetter"/>
      <w:start w:val="1"/>
    </w:lvl>
  </w:abstractNum>
  <w:abstractNum w:abstractNumId="85">
    <w:nsid w:val="68EBC550"/>
    <w:multiLevelType w:val="hybridMultilevel"/>
    <w:lvl w:ilvl="0">
      <w:lvlJc w:val="left"/>
      <w:lvlText w:val="(%1)"/>
      <w:numFmt w:val="upperLetter"/>
      <w:start w:val="1"/>
    </w:lvl>
  </w:abstractNum>
  <w:abstractNum w:abstractNumId="86">
    <w:nsid w:val="2DF6D648"/>
    <w:multiLevelType w:val="hybridMultilevel"/>
    <w:lvl w:ilvl="0">
      <w:lvlJc w:val="left"/>
      <w:lvlText w:val="(%1)"/>
      <w:numFmt w:val="upperLetter"/>
      <w:start w:val="2"/>
    </w:lvl>
  </w:abstractNum>
  <w:abstractNum w:abstractNumId="87">
    <w:nsid w:val="46B7D447"/>
    <w:multiLevelType w:val="hybridMultilevel"/>
    <w:lvl w:ilvl="0">
      <w:lvlJc w:val="left"/>
      <w:lvlText w:val="(%1)"/>
      <w:numFmt w:val="decimal"/>
      <w:start w:val="1"/>
    </w:lvl>
  </w:abstractNum>
  <w:abstractNum w:abstractNumId="88">
    <w:nsid w:val="4A2AC315"/>
    <w:multiLevelType w:val="hybridMultilevel"/>
    <w:lvl w:ilvl="0">
      <w:lvlJc w:val="left"/>
      <w:lvlText w:val="%1."/>
      <w:numFmt w:val="decimal"/>
      <w:start w:val="1"/>
    </w:lvl>
    <w:lvl w:ilvl="1">
      <w:lvlJc w:val="left"/>
      <w:lvlText w:val="%2."/>
      <w:numFmt w:val="lowerLetter"/>
      <w:start w:val="1"/>
    </w:lvl>
  </w:abstractNum>
  <w:abstractNum w:abstractNumId="89">
    <w:nsid w:val="39EE015C"/>
    <w:multiLevelType w:val="hybridMultilevel"/>
    <w:lvl w:ilvl="0">
      <w:lvlJc w:val="left"/>
      <w:lvlText w:val="%1."/>
      <w:numFmt w:val="lowerLetter"/>
      <w:start w:val="2"/>
    </w:lvl>
  </w:abstractNum>
  <w:abstractNum w:abstractNumId="90">
    <w:nsid w:val="57FC4FBB"/>
    <w:multiLevelType w:val="hybridMultilevel"/>
    <w:lvl w:ilvl="0">
      <w:lvlJc w:val="left"/>
      <w:lvlText w:val="%1."/>
      <w:numFmt w:val="decimal"/>
      <w:start w:val="1"/>
    </w:lvl>
    <w:lvl w:ilvl="1">
      <w:lvlJc w:val="left"/>
      <w:lvlText w:val="%2."/>
      <w:numFmt w:val="lowerLetter"/>
      <w:start w:val="1"/>
    </w:lvl>
  </w:abstractNum>
  <w:abstractNum w:abstractNumId="91">
    <w:nsid w:val="CC1016F"/>
    <w:multiLevelType w:val="hybridMultilevel"/>
    <w:lvl w:ilvl="0">
      <w:lvlJc w:val="left"/>
      <w:lvlText w:val="%1."/>
      <w:numFmt w:val="lowerLetter"/>
      <w:start w:val="2"/>
    </w:lvl>
  </w:abstractNum>
  <w:abstractNum w:abstractNumId="92">
    <w:nsid w:val="43F18422"/>
    <w:multiLevelType w:val="hybridMultilevel"/>
    <w:lvl w:ilvl="0">
      <w:lvlJc w:val="left"/>
      <w:lvlText w:val="·"/>
      <w:numFmt w:val="bullet"/>
      <w:start w:val="1"/>
    </w:lvl>
  </w:abstractNum>
  <w:abstractNum w:abstractNumId="93">
    <w:nsid w:val="60EF011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2021-06-03T15:40:54Z</dcterms:created>
  <dcterms:modified xsi:type="dcterms:W3CDTF">2021-06-03T15:40:54Z</dcterms:modified>
</cp:coreProperties>
</file>