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127000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June 28, 2025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08"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40" w:type="dxa"/>
            <w:vAlign w:val="bottom"/>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53"/>
        </w:trPr>
        <w:tc>
          <w:tcPr>
            <w:tcW w:w="48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0" w:type="dxa"/>
            <w:vAlign w:val="bottom"/>
          </w:tcPr>
          <w:p>
            <w:pPr>
              <w:spacing w:after="0"/>
              <w:rPr>
                <w:sz w:val="13"/>
                <w:szCs w:val="13"/>
                <w:color w:val="auto"/>
              </w:rPr>
            </w:pPr>
          </w:p>
        </w:tc>
        <w:tc>
          <w:tcPr>
            <w:tcW w:w="48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369"/>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4840" w:type="dxa"/>
            <w:vAlign w:val="bottom"/>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187"/>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 w:type="dxa"/>
            <w:vAlign w:val="bottom"/>
          </w:tcPr>
          <w:p>
            <w:pPr>
              <w:spacing w:after="0"/>
              <w:rPr>
                <w:sz w:val="16"/>
                <w:szCs w:val="16"/>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88"/>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8"/>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3" w:lineRule="exact"/>
        <w:rPr>
          <w:sz w:val="24"/>
          <w:szCs w:val="24"/>
          <w:color w:val="auto"/>
        </w:rPr>
      </w:pPr>
    </w:p>
    <w:p>
      <w:pPr>
        <w:ind w:right="46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3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100"/>
        <w:spacing w:after="0" w:line="161" w:lineRule="exact"/>
        <w:tabs>
          <w:tab w:leader="none" w:pos="1780" w:val="left"/>
          <w:tab w:leader="none" w:pos="2120" w:val="left"/>
          <w:tab w:leader="none" w:pos="3380" w:val="left"/>
          <w:tab w:leader="none" w:pos="3700" w:val="left"/>
          <w:tab w:leader="none" w:pos="5220" w:val="left"/>
          <w:tab w:leader="none" w:pos="5560" w:val="left"/>
          <w:tab w:leader="none" w:pos="7460" w:val="left"/>
          <w:tab w:leader="none" w:pos="7800" w:val="left"/>
          <w:tab w:leader="none" w:pos="9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1" w:lineRule="exact"/>
        <w:rPr>
          <w:sz w:val="24"/>
          <w:szCs w:val="24"/>
          <w:color w:val="auto"/>
        </w:rPr>
      </w:pPr>
    </w:p>
    <w:p>
      <w:pPr>
        <w:ind w:right="4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1, 2025, 116,542,059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495300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190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684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2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70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40" w:type="dxa"/>
            <w:vAlign w:val="bottom"/>
            <w:shd w:val="clear" w:color="auto" w:fill="CCEEFF"/>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shd w:val="clear" w:color="auto" w:fill="CCEEFF"/>
          </w:tcPr>
          <w:p>
            <w:pPr>
              <w:spacing w:after="0"/>
              <w:rPr>
                <w:sz w:val="19"/>
                <w:szCs w:val="19"/>
                <w:color w:val="auto"/>
              </w:rPr>
            </w:pPr>
          </w:p>
        </w:tc>
      </w:tr>
      <w:tr>
        <w:trPr>
          <w:trHeight w:val="223"/>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178,298</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 w:type="dxa"/>
            <w:vAlign w:val="bottom"/>
            <w:shd w:val="clear" w:color="auto" w:fill="CCEEFF"/>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40" w:type="dxa"/>
            <w:vAlign w:val="bottom"/>
          </w:tcPr>
          <w:p>
            <w:pPr>
              <w:spacing w:after="0"/>
              <w:rPr>
                <w:sz w:val="19"/>
                <w:szCs w:val="19"/>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40" w:type="dxa"/>
            <w:vAlign w:val="bottom"/>
            <w:shd w:val="clear" w:color="auto" w:fill="CCEEFF"/>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0" w:type="dxa"/>
            <w:vAlign w:val="bottom"/>
            <w:shd w:val="clear" w:color="auto" w:fill="CCEEFF"/>
          </w:tcPr>
          <w:p>
            <w:pPr>
              <w:spacing w:after="0"/>
              <w:rPr>
                <w:sz w:val="19"/>
                <w:szCs w:val="19"/>
                <w:color w:val="auto"/>
              </w:rPr>
            </w:pPr>
          </w:p>
        </w:tc>
      </w:tr>
      <w:tr>
        <w:trPr>
          <w:trHeight w:val="26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822,142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tcPr>
          <w:p>
            <w:pPr>
              <w:spacing w:after="0"/>
              <w:rPr>
                <w:sz w:val="22"/>
                <w:szCs w:val="22"/>
                <w:color w:val="auto"/>
              </w:rPr>
            </w:pPr>
          </w:p>
        </w:tc>
      </w:tr>
      <w:tr>
        <w:trPr>
          <w:trHeight w:val="210"/>
        </w:trPr>
        <w:tc>
          <w:tcPr>
            <w:tcW w:w="7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0" w:type="dxa"/>
            <w:vAlign w:val="bottom"/>
          </w:tcPr>
          <w:p>
            <w:pPr>
              <w:spacing w:after="0"/>
              <w:rPr>
                <w:sz w:val="19"/>
                <w:szCs w:val="19"/>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40" w:type="dxa"/>
            <w:vAlign w:val="bottom"/>
            <w:tcBorders>
              <w:bottom w:val="single" w:sz="8" w:color="CCEEFF"/>
            </w:tcBorders>
          </w:tcPr>
          <w:p>
            <w:pPr>
              <w:spacing w:after="0"/>
              <w:rPr>
                <w:sz w:val="19"/>
                <w:szCs w:val="19"/>
                <w:color w:val="auto"/>
              </w:rPr>
            </w:pPr>
          </w:p>
        </w:tc>
      </w:tr>
      <w:tr>
        <w:trPr>
          <w:trHeight w:val="22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40" w:type="dxa"/>
            <w:vAlign w:val="bottom"/>
          </w:tcPr>
          <w:p>
            <w:pPr>
              <w:spacing w:after="0"/>
              <w:rPr>
                <w:sz w:val="19"/>
                <w:szCs w:val="19"/>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40" w:type="dxa"/>
            <w:vAlign w:val="bottom"/>
          </w:tcPr>
          <w:p>
            <w:pPr>
              <w:spacing w:after="0"/>
              <w:rPr>
                <w:sz w:val="19"/>
                <w:szCs w:val="19"/>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40" w:type="dxa"/>
            <w:vAlign w:val="bottom"/>
            <w:shd w:val="clear" w:color="auto" w:fill="CCEEFF"/>
          </w:tcPr>
          <w:p>
            <w:pPr>
              <w:spacing w:after="0"/>
              <w:rPr>
                <w:sz w:val="19"/>
                <w:szCs w:val="19"/>
                <w:color w:val="auto"/>
              </w:rPr>
            </w:pPr>
          </w:p>
        </w:tc>
      </w:tr>
      <w:tr>
        <w:trPr>
          <w:trHeight w:val="223"/>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423,714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406,985</w:t>
            </w:r>
          </w:p>
        </w:tc>
        <w:tc>
          <w:tcPr>
            <w:tcW w:w="40" w:type="dxa"/>
            <w:vAlign w:val="bottom"/>
            <w:tcBorders>
              <w:bottom w:val="single" w:sz="8" w:color="CCEEFF"/>
            </w:tcBorders>
          </w:tcPr>
          <w:p>
            <w:pPr>
              <w:spacing w:after="0"/>
              <w:rPr>
                <w:sz w:val="19"/>
                <w:szCs w:val="19"/>
                <w:color w:val="auto"/>
              </w:rPr>
            </w:pPr>
          </w:p>
        </w:tc>
      </w:tr>
      <w:tr>
        <w:trPr>
          <w:trHeight w:val="223"/>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as of both June 28, 2025 and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no shares issued and outstanding as of both June 28, 2025 and December</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900,000,000 shares authorized as of June 28, 2025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116,536,129 and 115,764,839 shares issued and outstanding, as of June 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r>
      <w:tr>
        <w:trPr>
          <w:trHeight w:val="243"/>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468,065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40" w:type="dxa"/>
            <w:vAlign w:val="bottom"/>
            <w:shd w:val="clear" w:color="auto" w:fill="CCEEFF"/>
          </w:tcPr>
          <w:p>
            <w:pPr>
              <w:spacing w:after="0"/>
              <w:rPr>
                <w:sz w:val="21"/>
                <w:szCs w:val="2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40" w:type="dxa"/>
            <w:vAlign w:val="bottom"/>
          </w:tcPr>
          <w:p>
            <w:pPr>
              <w:spacing w:after="0"/>
              <w:rPr>
                <w:sz w:val="19"/>
                <w:szCs w:val="19"/>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0" w:type="dxa"/>
            <w:vAlign w:val="bottom"/>
            <w:shd w:val="clear" w:color="auto" w:fill="CCEEFF"/>
          </w:tcPr>
          <w:p>
            <w:pPr>
              <w:spacing w:after="0"/>
              <w:rPr>
                <w:sz w:val="19"/>
                <w:szCs w:val="19"/>
                <w:color w:val="auto"/>
              </w:rPr>
            </w:pPr>
          </w:p>
        </w:tc>
      </w:tr>
      <w:tr>
        <w:trPr>
          <w:trHeight w:val="22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398,428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40" w:type="dxa"/>
            <w:vAlign w:val="bottom"/>
            <w:tcBorders>
              <w:bottom w:val="single" w:sz="8" w:color="CCEEFF"/>
            </w:tcBorders>
          </w:tcPr>
          <w:p>
            <w:pPr>
              <w:spacing w:after="0"/>
              <w:rPr>
                <w:sz w:val="19"/>
                <w:szCs w:val="19"/>
                <w:color w:val="auto"/>
              </w:rPr>
            </w:pPr>
          </w:p>
        </w:tc>
      </w:tr>
      <w:tr>
        <w:trPr>
          <w:trHeight w:val="223"/>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822,142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20" w:type="dxa"/>
            <w:vAlign w:val="bottom"/>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r>
      <w:tr>
        <w:trPr>
          <w:trHeight w:val="229"/>
        </w:trPr>
        <w:tc>
          <w:tcPr>
            <w:tcW w:w="20" w:type="dxa"/>
            <w:vAlign w:val="bottom"/>
          </w:tcPr>
          <w:p>
            <w:pPr>
              <w:spacing w:after="0"/>
              <w:rPr>
                <w:sz w:val="19"/>
                <w:szCs w:val="19"/>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187,215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187,140</w:t>
            </w: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83,611</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w:t>
            </w: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w:t>
            </w: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23"/>
        </w:trPr>
        <w:tc>
          <w:tcPr>
            <w:tcW w:w="2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29"/>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63"/>
        </w:trPr>
        <w:tc>
          <w:tcPr>
            <w:tcW w:w="20" w:type="dxa"/>
            <w:vAlign w:val="bottom"/>
          </w:tcPr>
          <w:p>
            <w:pPr>
              <w:spacing w:after="0"/>
              <w:rPr>
                <w:sz w:val="22"/>
                <w:szCs w:val="22"/>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190"/>
        </w:trPr>
        <w:tc>
          <w:tcPr>
            <w:tcW w:w="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116,466,736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115,469,246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116,181,404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115,254,088</w:t>
            </w: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119,389,997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117,023,112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119,624,905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116,472,164</w:t>
            </w:r>
          </w:p>
        </w:tc>
      </w:tr>
    </w:tbl>
    <w:p>
      <w:pPr>
        <w:spacing w:after="0" w:line="3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46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2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115,577,103</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$ 463,027</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$ 467,076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29,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116,362,977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$ 466,741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116,536,129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$ 468,065</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7"/>
              <w:spacing w:after="0" w:line="146" w:lineRule="exact"/>
              <w:rPr>
                <w:sz w:val="20"/>
                <w:szCs w:val="20"/>
                <w:color w:val="auto"/>
              </w:rPr>
            </w:pPr>
            <w:r>
              <w:rPr>
                <w:rFonts w:ascii="Times New Roman" w:cs="Times New Roman" w:eastAsia="Times New Roman" w:hAnsi="Times New Roman"/>
                <w:sz w:val="13"/>
                <w:szCs w:val="13"/>
                <w:b w:val="1"/>
                <w:bCs w:val="1"/>
                <w:color w:val="auto"/>
              </w:rPr>
              <w:t>June 28,</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97"/>
              <w:spacing w:after="0" w:line="146" w:lineRule="exact"/>
              <w:rPr>
                <w:sz w:val="20"/>
                <w:szCs w:val="20"/>
                <w:color w:val="auto"/>
              </w:rPr>
            </w:pPr>
            <w:r>
              <w:rPr>
                <w:rFonts w:ascii="Times New Roman" w:cs="Times New Roman" w:eastAsia="Times New Roman" w:hAnsi="Times New Roman"/>
                <w:sz w:val="13"/>
                <w:szCs w:val="13"/>
                <w:b w:val="1"/>
                <w:bCs w:val="1"/>
                <w:color w:val="auto"/>
              </w:rPr>
              <w:t>June 29,</w:t>
            </w:r>
          </w:p>
        </w:tc>
        <w:tc>
          <w:tcPr>
            <w:tcW w:w="20" w:type="dxa"/>
            <w:vAlign w:val="bottom"/>
          </w:tcPr>
          <w:p>
            <w:pPr>
              <w:spacing w:after="0"/>
              <w:rPr>
                <w:sz w:val="12"/>
                <w:szCs w:val="12"/>
                <w:color w:val="auto"/>
              </w:rPr>
            </w:pPr>
          </w:p>
        </w:tc>
      </w:tr>
      <w:tr>
        <w:trPr>
          <w:trHeight w:val="176"/>
        </w:trPr>
        <w:tc>
          <w:tcPr>
            <w:tcW w:w="596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5"/>
                <w:szCs w:val="15"/>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5,415</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(used in) provided by operating activities: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20,967</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foreign currency (gain) loss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Non-cash lease expense</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 in fair value of interest rate swap</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Bad debt expense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non-cash, net</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Earnings from equity method investment</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Trade receivables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(57,447)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(36,831)</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13,139</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Income tax receivable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9,817</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20" w:type="dxa"/>
            <w:vAlign w:val="bottom"/>
            <w:tcBorders>
              <w:bottom w:val="single" w:sz="8" w:color="CCEEFF"/>
            </w:tcBorders>
          </w:tcPr>
          <w:p>
            <w:pPr>
              <w:spacing w:after="0"/>
              <w:rPr>
                <w:sz w:val="14"/>
                <w:szCs w:val="14"/>
                <w:color w:val="auto"/>
              </w:rPr>
            </w:pPr>
          </w:p>
        </w:tc>
      </w:tr>
      <w:tr>
        <w:trPr>
          <w:trHeight w:val="155"/>
        </w:trPr>
        <w:tc>
          <w:tcPr>
            <w:tcW w:w="596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1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(10,905)</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17,911</w:t>
            </w:r>
          </w:p>
        </w:tc>
        <w:tc>
          <w:tcPr>
            <w:tcW w:w="20" w:type="dxa"/>
            <w:vAlign w:val="bottom"/>
            <w:shd w:val="clear" w:color="auto" w:fill="CCEEFF"/>
          </w:tcPr>
          <w:p>
            <w:pPr>
              <w:spacing w:after="0"/>
              <w:rPr>
                <w:sz w:val="13"/>
                <w:szCs w:val="13"/>
                <w:color w:val="auto"/>
              </w:rPr>
            </w:pPr>
          </w:p>
        </w:tc>
      </w:tr>
      <w:tr>
        <w:trPr>
          <w:trHeight w:val="146"/>
        </w:trPr>
        <w:tc>
          <w:tcPr>
            <w:tcW w:w="59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(9,833)</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5960" w:type="dxa"/>
            <w:vAlign w:val="bottom"/>
            <w:tcBorders>
              <w:top w:val="single" w:sz="8" w:color="CCEEFF"/>
            </w:tcBorders>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(15,278)</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(9,833)</w:t>
            </w:r>
          </w:p>
        </w:tc>
        <w:tc>
          <w:tcPr>
            <w:tcW w:w="20" w:type="dxa"/>
            <w:vAlign w:val="bottom"/>
            <w:tcBorders>
              <w:top w:val="single" w:sz="8" w:color="CCEEFF"/>
            </w:tcBorders>
            <w:shd w:val="clear" w:color="auto" w:fill="CCEEFF"/>
          </w:tcPr>
          <w:p>
            <w:pPr>
              <w:spacing w:after="0"/>
              <w:rPr>
                <w:sz w:val="13"/>
                <w:szCs w:val="13"/>
                <w:color w:val="auto"/>
              </w:rPr>
            </w:pPr>
          </w:p>
        </w:tc>
      </w:tr>
      <w:tr>
        <w:trPr>
          <w:trHeight w:val="146"/>
        </w:trPr>
        <w:tc>
          <w:tcPr>
            <w:tcW w:w="59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on long-term debt borrowings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(19,625)</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on revolving credit facilities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withheld for taxes on restricted stock units</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59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(20,005)</w:t>
            </w:r>
          </w:p>
        </w:tc>
        <w:tc>
          <w:tcPr>
            <w:tcW w:w="20" w:type="dxa"/>
            <w:vAlign w:val="bottom"/>
          </w:tcPr>
          <w:p>
            <w:pPr>
              <w:spacing w:after="0"/>
              <w:rPr>
                <w:sz w:val="13"/>
                <w:szCs w:val="13"/>
                <w:color w:val="auto"/>
              </w:rPr>
            </w:pPr>
          </w:p>
        </w:tc>
      </w:tr>
      <w:tr>
        <w:trPr>
          <w:trHeight w:val="16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4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shd w:val="clear" w:color="auto" w:fill="CCEEFF"/>
          </w:tcPr>
          <w:p>
            <w:pPr>
              <w:spacing w:after="0"/>
              <w:rPr>
                <w:sz w:val="14"/>
                <w:szCs w:val="14"/>
                <w:color w:val="auto"/>
              </w:rPr>
            </w:pPr>
          </w:p>
        </w:tc>
      </w:tr>
      <w:tr>
        <w:trPr>
          <w:trHeight w:val="155"/>
        </w:trPr>
        <w:tc>
          <w:tcPr>
            <w:tcW w:w="59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decrease in cash</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(29,455)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(11,995)</w:t>
            </w:r>
          </w:p>
        </w:tc>
        <w:tc>
          <w:tcPr>
            <w:tcW w:w="20" w:type="dxa"/>
            <w:vAlign w:val="bottom"/>
          </w:tcPr>
          <w:p>
            <w:pPr>
              <w:spacing w:after="0"/>
              <w:rPr>
                <w:sz w:val="13"/>
                <w:szCs w:val="13"/>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14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56,398</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102,763</w:t>
            </w:r>
          </w:p>
        </w:tc>
        <w:tc>
          <w:tcPr>
            <w:tcW w:w="20" w:type="dxa"/>
            <w:vAlign w:val="bottom"/>
            <w:shd w:val="clear" w:color="auto" w:fill="CCEEFF"/>
          </w:tcPr>
          <w:p>
            <w:pPr>
              <w:spacing w:after="0"/>
              <w:rPr>
                <w:sz w:val="14"/>
                <w:szCs w:val="14"/>
                <w:color w:val="auto"/>
              </w:rPr>
            </w:pPr>
          </w:p>
        </w:tc>
      </w:tr>
      <w:tr>
        <w:trPr>
          <w:trHeight w:val="195"/>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at end of period</w:t>
            </w:r>
          </w:p>
        </w:tc>
        <w:tc>
          <w:tcPr>
            <w:tcW w:w="1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26,943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90,768</w:t>
            </w:r>
          </w:p>
        </w:tc>
        <w:tc>
          <w:tcPr>
            <w:tcW w:w="20" w:type="dxa"/>
            <w:vAlign w:val="bottom"/>
            <w:tcBorders>
              <w:bottom w:val="single" w:sz="8" w:color="CCEEFF"/>
            </w:tcBorders>
          </w:tcPr>
          <w:p>
            <w:pPr>
              <w:spacing w:after="0"/>
              <w:rPr>
                <w:sz w:val="17"/>
                <w:szCs w:val="17"/>
                <w:color w:val="auto"/>
              </w:rPr>
            </w:pPr>
          </w:p>
        </w:tc>
      </w:tr>
      <w:tr>
        <w:trPr>
          <w:trHeight w:val="143"/>
        </w:trPr>
        <w:tc>
          <w:tcPr>
            <w:tcW w:w="59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1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14,683</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16,131</w:t>
            </w: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 net</w:t>
            </w: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20" w:type="dxa"/>
            <w:vAlign w:val="bottom"/>
            <w:shd w:val="clear" w:color="auto" w:fill="CCEEFF"/>
          </w:tcPr>
          <w:p>
            <w:pPr>
              <w:spacing w:after="0"/>
              <w:rPr>
                <w:sz w:val="14"/>
                <w:szCs w:val="14"/>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shd w:val="clear" w:color="auto" w:fill="CCEEFF"/>
          </w:tcPr>
          <w:p>
            <w:pPr>
              <w:spacing w:after="0"/>
              <w:rPr>
                <w:sz w:val="14"/>
                <w:szCs w:val="14"/>
                <w:color w:val="auto"/>
              </w:rPr>
            </w:pPr>
          </w:p>
        </w:tc>
      </w:tr>
      <w:tr>
        <w:trPr>
          <w:trHeight w:val="164"/>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0" w:type="dxa"/>
            <w:vAlign w:val="bottom"/>
          </w:tcPr>
          <w:p>
            <w:pPr>
              <w:spacing w:after="0"/>
              <w:rPr>
                <w:sz w:val="14"/>
                <w:szCs w:val="14"/>
                <w:color w:val="auto"/>
              </w:rPr>
            </w:pPr>
          </w:p>
        </w:tc>
      </w:tr>
    </w:tbl>
    <w:p>
      <w:pPr>
        <w:spacing w:after="0" w:line="19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2024 was derived from audited financial statements but does not include all disclosures required by GAAP. The accompanying unaudited condensed consolidated financial statements as of June 28, 2025 and for the fiscal quarter and two fiscal quarters ended June 28, 2025 and June 29, 2024,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2024 included in the Company’s 2024 Annual Report on Form 10-K, filed with the SEC on March 5, 2025 (the “Annual Report”). In the opinion of management, all adjustments, consisting only of normal recurring adjustments necessary for a fair statement of these condensed consolidated financial statements, have been included. The Company’s results of operations for the fiscal quarter and two fiscal quarters ended June 28, 2025 are not necessarily indicative of the results of operations that may be expected for the fiscal year ending December 31, 2025 or other interim periods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 as updated below.</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w:t>
      </w:r>
    </w:p>
    <w:p>
      <w:pPr>
        <w:spacing w:after="0" w:line="2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2023-09”), in an effort to enhance the transparency and decision usefulness of income tax disclosures. For all entities, ASU 2023-09 is effective for fiscal years beginning after December 15, 2024, and interim periods within fiscal years beginning after December 15, 2025.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9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14 for further detail.</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(“ASU 2024-01”), which improves financial reporting by providing clarity on when an entity should apply the scope guidance in paragraph 718-10-15-3. ASU 2024-01 is effective for public business entities for fiscal years beginning after December 15, 2024. For all other entities, the amendments are effective for fiscal years beginning after December 15, 2025. The amendments should be applied retrospectively to all prior periods presented in the financial statements, with early adoption permitted. Adoption of this standard did not have an impact on the Company’s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Coverstar Central, LLC</w:t>
      </w:r>
    </w:p>
    <w:p>
      <w:pPr>
        <w:spacing w:after="0" w:line="22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On August 2, 2024 (the “Acquisition Date”), Latham Pool Products acquired Coverstar Central, LLC (“Coverstar Central”) for total consideration of $71.5 million (the “Coverstar Central Acquisition”). The total consideration included $66.5 million in cash (including a net working capital adjustment of $1.2 million) and a non-cash settlement of preexisting obligations of $4.9 million. 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condensed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Company accounted for the Coverstar Central Acquisition using the acquisition method of accounting in accordance with FASB ASC 805, Business Combinations. This requires that the assets acquired and liabilities assumed be measured at fair value. 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 fair value of assets acquired and liabilities assumed recorded in the condensed consolidated financial statements may be subject to adjustment pending completion of final evaluation. These fair value estimates will be reevaluated and adjusted, if needed, during the measurement period of up to one year from the Acquisition Date, and recorded as adjustments to goodwill.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purchase price allocation for the Company’s acquisition of Coverstar Central: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August 2, 2024</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71,516</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Allocation: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excluding goodwill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excess of the total consideration over the fair value of the identifiable assets acquired and the liabilities assumed in the acquisition was allocated to goodwill in the amount of $22.0 million. Goodwill resulting from the acquisition was attributable to vertical integration, the expanded market share and broader geographical footprint. The goodwill recognized is deductible for tax purposes.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allocated a portion of the total consideration to specific intangible asset categories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3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Coverstar Central as if the acquisition occurred on January 1, 2024.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2024 and is not necessarily indicative of the Company’s future financial results.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76"/>
        </w:trPr>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9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279,077</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r>
    </w:tbl>
    <w:p>
      <w:pPr>
        <w:spacing w:after="0" w:line="200" w:lineRule="exact"/>
        <w:rPr>
          <w:sz w:val="20"/>
          <w:szCs w:val="20"/>
          <w:color w:val="auto"/>
        </w:rPr>
      </w:pPr>
    </w:p>
    <w:p>
      <w:pPr>
        <w:spacing w:after="0" w:line="20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income for the two fiscal quarters ended June 29,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two fiscal quarters ended June 28, 2025, the Company completed the acquisition of two autocover dealers located in New York and Tennessee that qualified as a business combination. This transaction resulted in an increase to goodwill and intangibles, but was not material to our condensed consolidated financial statements, and as a result, additional business combination disclosures for this acquisition have been omitted.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two fiscal quarters ended June 28, 2025 or June 29,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1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6"/>
        </w:trPr>
        <w:tc>
          <w:tcPr>
            <w:tcW w:w="4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5"/>
                <w:szCs w:val="15"/>
                <w:color w:val="auto"/>
              </w:rPr>
            </w:pPr>
          </w:p>
        </w:tc>
      </w:tr>
      <w:tr>
        <w:trPr>
          <w:trHeight w:val="194"/>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274,456</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w:t>
            </w:r>
          </w:p>
        </w:tc>
        <w:tc>
          <w:tcPr>
            <w:tcW w:w="60" w:type="dxa"/>
            <w:vAlign w:val="bottom"/>
            <w:tcBorders>
              <w:top w:val="single" w:sz="8" w:color="CCEEFF"/>
            </w:tcBorders>
            <w:shd w:val="clear" w:color="auto" w:fill="CCEEFF"/>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June 28, 2025 and December 31, 2024, the Company’s interest rate swap was a liability of $1.0 million and $0.4 million, respectively, which were recorded within other long-term liabilities on the condensed consolidated balance sheets. See Note 7 for further detail.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June 28, 2025 and as of December 31, 2024 was $155.0 million and $152.6 million, respectively. The change in the carrying value during the two fiscal quarters ended June 28, 2025 was primarily driven by acquisitions made in the first fiscal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June 28, 2025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$ 108,383</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9,135</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149,776</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$ 435,088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$ 282,305</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60" w:firstLine="324"/>
        <w:spacing w:after="0" w:line="289" w:lineRule="auto"/>
        <w:rPr>
          <w:sz w:val="20"/>
          <w:szCs w:val="20"/>
          <w:color w:val="auto"/>
        </w:rPr>
      </w:pPr>
      <w:r>
        <w:rPr>
          <w:rFonts w:ascii="Times New Roman" w:cs="Times New Roman" w:eastAsia="Times New Roman" w:hAnsi="Times New Roman"/>
          <w:sz w:val="17"/>
          <w:szCs w:val="17"/>
          <w:color w:val="auto"/>
        </w:rPr>
        <w:t>The Company recognized $7.3 million and $14.5 million of amortization expense related to intangible assets during the fiscal quarter and two fiscal quarters ended June 28, 2025, respectively. The Company recognized $6.4 million and $12.8 million of amortization expense related to intangible assets during the fiscal quarter and two fiscal quarters ended June 29, 2024, respectively.</w:t>
      </w:r>
    </w:p>
    <w:p>
      <w:pPr>
        <w:sectPr>
          <w:pgSz w:w="11900" w:h="16838" w:orient="portrait"/>
          <w:cols w:equalWidth="0" w:num="1">
            <w:col w:w="9920"/>
          </w:cols>
          <w:pgMar w:left="980" w:top="661" w:right="9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 in the carrying value of dealer relationships is driven by the acquisitions made in the two fiscal quarters of 2025.</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as of December 31,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155,776</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$ 431,713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292,913</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r>
      <w:tr>
        <w:trPr>
          <w:trHeight w:val="22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160,322</w:t>
            </w:r>
          </w:p>
        </w:tc>
      </w:tr>
      <w:tr>
        <w:trPr>
          <w:trHeight w:val="223"/>
        </w:trPr>
        <w:tc>
          <w:tcPr>
            <w:tcW w:w="8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282,305</w:t>
            </w:r>
          </w:p>
        </w:tc>
      </w:tr>
      <w:tr>
        <w:trPr>
          <w:trHeight w:val="20"/>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60" w:type="dxa"/>
            <w:vAlign w:val="bottom"/>
            <w:tcBorders>
              <w:bottom w:val="single" w:sz="8" w:color="CCEEFF"/>
            </w:tcBorders>
          </w:tcPr>
          <w:p>
            <w:pPr>
              <w:spacing w:after="0"/>
              <w:rPr>
                <w:sz w:val="19"/>
                <w:szCs w:val="19"/>
                <w:color w:val="auto"/>
              </w:rPr>
            </w:pPr>
          </w:p>
        </w:tc>
      </w:tr>
      <w:tr>
        <w:trPr>
          <w:trHeight w:val="223"/>
        </w:trPr>
        <w:tc>
          <w:tcPr>
            <w:tcW w:w="35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78,653</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287,250</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288,063</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60" w:type="dxa"/>
            <w:vAlign w:val="bottom"/>
          </w:tcPr>
          <w:p>
            <w:pPr>
              <w:spacing w:after="0"/>
              <w:rPr>
                <w:sz w:val="19"/>
                <w:szCs w:val="19"/>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278,243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6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6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ind w:right="100"/>
        <w:spacing w:after="0" w:line="243"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Borrowings under the Revolving Credit Facility are not subject to amortization and are due at maturity.</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and are being amortized over the life of the Revolving Credit Facility.</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On June 12, 2025, the Company repaid the $25.0 million of outstanding borrowings on the Revolving Credit Facility. As of June 28, 2025, there were no outstanding borrowings on the Revolving Credit Facility and $75.0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1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Pursuant to the Credit Agreement, Latham Pool Products borrowed $325.0 million in term loans. 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net cash proceeds from the incurrence of indebtedness not otherwise permitted to be incurred by the covenants, asset sales, and casualty and condemnation events, in each case, subject to customary exceptions.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two fiscal quarters ended June 29, 2024, the Company made a pre-payment of $18.0 million in addition to the required annual payments of $3.3 million. No additional pre-payments are expected to be made during the year ending December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borrowings as of June 28, 2025 were $281.5 million, net of unamortized discount and debt issuance costs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$5.8 million. In connection with the Term Loan, the Company is subject to various negative, reporting, financial, and other covenants, including maintaining specific liquidity measurements.</w:t>
      </w:r>
    </w:p>
    <w:p>
      <w:pPr>
        <w:spacing w:after="0" w:line="181" w:lineRule="exact"/>
        <w:rPr>
          <w:sz w:val="20"/>
          <w:szCs w:val="20"/>
          <w:color w:val="auto"/>
        </w:rPr>
      </w:pPr>
    </w:p>
    <w:p>
      <w:pPr>
        <w:ind w:right="600" w:firstLine="324"/>
        <w:spacing w:after="0" w:line="312" w:lineRule="auto"/>
        <w:rPr>
          <w:sz w:val="20"/>
          <w:szCs w:val="20"/>
          <w:color w:val="auto"/>
        </w:rPr>
      </w:pPr>
      <w:r>
        <w:rPr>
          <w:rFonts w:ascii="Times New Roman" w:cs="Times New Roman" w:eastAsia="Times New Roman" w:hAnsi="Times New Roman"/>
          <w:sz w:val="17"/>
          <w:szCs w:val="17"/>
          <w:color w:val="auto"/>
        </w:rPr>
        <w:t>As of June 28, 2025, the unamortized debt issuance costs and discount on the Term Loan were $3.2 million and $2.6 million, respectively. The effective interest rate was 9.24% at June 28, 2025, including the impact of the Company’s interest rate swap.</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4).</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levels, are as follows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275,062</w:t>
            </w:r>
          </w:p>
        </w:tc>
      </w:tr>
      <w:tr>
        <w:trPr>
          <w:trHeight w:val="228"/>
        </w:trPr>
        <w:tc>
          <w:tcPr>
            <w:tcW w:w="50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-2540</wp:posOffset>
            </wp:positionV>
            <wp:extent cx="129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-125095</wp:posOffset>
            </wp:positionV>
            <wp:extent cx="129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3600" w:type="dxa"/>
            <w:vAlign w:val="bottom"/>
            <w:tcBorders>
              <w:bottom w:val="single" w:sz="8" w:color="auto"/>
            </w:tcBorders>
            <w:gridSpan w:val="5"/>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5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22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60" w:type="dxa"/>
            <w:vAlign w:val="bottom"/>
            <w:shd w:val="clear" w:color="auto" w:fill="CCEEFF"/>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1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0" w:type="dxa"/>
            <w:vAlign w:val="bottom"/>
          </w:tcPr>
          <w:p>
            <w:pPr>
              <w:spacing w:after="0"/>
              <w:rPr>
                <w:sz w:val="19"/>
                <w:szCs w:val="19"/>
                <w:color w:val="auto"/>
              </w:rPr>
            </w:pP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13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(1,475)</w:t>
            </w:r>
          </w:p>
        </w:tc>
        <w:tc>
          <w:tcPr>
            <w:tcW w:w="6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80"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components of lease expense for the fiscal quarter and two fiscal quarters ended June 28, 2025 and June 29, 2024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4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6"/>
                <w:szCs w:val="16"/>
                <w:color w:val="auto"/>
              </w:rPr>
            </w:pPr>
          </w:p>
        </w:tc>
      </w:tr>
      <w:tr>
        <w:trPr>
          <w:trHeight w:val="223"/>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9"/>
                <w:szCs w:val="19"/>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6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June 28, 2025 and December 31, 2024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3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June 28, 2025 and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r>
      <w:tr>
        <w:trPr>
          <w:trHeight w:val="229"/>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94"/>
        </w:trPr>
        <w:tc>
          <w:tcPr>
            <w:tcW w:w="6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2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0" w:type="dxa"/>
            <w:vAlign w:val="bottom"/>
          </w:tcPr>
          <w:p>
            <w:pPr>
              <w:spacing w:after="0"/>
              <w:rPr>
                <w:sz w:val="20"/>
                <w:szCs w:val="20"/>
                <w:color w:val="auto"/>
              </w:rPr>
            </w:pPr>
          </w:p>
        </w:tc>
      </w:tr>
    </w:tbl>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June 28,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5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4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34,280</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30"/>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29,785</w:t>
            </w:r>
          </w:p>
        </w:tc>
      </w:tr>
      <w:tr>
        <w:trPr>
          <w:trHeight w:val="20"/>
        </w:trPr>
        <w:tc>
          <w:tcPr>
            <w:tcW w:w="4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40" w:type="dxa"/>
            <w:vAlign w:val="bottom"/>
          </w:tcPr>
          <w:p>
            <w:pPr>
              <w:spacing w:after="0"/>
              <w:rPr>
                <w:sz w:val="16"/>
                <w:szCs w:val="16"/>
                <w:color w:val="auto"/>
              </w:rPr>
            </w:pPr>
          </w:p>
        </w:tc>
      </w:tr>
      <w:tr>
        <w:trPr>
          <w:trHeight w:val="223"/>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8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78,601</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136,335</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140,791</w:t>
            </w:r>
          </w:p>
        </w:tc>
        <w:tc>
          <w:tcPr>
            <w:tcW w:w="40" w:type="dxa"/>
            <w:vAlign w:val="bottom"/>
            <w:tcBorders>
              <w:top w:val="single" w:sz="8" w:color="CCEEFF"/>
            </w:tcBorders>
            <w:shd w:val="clear" w:color="auto" w:fill="CCEEFF"/>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40" w:type="dxa"/>
            <w:vAlign w:val="bottom"/>
          </w:tcPr>
          <w:p>
            <w:pPr>
              <w:spacing w:after="0"/>
              <w:rPr>
                <w:sz w:val="19"/>
                <w:szCs w:val="19"/>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8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78,869</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40" w:type="dxa"/>
            <w:vAlign w:val="bottom"/>
            <w:shd w:val="clear" w:color="auto" w:fill="CCEEFF"/>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172,639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4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fiscal quarter and two fiscal quarters ended June 28, 2025 was 24.3% and 9.5%, respectively, compared to 3.2% and 15.2%, respectively, for the fiscal quarter and two fiscal quarters ended June 29, 2024. The differences between the U.S. federal statutory income tax rate and the Company’s effective income tax rates for the fiscal quarter ended June 28, 2025 and the fiscal quarter ended June 29, 2024 were primarily attributable to the discrete impact of stock-based compensation expense for which there is no associated tax benefit and the effects of branch accounting for Latham Canada.</w:t>
      </w:r>
    </w:p>
    <w:p>
      <w:pPr>
        <w:spacing w:after="0" w:line="187"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The OBBBA includes significant provisions, such as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OBBBA’s impact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April 12, 2021, the Company’s stockholders approved the Latham Group, Inc.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“Equity Plan First Amendment”) to the 2021 Omnibus Equity Plan, which was previously approved by the Board of Directors of the Company (the “Board”). The Equity Plan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Except as amended by the Equity Plan First Amendment, the other terms of the 2021 Omnibus Equity Plan remain in full force and effect. Subsequent to the Equity Plan First Amendment, the maximum aggregate number of shares reserved for issuance under the 2021 Omnibus Equity Plan is 21,170,212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54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top w:val="single" w:sz="8" w:color="auto"/>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Borders>
              <w:bottom w:val="single" w:sz="8" w:color="CCEEFF"/>
            </w:tcBorders>
          </w:tcPr>
          <w:p>
            <w:pPr>
              <w:spacing w:after="0"/>
              <w:rPr>
                <w:sz w:val="16"/>
                <w:szCs w:val="16"/>
                <w:color w:val="auto"/>
              </w:rPr>
            </w:pP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8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June 28, 2025, total unrecognized stock-based compensation expense related to all unvested stock-based awards was $12.6 million, which is expected to be recognized over a weighted-average period of 2.0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two fiscal quarters ended June 28,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4"/>
        </w:trPr>
        <w:tc>
          <w:tcPr>
            <w:tcW w:w="742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4,200,759</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(1,123,711)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(394,117)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3,583,767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two fiscal quarters ended June 28,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1,349,019</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June 28,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1,349,019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June 28,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1,097,147</w:t>
            </w: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two fiscal quarters ended June 28,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16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587,529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June 28,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587,529</w:t>
            </w:r>
          </w:p>
        </w:tc>
        <w:tc>
          <w:tcPr>
            <w:tcW w:w="1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 exercisable at June 28,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two fiscal quarters ended June 28, 2025, the Compensation Committee of the Board approved the grant of performance stock units (“PSUs”) as a portion of the annual equity award to the Company’s executive officers.</w:t>
      </w:r>
    </w:p>
    <w:p>
      <w:pPr>
        <w:spacing w:after="0" w:line="162"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Thirty-three percent of the target number of PSUs awarded on the grant date will be earned annually at 0% to 200% of the target number of PSUs based on the Company’s achievement of Adjusted EBITDA (with 100% of PSUs being earned at target performance, and linear interpolation between threshold and target and maximum performance) as defined in the award agreement, for each year of the three-year performance period beginning January 1, 2025 and ending December 31, 2027.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two fiscal quarters ended June 28, 2025:</w:t>
      </w:r>
    </w:p>
    <w:p>
      <w:pPr>
        <w:spacing w:after="0" w:line="246" w:lineRule="exact"/>
        <w:rPr>
          <w:sz w:val="20"/>
          <w:szCs w:val="20"/>
          <w:color w:val="auto"/>
        </w:rPr>
      </w:pPr>
    </w:p>
    <w:tbl>
      <w:tblPr>
        <w:tblLayout w:type="fixed"/>
        <w:tblInd w:w="742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171"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23" w:lineRule="auto"/>
        <w:rPr>
          <w:sz w:val="20"/>
          <w:szCs w:val="20"/>
          <w:color w:val="auto"/>
        </w:rPr>
      </w:pPr>
      <w:r>
        <w:rPr>
          <w:rFonts w:ascii="Times New Roman" w:cs="Times New Roman" w:eastAsia="Times New Roman" w:hAnsi="Times New Roman"/>
          <w:sz w:val="17"/>
          <w:szCs w:val="17"/>
          <w:color w:val="auto"/>
        </w:rPr>
        <w:t xml:space="preserve">Adjustment for performance achievement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at June 28, 2025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807,771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(182,521)</w:t>
            </w:r>
          </w:p>
        </w:tc>
        <w:tc>
          <w:tcPr>
            <w:tcW w:w="3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950,863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6700" w:space="720"/>
            <w:col w:w="2500"/>
          </w:cols>
          <w:pgMar w:left="980" w:top="661" w:right="999" w:bottom="1440" w:gutter="0" w:footer="0" w:header="0"/>
          <w:type w:val="continuous"/>
        </w:sectPr>
      </w:pPr>
    </w:p>
    <w:p>
      <w:pPr>
        <w:spacing w:after="0" w:line="184" w:lineRule="exact"/>
        <w:rPr>
          <w:sz w:val="20"/>
          <w:szCs w:val="20"/>
          <w:color w:val="auto"/>
        </w:rPr>
      </w:pPr>
    </w:p>
    <w:p>
      <w:pPr>
        <w:ind w:right="120" w:firstLine="332"/>
        <w:spacing w:after="0" w:line="266"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the end of each respective fiscal year.</w:t>
      </w:r>
    </w:p>
    <w:p>
      <w:pPr>
        <w:spacing w:after="0" w:line="175" w:lineRule="exact"/>
        <w:rPr>
          <w:rFonts w:ascii="Times New Roman" w:cs="Times New Roman" w:eastAsia="Times New Roman" w:hAnsi="Times New Roman"/>
          <w:sz w:val="18"/>
          <w:szCs w:val="18"/>
          <w:color w:val="auto"/>
        </w:rPr>
      </w:pPr>
    </w:p>
    <w:p>
      <w:pPr>
        <w:ind w:right="240" w:firstLine="332"/>
        <w:spacing w:after="0" w:line="282"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292,870 PSUs could potentially be included if the maximum performance level of 200% is earned for all PSUs granted on or after January 1, 2025 and outstanding as of June 28, 2025.</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share attributable to common stockholders was calculated as follows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60" w:type="dxa"/>
            <w:vAlign w:val="bottom"/>
          </w:tcPr>
          <w:p>
            <w:pPr>
              <w:spacing w:after="0"/>
              <w:rPr>
                <w:sz w:val="16"/>
                <w:szCs w:val="16"/>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2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0" w:type="dxa"/>
            <w:vAlign w:val="bottom"/>
          </w:tcPr>
          <w:p>
            <w:pPr>
              <w:spacing w:after="0"/>
              <w:rPr>
                <w:sz w:val="19"/>
                <w:szCs w:val="19"/>
                <w:color w:val="auto"/>
              </w:rPr>
            </w:pPr>
          </w:p>
        </w:tc>
      </w:tr>
      <w:tr>
        <w:trPr>
          <w:trHeight w:val="22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116,466,736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115,469,246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116,181,404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115,254,088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119,389,997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117,023,112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119,624,905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116,472,164</w:t>
            </w:r>
          </w:p>
        </w:tc>
        <w:tc>
          <w:tcPr>
            <w:tcW w:w="20" w:type="dxa"/>
            <w:vAlign w:val="bottom"/>
            <w:tcBorders>
              <w:bottom w:val="single" w:sz="8" w:color="auto"/>
            </w:tcBorders>
          </w:tcPr>
          <w:p>
            <w:pPr>
              <w:spacing w:after="0"/>
              <w:rPr>
                <w:sz w:val="19"/>
                <w:szCs w:val="19"/>
                <w:color w:val="auto"/>
              </w:rPr>
            </w:pPr>
          </w:p>
        </w:tc>
      </w:tr>
      <w:tr>
        <w:trPr>
          <w:trHeight w:val="191"/>
        </w:trPr>
        <w:tc>
          <w:tcPr>
            <w:tcW w:w="4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common</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9"/>
                <w:szCs w:val="19"/>
                <w:color w:val="auto"/>
              </w:rPr>
            </w:pPr>
          </w:p>
        </w:tc>
      </w:tr>
      <w:tr>
        <w:trPr>
          <w:trHeight w:val="243"/>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-16510</wp:posOffset>
            </wp:positionV>
            <wp:extent cx="17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9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June 28, 2025 and December 31, 2024, 116,536,129 and 115,764,839 shares of common stock were issued and outstanding, respectively.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income per share because the effect was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7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7"/>
        </w:trPr>
        <w:tc>
          <w:tcPr>
            <w:tcW w:w="4280" w:type="dxa"/>
            <w:vAlign w:val="bottom"/>
          </w:tcPr>
          <w:p>
            <w:pPr>
              <w:spacing w:after="0"/>
              <w:rPr>
                <w:sz w:val="16"/>
                <w:szCs w:val="16"/>
                <w:color w:val="auto"/>
              </w:rPr>
            </w:pPr>
          </w:p>
        </w:tc>
        <w:tc>
          <w:tcPr>
            <w:tcW w:w="14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2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6"/>
                <w:szCs w:val="16"/>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759,917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320,065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20" w:type="dxa"/>
            <w:vAlign w:val="bottom"/>
          </w:tcPr>
          <w:p>
            <w:pPr>
              <w:spacing w:after="0"/>
              <w:rPr>
                <w:sz w:val="19"/>
                <w:szCs w:val="19"/>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1,353,643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1,432,041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1,316,089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1,476,599</w:t>
            </w:r>
          </w:p>
        </w:tc>
        <w:tc>
          <w:tcPr>
            <w:tcW w:w="20" w:type="dxa"/>
            <w:vAlign w:val="bottom"/>
            <w:shd w:val="clear" w:color="auto" w:fill="CCEEFF"/>
          </w:tcPr>
          <w:p>
            <w:pPr>
              <w:spacing w:after="0"/>
              <w:rPr>
                <w:sz w:val="19"/>
                <w:szCs w:val="19"/>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647,582</w:t>
            </w:r>
          </w:p>
        </w:tc>
        <w:tc>
          <w:tcPr>
            <w:tcW w:w="22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652,790</w:t>
            </w:r>
          </w:p>
        </w:tc>
        <w:tc>
          <w:tcPr>
            <w:tcW w:w="20" w:type="dxa"/>
            <w:vAlign w:val="bottom"/>
          </w:tcPr>
          <w:p>
            <w:pPr>
              <w:spacing w:after="0"/>
              <w:rPr>
                <w:sz w:val="21"/>
                <w:szCs w:val="21"/>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198,622</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w:t>
            </w:r>
          </w:p>
        </w:tc>
        <w:tc>
          <w:tcPr>
            <w:tcW w:w="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right="540" w:firstLine="324"/>
        <w:spacing w:after="0" w:line="255"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8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condensed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237"/>
        </w:trPr>
        <w:tc>
          <w:tcPr>
            <w:tcW w:w="3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5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r>
      <w:tr>
        <w:trPr>
          <w:trHeight w:val="256"/>
        </w:trPr>
        <w:tc>
          <w:tcPr>
            <w:tcW w:w="3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cost of sales</w:t>
            </w:r>
            <w:r>
              <w:rPr>
                <w:rFonts w:ascii="Times New Roman" w:cs="Times New Roman" w:eastAsia="Times New Roman" w:hAnsi="Times New Roman"/>
                <w:sz w:val="26"/>
                <w:szCs w:val="26"/>
                <w:color w:val="auto"/>
                <w:vertAlign w:val="superscript"/>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104,476</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179,834</w:t>
            </w:r>
          </w:p>
        </w:tc>
      </w:tr>
      <w:tr>
        <w:trPr>
          <w:trHeight w:val="257"/>
        </w:trPr>
        <w:tc>
          <w:tcPr>
            <w:tcW w:w="3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8"/>
              </w:rPr>
              <w:t>Other selling, general and administrative expense</w:t>
            </w:r>
            <w:r>
              <w:rPr>
                <w:rFonts w:ascii="Times New Roman" w:cs="Times New Roman" w:eastAsia="Times New Roman" w:hAnsi="Times New Roman"/>
                <w:sz w:val="26"/>
                <w:szCs w:val="26"/>
                <w:color w:val="auto"/>
                <w:w w:val="98"/>
                <w:vertAlign w:val="superscript"/>
              </w:rPr>
              <w:t>(2)</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28,282</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r>
      <w:tr>
        <w:trPr>
          <w:trHeight w:val="25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r>
      <w:tr>
        <w:trPr>
          <w:trHeight w:val="263"/>
        </w:trPr>
        <w:tc>
          <w:tcPr>
            <w:tcW w:w="37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r>
      <w:tr>
        <w:trPr>
          <w:trHeight w:val="25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63"/>
        </w:trPr>
        <w:tc>
          <w:tcPr>
            <w:tcW w:w="37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6"/>
                <w:szCs w:val="26"/>
                <w:color w:val="auto"/>
                <w:vertAlign w:val="superscript"/>
              </w:rPr>
              <w:t>(4)</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57"/>
        </w:trPr>
        <w:tc>
          <w:tcPr>
            <w:tcW w:w="3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6"/>
                <w:szCs w:val="26"/>
                <w:color w:val="auto"/>
                <w:vertAlign w:val="superscript"/>
              </w:rPr>
              <w:t>(5)</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6"/>
        </w:trPr>
        <w:tc>
          <w:tcPr>
            <w:tcW w:w="3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6"/>
                <w:szCs w:val="26"/>
                <w:color w:val="auto"/>
                <w:vertAlign w:val="superscript"/>
              </w:rPr>
              <w:t>(6)</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5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r>
      <w:tr>
        <w:trPr>
          <w:trHeight w:val="26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5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6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260" w:hanging="8"/>
        <w:spacing w:after="0" w:line="282"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condensed consolidated statements of operations) excluding depreciation, stock-based compensation, restructuring charges, and strategic initiative costs.</w:t>
      </w:r>
    </w:p>
    <w:p>
      <w:pPr>
        <w:spacing w:after="0" w:line="161" w:lineRule="exact"/>
        <w:rPr>
          <w:rFonts w:ascii="Times New Roman" w:cs="Times New Roman" w:eastAsia="Times New Roman" w:hAnsi="Times New Roman"/>
          <w:sz w:val="18"/>
          <w:szCs w:val="18"/>
          <w:color w:val="auto"/>
        </w:rPr>
      </w:pPr>
    </w:p>
    <w:p>
      <w:pPr>
        <w:ind w:left="340" w:right="180" w:hanging="8"/>
        <w:spacing w:after="0" w:line="266"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1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2024 Annual Report on Form 10-K filed with the Securities and Exchange Commission, (“SEC”) on March 5, 2025 (the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20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covers, and pool liners.</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provide high quality, purchase-ready consumer leads to our dealer partners.</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and co-branded marketing programs.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1,800 employees across about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June 28, 2025</w:t>
      </w:r>
    </w:p>
    <w:p>
      <w:pPr>
        <w:spacing w:after="0" w:line="162" w:lineRule="exact"/>
        <w:rPr>
          <w:sz w:val="20"/>
          <w:szCs w:val="20"/>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7.8%, or $12.5 million, to $172.6 million for the fiscal quarter ended June 28, 2025, compared to $160.1 million for the fiscal quarter ended June 29, 2024.</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$2.7 million to $16.0 million and representing a 9.3% net income margin for the fiscal quarter ended June 28, 2025, compared to net income of $13.3 million and representing a 8.3% net income margin for the fiscal quarter ended June 29, 2024.</w:t>
      </w:r>
    </w:p>
    <w:p>
      <w:pPr>
        <w:spacing w:after="0" w:line="175"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$5.4 million to $39.9 million for the fiscal quarter ended June 28, 2025, compared to $34.5 million for the fiscal quarter ended June 29, 2024. Adjusted EBITDA margin increased from 21.5% to 23.1%.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two fiscal quarters ended June 28, 2025</w:t>
      </w:r>
    </w:p>
    <w:p>
      <w:pPr>
        <w:spacing w:after="0" w:line="175" w:lineRule="exact"/>
        <w:rPr>
          <w:sz w:val="20"/>
          <w:szCs w:val="20"/>
          <w:color w:val="auto"/>
        </w:rPr>
      </w:pPr>
    </w:p>
    <w:p>
      <w:pPr>
        <w:ind w:left="680" w:right="16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4.9%, or $13.3 million, to $284.1 million for the two fiscal quarters ended June 28, 2025, compared to $270.8 million for the two fiscal quarters ended June 29, 2024.</w:t>
      </w:r>
    </w:p>
    <w:p>
      <w:pPr>
        <w:spacing w:after="0" w:line="161"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$4.6 million to a net income of $10.0 million and representing a 3.5% net income margin for the two fiscal quarters ended June 28, 2025, compared to net income of $5.4 million and representing a 2.0% net income margin for the two fiscal quarters ended June 29, 2024.</w:t>
      </w:r>
    </w:p>
    <w:p>
      <w:pPr>
        <w:spacing w:after="0" w:line="175" w:lineRule="exact"/>
        <w:rPr>
          <w:rFonts w:ascii="Times New Roman" w:cs="Times New Roman" w:eastAsia="Times New Roman" w:hAnsi="Times New Roman"/>
          <w:sz w:val="18"/>
          <w:szCs w:val="18"/>
          <w:color w:val="auto"/>
        </w:rPr>
      </w:pPr>
    </w:p>
    <w:p>
      <w:pPr>
        <w:ind w:left="680" w:right="320" w:hanging="321"/>
        <w:spacing w:after="0" w:line="312"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Adjusted EBITDA of $4.2 million to $51.0 million for the two fiscal quarters ended June 28, 2025, compared to $46.8 million for the two fiscal quarters ended June 29, 2024. Adjusted EBITDA margin improved from 17.3% to 18.0%.</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current business results reflect a strong second quarter sales growth despite challenging market conditions and our results of operations for the two fiscal quarters ended June 28, 2025 were aligned with our expectations. These results were primarily driven by category share gains in autocovers, along with contributions from the Coverstar Central, LLC (“Coverstar Central”) acquisition in August 2024 and the early 2025 acquisitions of two of our smaller autocover dealers. Based on current business trends and market conditions, we remain cautious on 2025 new pool starts, which we currently project to be roughly in line with 2024 levels. We are closely monitoring the potential impact of current macroeconomic and geopolitical conditions, as well as general reduced consumer confidence and increased economic uncertainty. Additionally, we recently implemented targeted price increases on certain products to help further mitigate the potential impact of tariffs.</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product innovation, facility upgrades and technology and systems. These initiatives complement continued investment in our sales, marketing, engineering and research and development efforts that are designed to accelerate conversion to fiberglass pool products and ongoing digital transformation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1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August 2, 2024, we completed a stock acquisition of Coverstar Central, our exclusive dealer of automatic safety covers in 29 states – mainly in the center of the U.S. Coverstar Central has been our trusted partner since 2006, and this acquisition represents a valuable strategic opportunity that we expect to benefit from in multiple ways. First, the vertical integration of our automatic safety cover product line in the acquired geographies is expected to increase margins. Second, as one company with a fully integrated sales and marketing strategy, we expect to accelerate the sales growth of this product line. Finally, we see opportunities to leverage Coverstar Central’s long-standing relationships with pool builders in its markets to increase the awareness of, and conversion to, fiberglass pools. During the two fiscal quarters ended June 28, 2025, we further strengthened our position in this growing category by acquiring two of our smaller autocover dealers located in Tennessee and New York.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7"/>
          <w:szCs w:val="17"/>
          <w:color w:val="auto"/>
        </w:rPr>
        <w:t>Adjusted EBITDA and Adjusted EBITDA margin are key metrics used by management and our Board of Directors of the Company (the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(gain) loss on sale and disposal of property and equipment,</w:t>
      </w:r>
    </w:p>
    <w:p>
      <w:pPr>
        <w:spacing w:after="0" w:line="1" w:lineRule="exact"/>
        <w:rPr>
          <w:sz w:val="20"/>
          <w:szCs w:val="20"/>
          <w:color w:val="auto"/>
        </w:rPr>
      </w:pPr>
    </w:p>
    <w:p>
      <w:pPr>
        <w:ind w:right="20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(vi) stock-based compensation expense, (vii) unrealized (gains) losses on foreign currency transactions, (viii) strategic initiative costs, (ix) acquisition and integration related costs and (x) other.</w:t>
      </w:r>
    </w:p>
    <w:p>
      <w:pPr>
        <w:spacing w:after="0" w:line="181"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June 28, 2025 Compared to Fiscal Quarter Ended June 29, 2024</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June 28, 2025 and June 29, 2024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172,639</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100.0 %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63,963</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4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4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12.2 %</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9.3 %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34,478</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32"/>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Net sales were $172.6 million for the fiscal quarter ended June 28, 2025, compared to $160.1 million for the fiscal quarter ended June 29, 2024. The $12.5 million, or 7.8%, increase in net sales was due to a $12.0 million increase in sales volume and a $0.5 million increase from pricing. The sales volume increase was primarily driven by both organic- and acquisition-related growth. The increase in net sales of $12.5 million across our product lines consisted of an increase of $11.7 million for covers and $3.1 million for liners, partially offset by a $2.4 million decrease for in-ground swimming pools.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Cost of sales was $108.7 million for the fiscal quarter ended June 28, 2025, compared to $107.1 million for the fiscal quarter ended June 29, 2024. Gross margin increased by 4.0%, to 37.1% of net sales for the fiscal quarter ended June 28, 2025, compared to 33.1% of net sales for the fiscal quarter ended June 29, 2024. The $1.6 million, or 1.5%, increase in cost of sales was primarily the result of the increase in sales volume, partially offset by the impact of production efficiencies resulting from lean manufacturing and value engineering programs. The 4.0% increase in gross margin was primarily driven by higher volumes, lean manufacturing and value engineering initiatives, and a margin benefit from the three Coverstar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was $31.9 million for the fiscal quarter ended June 28, 2025, compared to $26.6 million for the fiscal quarter ended June 29, 2024. The $5.3 million, or 20.1%, increase in selling, general, and administrative expense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was primarily driven by increased marketing and personnel investment tied to our Sand States strategy, investments in new enterprise resource planning (“ERP”) infrastructure and inclusion of Coverstar Central.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1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Amortization was $7.3 million for the fiscal quarter ended June 28, 2025, compared to $6.4 million for the fiscal quarter ended June 29, 2024. The $0.9 million, or 13.6%, increase in amortization was driven by the three Coverstar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$7.1 million for the fiscal quarter ended June 28, 2025, compared to $6.0 million for the fiscal quarter ended June 29, 2024. The $1.1 million, or 18.9%, increase in interest expense, net was primarily the result of the change in the fair value of our interest rate swap, compared to the fiscal quarter ended June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$3.0 million for the fiscal quarter ended June 28, 2025, compared to other expense, net of $0.8 million for fiscal quarter ended June 29, 2024. The $3.8 million increase in other income, net was primarily driven by a 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$0.5 million for the fiscal quarter ended June 28, 2025, largely unchanged from the fiscal quarter ended June 29, 2024, due to the financial performance of Premier Pools &amp; Spa.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$5.1 million for the fiscal quarter ended June 28, 2025, compared to income tax expense of $0.4 million for the fiscal quarter ended June 29, 2024. Our effective tax rate was 24.3% for the fiscal quarter ended June 28, 2025, compared to 3.2% for the fiscal quarter ended June 29, 2024. The difference between the U.S. federal statutory income tax rate and our effective income tax rate for both the fiscal quarters ended June 28, 2025 and June 29, 2024 was primarily attributable to the impacts of stock-based compensation expense and foreign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income was $16.0 million for the fiscal quarter ended June 28, 2025, compared to $13.3 million for the fiscal quarter ended June 29, 2024. The $2.7 million, or 20.3%, increase in net income was primarily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Net income margin was 9.3% for the fiscal quarter ended June 28, 2025, compared to 8.3% for the fiscal quarter ended June 29, 2024. The 1.0% increase in net income margin was driven by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Adjusted EBITDA was $39.9 million for the fiscal quarter ended June 28, 2025, compared to $34.5 million for the fiscal quarter ended June 29, 2024. The $5.4 million, or 15.7%, increase in Adjusted EBITDA was primarily because of the gross profit growth from increase in net sales that more than offset higher selling, general and administrative expense, as well as the other factors described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Adjusted EBITDA margin was 23.1% for the fiscal quarter ended June 28, 2025, compared to 21.5% for the fiscal quarter ended June 29, 2024. The 1.6% increase in Adjusted EBITDA margin was primarily because of a $5.4 million increase in Adjusted EBITDA, compared to the fiscal quarter ended June 29, 2024, which was impacted by the factors described above.</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Two Fiscal Quarters Ended June 28, 2025 Compared to Two Fiscal Quarters Ended June 29,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two fiscal quarters ended June 28, 2025 and June 29,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96,844</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6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6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6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5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20" w:firstLine="8"/>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sales were $284.1 million for the two fiscal quarters ended June 28, 2025, compared to $270.8 million for the two fiscal quarters ended June 29, 2024. The $13.3 million, or 4.9%, increase in net sales was due to a $14.4 million increase in sales volume, partially offset by a $1.1 million decrease from lower pricing. The sales volume increase was primarily driven by both organic- and acquisition-related growth. The increase in net sales across our product lines consisted of an increase of $16.5 million for covers and $1.3 million for liners, partially offset by a decrease of $4.5 million for in-ground swimming pools.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1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Cost of sales was $187.2 million for the two fiscal quarters ended June 28, 2025, compared to $187.1 million for the two fiscal quarters ended June 29, 2024. Gross margin increased by 3.2%, to 34.1% of net sales for the two fiscal quarters ended June 28, 2025, compared to 30.9% of net sales for the two fiscal quarters ended June 29, 2024. The $0.1 million increase in cost of sales was primarily the result of the increase in sales volume, offset by the impact of production efficiencies resulting from lean manufacturing and value engineering programs. The 3.2% increase in gross margin was primarily driven by higher volumes, lean manufacturing and value engineering initiatives, and a margin benefit from the three Coverstar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$62.6 million for the two fiscal quarters ended June 28, 2025, compared to $52.8 million for the two fiscal quarters ended June 29, 2024. The $9.8 million, or 18.4%, increase in selling, general, and administrative expense was primarily driven by increased marketing and personnel investment tied to our Sand State strategy, investments in new ERP infrastructure and the inclusion of Coverstar Central.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Amortization was $14.5 million for the two fiscal quarters ended June 28, 2025, compared to $12.8 million for the two fiscal quarters ended June 29, 2024. The $1.7 million, or 12.9%, increase in amortization was driven by the three Coverstar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$13.5 million for the two fiscal quarters ended June 28, 2025, compared to $11.0 million for the two fiscal quarters ended June 29, 2024. The $2.5 million, or 23.0%, increase in interest expense, net was primarily the result of the change in the fair value of our interest rate swap, compared to the two fiscal quarters ended June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Other income, net was $3.4 million for the two fiscal quarters ended June 28, 2025, compared to other expense, net of $2.4 million for the two fiscal quarters ended June 29, 2024. The $5.8 million increase in other income, net was primarily driven by a favorable change in net foreign currency transaction gains and losses associated with our international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$1.4 million for the two fiscal quarters ended June 28, 2025, compared to $1.8 million for the two fiscal quarters ended June 29, 2024, due to the financial performance of Premier Pools &amp; Spa.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was $1.1 million for the two fiscal quarters ended June 28, 2025, compared to income tax expense of $1.0 million for the two fiscal quarters ended June 29, 2024. Our effective tax rate was 9.5% for the two fiscal quarters ended June 28, 2025, compared to 15.2% for the two fiscal quarters ended June 29, 2024. The difference between the U.S. federal statutory income tax rate and our effective income tax rate for both the two fiscal quarters ended June 28, 2025 and June 29, 2024 was primarily attributable to the impacts of stock-based compensation expense and foreign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Net income was $10.0 million for the two fiscal quarters ended June 28, 2025, compared to $5.4 million for the two fiscal quarters ended June 29, 2024. The $4.6 million, or 85.0%, increase in net income was primarily because of the factors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income margin was 3.5% for the two fiscal quarters ended June 28, 2025, compared to 2.0% for the two fiscal quarters ended June 29, 2024. The 1.5% increase in net income margin was driven by a $4.6 million increase in net income, compared to the two fiscal quarters ended June 29, 2024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Adjusted EBITDA was $51.0 million for the two fiscal quarters ended June 28, 2025, compared to $46.8 million for the two fiscal quarters ended June 29, 2024. The $4.2 million, or 9.1%, increase in Adjusted EBITDA was primarily because of the increase in net sales, as well as the other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margin was 18.0% for the two fiscal quarters ended June 28, 2025, compared to 17.3% for the two fiscal quarters ended June 29, 2024. The 0.7% increase in Adjusted EBITDA margin was primarily because of the $4.2 million increase in Adjusted EBITDA, compared to the two fiscal quarters ended June 29, 2024, which was impacted by the other factors described above.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(gain) loss on sale and disposal of property and equipment, (v) restructuring charges, (vi) stock-based compensation expense, (vii) unrealized (gains) losses on foreign currency transactions, (viii) strategic initiative costs, (ix) acquisition and integration related costs and (x) other.</w:t>
      </w:r>
    </w:p>
    <w:p>
      <w:pPr>
        <w:spacing w:after="0" w:line="194"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to Adjusted EBITDA for the periods presented and the calculation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6"/>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gridSpan w:val="2"/>
            <w:vMerge w:val="continue"/>
          </w:tcPr>
          <w:p>
            <w:pPr>
              <w:spacing w:after="0"/>
              <w:rPr>
                <w:sz w:val="14"/>
                <w:szCs w:val="14"/>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2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6"/>
                <w:szCs w:val="26"/>
                <w:color w:val="auto"/>
                <w:vertAlign w:val="superscript"/>
              </w:rPr>
              <w: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6"/>
                <w:szCs w:val="26"/>
                <w:color w:val="auto"/>
                <w:vertAlign w:val="superscript"/>
              </w:rPr>
              <w:t>(b)</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w w:val="99"/>
              </w:rPr>
              <w:t xml:space="preserve">Unrealized (gains) losses on foreign currency transactions </w:t>
            </w:r>
            <w:r>
              <w:rPr>
                <w:rFonts w:ascii="Times New Roman" w:cs="Times New Roman" w:eastAsia="Times New Roman" w:hAnsi="Times New Roman"/>
                <w:sz w:val="26"/>
                <w:szCs w:val="26"/>
                <w:color w:val="auto"/>
                <w:w w:val="99"/>
                <w:vertAlign w:val="superscript"/>
              </w:rPr>
              <w:t>(c)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6"/>
                <w:szCs w:val="26"/>
                <w:color w:val="auto"/>
                <w:vertAlign w:val="superscript"/>
              </w:rPr>
              <w:t>(d)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6"/>
                <w:szCs w:val="26"/>
                <w:color w:val="auto"/>
                <w:vertAlign w:val="superscript"/>
              </w:rPr>
              <w:t>(e)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6"/>
                <w:szCs w:val="26"/>
                <w:color w:val="auto"/>
                <w:vertAlign w:val="superscript"/>
              </w:rPr>
              <w:t>(f)</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34,478</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(gains) losses associated with our international subsidiaries.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right="340" w:firstLine="8"/>
        <w:spacing w:after="0" w:line="260" w:lineRule="auto"/>
        <w:tabs>
          <w:tab w:leader="none" w:pos="2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existing cash on hand,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June 28, 2025, we had $26.9 million of cash, $281.5 million of outstanding indebtedness and an additional $75.0 million of borrowing availability under our Revolving Credit Facility.</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diversifying our product offerings, storage, and delivery equipment. We are in the midst of a multi-year capital plan to invest in our facilities, technology, and systems.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and certain subsidiary guarantors entered into a credit and guaranty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w:t>
      </w:r>
    </w:p>
    <w:p>
      <w:pPr>
        <w:spacing w:after="0" w:line="180"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meet certain financial covenants, including maintain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us, declare dividends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28, 2025, we were in compliance with all covenants under the Credit Agreement.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not subject to amortization and are due at maturity.</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June 12, 2025, we repaid the $25.0 million of outstanding borrowings on the Revolving Credit Facility. As of June 28, 2025, we had no outstanding borrowings under the Revolving Credit Facility and $75.0 million was available for future borrowing.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28, 2025, we had $281.5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10, 2022, our Board approved a stock repurchase program (the “Repurchase Program”), which authorized us to repurchase up to $100 million of our shares of common stock by May 2025. We did not repurchase any shares of our common stock during the two fiscal quarters ended June 28, 2025, and our Repurchase Program expired on May 10, 2025. We do not have an effective stock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87"/>
        </w:trPr>
        <w:tc>
          <w:tcPr>
            <w:tcW w:w="5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60" w:type="dxa"/>
            <w:vAlign w:val="bottom"/>
          </w:tcPr>
          <w:p>
            <w:pPr>
              <w:spacing w:after="0"/>
              <w:rPr>
                <w:sz w:val="16"/>
                <w:szCs w:val="16"/>
                <w:color w:val="auto"/>
              </w:rPr>
            </w:pPr>
          </w:p>
        </w:tc>
      </w:tr>
      <w:tr>
        <w:trPr>
          <w:trHeight w:val="200"/>
        </w:trPr>
        <w:tc>
          <w:tcPr>
            <w:tcW w:w="5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w:t>
            </w:r>
          </w:p>
        </w:tc>
        <w:tc>
          <w:tcPr>
            <w:tcW w:w="60" w:type="dxa"/>
            <w:vAlign w:val="bottom"/>
            <w:shd w:val="clear" w:color="auto" w:fill="CCEEFF"/>
          </w:tcPr>
          <w:p>
            <w:pPr>
              <w:spacing w:after="0"/>
              <w:rPr>
                <w:sz w:val="20"/>
                <w:szCs w:val="20"/>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60" w:type="dxa"/>
            <w:vAlign w:val="bottom"/>
          </w:tcPr>
          <w:p>
            <w:pPr>
              <w:spacing w:after="0"/>
              <w:rPr>
                <w:sz w:val="19"/>
                <w:szCs w:val="19"/>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60" w:type="dxa"/>
            <w:vAlign w:val="bottom"/>
            <w:shd w:val="clear" w:color="auto" w:fill="CCEEFF"/>
          </w:tcPr>
          <w:p>
            <w:pPr>
              <w:spacing w:after="0"/>
              <w:rPr>
                <w:sz w:val="19"/>
                <w:szCs w:val="19"/>
                <w:color w:val="auto"/>
              </w:rPr>
            </w:pPr>
          </w:p>
        </w:tc>
      </w:tr>
      <w:tr>
        <w:trPr>
          <w:trHeight w:val="23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Borders>
              <w:bottom w:val="single" w:sz="8" w:color="CCEEFF"/>
            </w:tcBorders>
          </w:tcPr>
          <w:p>
            <w:pPr>
              <w:spacing w:after="0"/>
              <w:rPr>
                <w:sz w:val="19"/>
                <w:szCs w:val="19"/>
                <w:color w:val="auto"/>
              </w:rPr>
            </w:pPr>
          </w:p>
        </w:tc>
      </w:tr>
      <w:tr>
        <w:trPr>
          <w:trHeight w:val="223"/>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cash</w:t>
            </w:r>
          </w:p>
        </w:tc>
        <w:tc>
          <w:tcPr>
            <w:tcW w:w="1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(29,455)</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two fiscal quarters ended June 28, 2025, operating activities used $10.9 million of cash. Net income, after adjustments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non-cash items, provided cash of $40.0 million. Cash used in operating activities was driven by changes in our operating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which used $50.9 million. Net cash used by changes in our operating assets and liabilities for the two fiscal quarters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2025 consisted primarily of a $57.4 million increase in trade receivables, a $4.9 million increase in income tax receivable,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million increase in prepaid expenses and other current assets, a $0.9 million increase in inventories, a $0.2 million decrease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liabilities and a $0.2 million increase in other assets, partially offset by a $13.1 million increase in accounts payable and a $2.4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accrued expenses and other current liabilities. The change in trade receivables was primarily driven by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timing of net sales and the change in accounts payable were primarily driven by volume of purchases and timing of payments.</w:t>
      </w:r>
    </w:p>
    <w:p>
      <w:pPr>
        <w:spacing w:after="0" w:line="19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two fiscal quarters ended June 29, 2024, operating activities provided $17.9 million of cash. Net income, after adjustments for non-cash items, provided cash of $36.1 million. Cash provided by operating activities was further impacted by changes in our operating assets and liabilities, which used $18.2 million. Net cash used by changes in our operating assets and liabilities for the two fiscal quarters ended June 29, 2024 consisted primarily of a $36.8 million increase in trade receivables, a $2.3 million increase in prepaid expenses and other current assets, a $1.2 million decrease in accrued expenses and other current liabilities,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$0.7 million increase in income tax receivable and a $0.4 million decrease in other long-term liabilities, partially offset by a $13.1 million decrease in inventories, a $9.8 million increase in accounts payable and a $0.3 million decrease in other assets. The change in trade receivables was primarily driven by the timing of net sales, the change in inventories was driven by efforts to meet a reduced demand outlook while maintaining lead times and service levels and the changes in accounts payable were primarily driven by volume of purchases and timing of payments.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two fiscal quarters ended June 28, 2025, investing activities used $15.3 million of cash, consisting of purchases of property and equipment for $10.3 million and the acquisition of two of our autocover dealers of $4.9 million. The purchase of property and equipment was primarily to expand capacity for production and diversify offerings, especially for fiberglass pools, as well as on-going strategic initiatives such as digital transformation.</w:t>
      </w:r>
    </w:p>
    <w:p>
      <w:pPr>
        <w:spacing w:after="0" w:line="16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During the two fiscal quarters ended June 29, 2024, investing activities used $9.8 million of cash, consisting of purchases of property and equipment primarily to expand capacity for production, especially for fiberglass pools.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two fiscal quarters ended June 28, 2025, financing activities used $3.6 million of cash, primarily consisting of common stock withheld for taxes on restricted stock units of $2.4 million, Term Loan payments of $0.8 million and repayments of finance lease obligations of $0.4 million.</w:t>
      </w:r>
    </w:p>
    <w:p>
      <w:pPr>
        <w:spacing w:after="0" w:line="176" w:lineRule="exact"/>
        <w:rPr>
          <w:sz w:val="20"/>
          <w:szCs w:val="20"/>
          <w:color w:val="auto"/>
        </w:rPr>
      </w:pPr>
    </w:p>
    <w:p>
      <w:pPr>
        <w:ind w:right="760" w:firstLine="324"/>
        <w:spacing w:after="0" w:line="297" w:lineRule="auto"/>
        <w:rPr>
          <w:sz w:val="20"/>
          <w:szCs w:val="20"/>
          <w:color w:val="auto"/>
        </w:rPr>
      </w:pPr>
      <w:r>
        <w:rPr>
          <w:rFonts w:ascii="Times New Roman" w:cs="Times New Roman" w:eastAsia="Times New Roman" w:hAnsi="Times New Roman"/>
          <w:sz w:val="18"/>
          <w:szCs w:val="18"/>
          <w:color w:val="auto"/>
        </w:rPr>
        <w:t>During the two fiscal quarters ended June 29, 2024, financing activities used $20.0 million of cash, primarily consisting of repayments on long-term debt borrowings of $19.6 million and repayments of finance lease obligations of $0.4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two fiscal quarters ended June 28, 2025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jc w:val="both"/>
        <w:ind w:right="480"/>
        <w:spacing w:after="0" w:line="260" w:lineRule="auto"/>
        <w:rPr>
          <w:sz w:val="20"/>
          <w:szCs w:val="20"/>
          <w:color w:val="auto"/>
        </w:rPr>
      </w:pPr>
      <w:r>
        <w:rPr>
          <w:rFonts w:ascii="Times New Roman" w:cs="Times New Roman" w:eastAsia="Times New Roman" w:hAnsi="Times New Roman"/>
          <w:sz w:val="18"/>
          <w:szCs w:val="18"/>
          <w:color w:val="auto"/>
        </w:rPr>
        <w:t>Changes in these rates may have an impact on future cash flow and earnings. We manage these risks through normal operating and financing activities.</w:t>
      </w:r>
    </w:p>
    <w:p>
      <w:pPr>
        <w:spacing w:after="0" w:line="181" w:lineRule="exact"/>
        <w:rPr>
          <w:sz w:val="20"/>
          <w:szCs w:val="20"/>
          <w:color w:val="auto"/>
        </w:rPr>
      </w:pPr>
    </w:p>
    <w:p>
      <w:pPr>
        <w:jc w:val="both"/>
        <w:ind w:right="460" w:firstLine="324"/>
        <w:spacing w:after="0" w:line="258" w:lineRule="auto"/>
        <w:rPr>
          <w:sz w:val="20"/>
          <w:szCs w:val="20"/>
          <w:color w:val="auto"/>
        </w:rPr>
      </w:pPr>
      <w:r>
        <w:rPr>
          <w:rFonts w:ascii="Times New Roman" w:cs="Times New Roman" w:eastAsia="Times New Roman" w:hAnsi="Times New Roman"/>
          <w:sz w:val="18"/>
          <w:szCs w:val="18"/>
          <w:color w:val="auto"/>
        </w:rPr>
        <w:t>During the two fiscal quarters ended June 28, 2025,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interest rate swap that was executed on March 10, 2023 (the “2023 Interest Rate Swap”). The 2023 Interest Rate Swap had an effective date of May 18, 2023 and a termination date of May 18, 2026. Under the terms of the 2023 Interest Rate Swap, we fixed our SOFR borrowing rate on a notional amount of $161.0 million. The 2023 Interest Rate Swap was not designated as a hedging instrument for accounting purposes.</w:t>
      </w:r>
    </w:p>
    <w:p>
      <w:pPr>
        <w:spacing w:after="0" w:line="16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we entered into a new interest rate swap that was executed on June 4, 2025 (the “2025 Interest Rate Swap”). As part of the 2025 Interest Rate Swap, we terminated the 2023 Interest Rate Swap prior to its May 18, 2026 termination date. The 2025 Interest Rate Swap became effective on May 19, 2025 and has a termination date of May 18, 2027. Under the terms of the 2025 Interest Rate Swap, we fixed our SOFR borrowing rate on a notional amount of $140.0 million. The 2025 Interest Rate Swap is not designated as a hedging instrument for accounting purposes.</w:t>
      </w:r>
    </w:p>
    <w:p>
      <w:pPr>
        <w:spacing w:after="0" w:line="18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June 28, 2025, would cause an increase or decrease to annual interest expense, net of approximately $1.5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28, 2025. Based upon their evaluation, our Chief Executive Officer and Chief Financial Officer concluded that our disclosure controls and procedures were effective at a reasonable assurance level as of June 28,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an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June 28, 2025.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8"/>
          <w:szCs w:val="18"/>
          <w:color w:val="auto"/>
        </w:rPr>
        <w:t>On May 10, 2022, our Board approved the Repurchase Program, which authorized us to repurchase up to $100 million of our shares of common stock by May 2025. We did not repurchase any shares of our common stock during the two fiscal quarters ended June 28, 2025, and our Repurchase Program expired on May 10, 2025. We do not have an effective stock repurchase program.</w:t>
      </w:r>
    </w:p>
    <w:p>
      <w:pPr>
        <w:sectPr>
          <w:pgSz w:w="11900" w:h="16838" w:orient="portrait"/>
          <w:cols w:equalWidth="0" w:num="1">
            <w:col w:w="9900"/>
          </w:cols>
          <w:pgMar w:left="980" w:top="661"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Officer Severance Plan</w:t>
      </w:r>
    </w:p>
    <w:p>
      <w:pPr>
        <w:spacing w:after="0" w:line="17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On August 1, 2025, the Compensation Committee of the Board approved the Latham Pool Products, Inc. Amended and Restated Officer Severance Plan (the “Amended and Restated Officer Severance Plan”), which supersedes and replaces the Latham Pool Products, Inc. Officer Severance Plan (the “Officer Severance Plan”) initially adopted by the Company effective June 28, 2023. The Amended and Restated Officer Severance Plan extends the term of the Officer Severance Plan to December 31, 2026, and thereafter, automatically renews at the end of each calendar year for successive one-year terms unless amended or otherwise terminated by the Administrator (as defined in the Amended and Restated Officer Severance Plan) after December 31, 2026, with at least twelve months prior written notice. The terms of the Amended and Restated Officer Severance Plan otherwise does not materially differ from the Officer Severance Plan.</w:t>
      </w:r>
    </w:p>
    <w:p>
      <w:pPr>
        <w:spacing w:after="0" w:line="161"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8"/>
          <w:szCs w:val="18"/>
          <w:color w:val="auto"/>
        </w:rPr>
        <w:t>The foregoing description of the Amended and Restated Officer Severance Plan is not complete and is qualified in its entirety by reference to the full and complete text of the Amended and Restated Officer Severance Plan, a copy of which will be filed as an exhibit to the Company’s Quarterly Report on Form 10-Q for the fiscal quarter ended September 27,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175"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8"/>
          <w:szCs w:val="18"/>
          <w:color w:val="auto"/>
        </w:rPr>
        <w:t>During the fiscal quarter ended June 28, 2025,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vMerge w:val="continue"/>
          </w:tcPr>
          <w:p>
            <w:pPr>
              <w:spacing w:after="0"/>
              <w:rPr>
                <w:sz w:val="14"/>
                <w:szCs w:val="14"/>
                <w:color w:val="auto"/>
              </w:rPr>
            </w:pPr>
          </w:p>
        </w:tc>
        <w:tc>
          <w:tcPr>
            <w:tcW w:w="8760" w:type="dxa"/>
            <w:vAlign w:val="bottom"/>
            <w:gridSpan w:val="11"/>
          </w:tcPr>
          <w:p>
            <w:pPr>
              <w:spacing w:after="0" w:line="169"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tcPr>
          <w:p>
            <w:pPr>
              <w:spacing w:after="0"/>
              <w:rPr>
                <w:sz w:val="18"/>
                <w:szCs w:val="18"/>
                <w:color w:val="auto"/>
              </w:rPr>
            </w:pPr>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6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Amended Offer Letter, by and between Oliver C. Gloe and Latham Pool Products, Inc., dated May 12, 2025</w:t>
            </w: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Certification of CEO, pursuant to SEC Rule 13a-14(a) and 15d-14(a)</w:t>
            </w:r>
          </w:p>
        </w:tc>
        <w:tc>
          <w:tcPr>
            <w:tcW w:w="2800" w:type="dxa"/>
            <w:vAlign w:val="bottom"/>
            <w:tcBorders>
              <w:top w:val="single" w:sz="8" w:color="0000EE"/>
            </w:tcBorders>
            <w:gridSpan w:val="2"/>
          </w:tcPr>
          <w:p>
            <w:pPr>
              <w:spacing w:after="0"/>
              <w:rPr>
                <w:sz w:val="24"/>
                <w:szCs w:val="24"/>
                <w:color w:val="auto"/>
              </w:rPr>
            </w:pPr>
          </w:p>
        </w:tc>
        <w:tc>
          <w:tcPr>
            <w:tcW w:w="10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9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by the CFO, pursuant to 18 U.S.C. Section 1350, as adopted pursuant to Section 906 of the Sarbanes-Oxley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820" w:type="dxa"/>
            <w:vAlign w:val="bottom"/>
            <w:tcBorders>
              <w:top w:val="single" w:sz="8" w:color="0000EE"/>
            </w:tcBorders>
            <w:gridSpan w:val="8"/>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274320</wp:posOffset>
            </wp:positionV>
            <wp:extent cx="1568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hanging="1151"/>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220" w:hanging="1151"/>
        <w:spacing w:after="0"/>
        <w:tabs>
          <w:tab w:leader="none" w:pos="12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1" w:lineRule="exact"/>
        <w:rPr>
          <w:rFonts w:ascii="Times New Roman" w:cs="Times New Roman" w:eastAsia="Times New Roman" w:hAnsi="Times New Roman"/>
          <w:sz w:val="18"/>
          <w:szCs w:val="18"/>
          <w:color w:val="auto"/>
        </w:rPr>
      </w:pPr>
    </w:p>
    <w:p>
      <w:pPr>
        <w:ind w:left="1180" w:hanging="1112"/>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2025</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1" w:right="1319" w:bottom="1440" w:gutter="0" w:footer="0" w:header="0"/>
        </w:sectPr>
      </w:pPr>
    </w:p>
    <w:bookmarkStart w:id="42" w:name="page43"/>
    <w:bookmarkEnd w:id="42"/>
    <w:p>
      <w:pPr>
        <w:ind w:left="760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1783080" cy="402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830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May 12, 2025</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Oliver C. Gloe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3"/>
          <w:szCs w:val="23"/>
          <w:color w:val="auto"/>
        </w:rPr>
        <w:t>9 Taskers Pond Road</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Farmington, CT 06032</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Amendment to Offer Letter</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Dear Oliver:</w:t>
      </w:r>
    </w:p>
    <w:p>
      <w:pPr>
        <w:spacing w:after="0" w:line="220" w:lineRule="exact"/>
        <w:rPr>
          <w:sz w:val="20"/>
          <w:szCs w:val="20"/>
          <w:color w:val="auto"/>
        </w:rPr>
      </w:pPr>
    </w:p>
    <w:p>
      <w:pPr>
        <w:jc w:val="both"/>
        <w:ind w:left="220" w:right="219" w:firstLine="4"/>
        <w:spacing w:after="0" w:line="227" w:lineRule="auto"/>
        <w:rPr>
          <w:sz w:val="20"/>
          <w:szCs w:val="20"/>
          <w:color w:val="auto"/>
        </w:rPr>
      </w:pPr>
      <w:r>
        <w:rPr>
          <w:rFonts w:ascii="Arial" w:cs="Arial" w:eastAsia="Arial" w:hAnsi="Arial"/>
          <w:sz w:val="22"/>
          <w:szCs w:val="22"/>
          <w:color w:val="auto"/>
        </w:rPr>
        <w:t>This will amend your offer letter of employment with Latham Pool Products, Inc. (“Latham” or the “Company”) dated October 16, 2023, with an effective date of October 30, 2023 (the Offer Letter”). Unless otherwise noted, all other terms and conditions in the Offer Letter remain valid and in effect except for those terms that have been updated in writing subsequent to the effective date.</w:t>
      </w:r>
    </w:p>
    <w:p>
      <w:pPr>
        <w:spacing w:after="0" w:line="181" w:lineRule="exact"/>
        <w:rPr>
          <w:sz w:val="20"/>
          <w:szCs w:val="20"/>
          <w:color w:val="auto"/>
        </w:rPr>
      </w:pPr>
    </w:p>
    <w:p>
      <w:pPr>
        <w:jc w:val="both"/>
        <w:ind w:left="220" w:right="219" w:firstLine="4"/>
        <w:spacing w:after="0" w:line="258" w:lineRule="auto"/>
        <w:rPr>
          <w:sz w:val="20"/>
          <w:szCs w:val="20"/>
          <w:color w:val="auto"/>
        </w:rPr>
      </w:pPr>
      <w:r>
        <w:rPr>
          <w:rFonts w:ascii="Arial" w:cs="Arial" w:eastAsia="Arial" w:hAnsi="Arial"/>
          <w:sz w:val="22"/>
          <w:szCs w:val="22"/>
          <w:color w:val="auto"/>
        </w:rPr>
        <w:t xml:space="preserve">The following paragraphs at page 3 of the Offer Letter are amended as indicated below in </w:t>
      </w:r>
      <w:r>
        <w:rPr>
          <w:rFonts w:ascii="Arial" w:cs="Arial" w:eastAsia="Arial" w:hAnsi="Arial"/>
          <w:sz w:val="22"/>
          <w:szCs w:val="22"/>
          <w:b w:val="1"/>
          <w:bCs w:val="1"/>
          <w:color w:val="auto"/>
        </w:rPr>
        <w:t xml:space="preserve">bold </w:t>
      </w:r>
      <w:r>
        <w:rPr>
          <w:rFonts w:ascii="Arial" w:cs="Arial" w:eastAsia="Arial" w:hAnsi="Arial"/>
          <w:sz w:val="22"/>
          <w:szCs w:val="22"/>
          <w:color w:val="auto"/>
        </w:rPr>
        <w:t>font:</w:t>
      </w:r>
    </w:p>
    <w:p>
      <w:pPr>
        <w:spacing w:after="0" w:line="158" w:lineRule="exact"/>
        <w:rPr>
          <w:sz w:val="20"/>
          <w:szCs w:val="20"/>
          <w:color w:val="auto"/>
        </w:rPr>
      </w:pPr>
    </w:p>
    <w:p>
      <w:pPr>
        <w:jc w:val="both"/>
        <w:ind w:left="860" w:right="219" w:firstLine="4"/>
        <w:spacing w:after="0" w:line="228" w:lineRule="auto"/>
        <w:rPr>
          <w:sz w:val="20"/>
          <w:szCs w:val="20"/>
          <w:color w:val="auto"/>
        </w:rPr>
      </w:pPr>
      <w:r>
        <w:rPr>
          <w:rFonts w:ascii="Arial" w:cs="Arial" w:eastAsia="Arial" w:hAnsi="Arial"/>
          <w:sz w:val="22"/>
          <w:szCs w:val="22"/>
          <w:color w:val="auto"/>
        </w:rPr>
        <w:t xml:space="preserve">“At time of hire, a one-time relocation package will also be provided to you to assist with expenses related to your move to Latham's headquarters in Latham, NY by </w:t>
      </w:r>
      <w:r>
        <w:rPr>
          <w:rFonts w:ascii="Arial" w:cs="Arial" w:eastAsia="Arial" w:hAnsi="Arial"/>
          <w:sz w:val="22"/>
          <w:szCs w:val="22"/>
          <w:b w:val="1"/>
          <w:bCs w:val="1"/>
          <w:color w:val="auto"/>
          <w:strike w:val="1"/>
        </w:rPr>
        <w:t>May 1, 2025</w:t>
      </w:r>
      <w:r>
        <w:rPr>
          <w:rFonts w:ascii="Arial" w:cs="Arial" w:eastAsia="Arial" w:hAnsi="Arial"/>
          <w:sz w:val="22"/>
          <w:szCs w:val="22"/>
          <w:b w:val="1"/>
          <w:bCs w:val="1"/>
          <w:color w:val="auto"/>
        </w:rPr>
        <w:t xml:space="preserve"> November 1, 2026 </w:t>
      </w:r>
      <w:r>
        <w:rPr>
          <w:rFonts w:ascii="Arial" w:cs="Arial" w:eastAsia="Arial" w:hAnsi="Arial"/>
          <w:sz w:val="22"/>
          <w:szCs w:val="22"/>
          <w:color w:val="auto"/>
        </w:rPr>
        <w:t>(not to exceed $150,000. 00). Any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made to you require 100% repayment if you voluntarily terminate employment or are terminated for cause within 18 months of </w:t>
      </w:r>
      <w:r>
        <w:rPr>
          <w:rFonts w:ascii="Arial" w:cs="Arial" w:eastAsia="Arial" w:hAnsi="Arial"/>
          <w:sz w:val="22"/>
          <w:szCs w:val="22"/>
          <w:b w:val="1"/>
          <w:bCs w:val="1"/>
          <w:color w:val="auto"/>
          <w:strike w:val="1"/>
        </w:rPr>
        <w:t>hire</w:t>
      </w:r>
      <w:r>
        <w:rPr>
          <w:rFonts w:ascii="Arial" w:cs="Arial" w:eastAsia="Arial" w:hAnsi="Arial"/>
          <w:sz w:val="22"/>
          <w:szCs w:val="22"/>
          <w:color w:val="auto"/>
        </w:rPr>
        <w:t xml:space="preserve"> </w:t>
      </w:r>
      <w:r>
        <w:rPr>
          <w:rFonts w:ascii="Arial" w:cs="Arial" w:eastAsia="Arial" w:hAnsi="Arial"/>
          <w:sz w:val="22"/>
          <w:szCs w:val="22"/>
          <w:b w:val="1"/>
          <w:bCs w:val="1"/>
          <w:color w:val="auto"/>
        </w:rPr>
        <w:t>the date of any relocation</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 to you</w:t>
      </w:r>
      <w:r>
        <w:rPr>
          <w:rFonts w:ascii="Arial" w:cs="Arial" w:eastAsia="Arial" w:hAnsi="Arial"/>
          <w:sz w:val="22"/>
          <w:szCs w:val="22"/>
          <w:color w:val="auto"/>
        </w:rPr>
        <w: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“Relocation Assistance includes:</w:t>
      </w:r>
    </w:p>
    <w:p>
      <w:pPr>
        <w:spacing w:after="0" w:line="218" w:lineRule="exact"/>
        <w:rPr>
          <w:sz w:val="20"/>
          <w:szCs w:val="20"/>
          <w:color w:val="auto"/>
        </w:rPr>
      </w:pPr>
    </w:p>
    <w:p>
      <w:pPr>
        <w:jc w:val="both"/>
        <w:ind w:left="1500" w:right="219" w:hanging="319"/>
        <w:spacing w:after="0" w:line="239" w:lineRule="auto"/>
        <w:tabs>
          <w:tab w:leader="none" w:pos="150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Reasonable temporary living expenses </w:t>
      </w:r>
      <w:r>
        <w:rPr>
          <w:rFonts w:ascii="Arial" w:cs="Arial" w:eastAsia="Arial" w:hAnsi="Arial"/>
          <w:sz w:val="21"/>
          <w:szCs w:val="21"/>
          <w:b w:val="1"/>
          <w:bCs w:val="1"/>
          <w:color w:val="auto"/>
        </w:rPr>
        <w:t>related to your relocation</w:t>
      </w:r>
      <w:r>
        <w:rPr>
          <w:rFonts w:ascii="Arial" w:cs="Arial" w:eastAsia="Arial" w:hAnsi="Arial"/>
          <w:sz w:val="21"/>
          <w:szCs w:val="21"/>
          <w:color w:val="auto"/>
        </w:rPr>
        <w:t xml:space="preserve"> for up to 18 months, which includes a hotel or a corporate apartment and mileage reimbursement for your personal vehicle or rental car fees. Reimbursement is not provided for personal meal or entertainment expenses during your inoffice time, unless those expenses are for business purposes….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Sincerely,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3"/>
          <w:szCs w:val="23"/>
          <w:i w:val="1"/>
          <w:iCs w:val="1"/>
          <w:color w:val="auto"/>
        </w:rPr>
        <w:t>/s/ Scott M. Rajeski</w:t>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Scott Rajeski</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President and CEO</w:t>
      </w:r>
    </w:p>
    <w:p>
      <w:pPr>
        <w:spacing w:after="0" w:line="159" w:lineRule="exact"/>
        <w:rPr>
          <w:sz w:val="20"/>
          <w:szCs w:val="20"/>
          <w:color w:val="auto"/>
        </w:rPr>
      </w:pPr>
    </w:p>
    <w:p>
      <w:pPr>
        <w:ind w:left="200" w:right="439" w:firstLine="4"/>
        <w:spacing w:after="0" w:line="227" w:lineRule="auto"/>
        <w:rPr>
          <w:sz w:val="20"/>
          <w:szCs w:val="20"/>
          <w:color w:val="auto"/>
        </w:rPr>
      </w:pPr>
      <w:r>
        <w:rPr>
          <w:rFonts w:ascii="Arial" w:cs="Arial" w:eastAsia="Arial" w:hAnsi="Arial"/>
          <w:sz w:val="22"/>
          <w:szCs w:val="22"/>
          <w:color w:val="auto"/>
        </w:rPr>
        <w:t>I acknowledge that I have read and understand the contents of this amendment to the Offer Letter and that no other promises, representations or outside agreements have been made to me on the part of the Company or its representatives other than those expressly stated herein. I understand this letter is not a contract of employment and that my employment is at-will,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200" w:right="279"/>
        <w:spacing w:after="0" w:line="230" w:lineRule="auto"/>
        <w:rPr>
          <w:sz w:val="20"/>
          <w:szCs w:val="20"/>
          <w:color w:val="auto"/>
        </w:rPr>
      </w:pPr>
      <w:r>
        <w:rPr>
          <w:rFonts w:ascii="Arial" w:cs="Arial" w:eastAsia="Arial" w:hAnsi="Arial"/>
          <w:sz w:val="22"/>
          <w:szCs w:val="22"/>
          <w:color w:val="auto"/>
        </w:rPr>
        <w:t>meaning the Company or I may terminate the relationship at any time for any reason, regardless of any other documents or oral or written statements issued by the Company or its representatives. With this understanding, I accept this amendment with the terms as stated above.</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By:_______ /s/ Oliver C. Gloe____________________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-14605</wp:posOffset>
            </wp:positionV>
            <wp:extent cx="1082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Oliver C. Gloe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Date:_______</w:t>
      </w:r>
      <w:r>
        <w:rPr>
          <w:rFonts w:ascii="Arial" w:cs="Arial" w:eastAsia="Arial" w:hAnsi="Arial"/>
          <w:sz w:val="22"/>
          <w:szCs w:val="22"/>
          <w:u w:val="single" w:color="auto"/>
          <w:color w:val="auto"/>
        </w:rPr>
        <w:t>5/12/25</w:t>
      </w:r>
      <w:r>
        <w:rPr>
          <w:rFonts w:ascii="Arial" w:cs="Arial" w:eastAsia="Arial" w:hAnsi="Arial"/>
          <w:sz w:val="22"/>
          <w:szCs w:val="22"/>
          <w:color w:val="auto"/>
        </w:rPr>
        <w:t>_______________________</w:t>
      </w:r>
    </w:p>
    <w:p>
      <w:pPr>
        <w:spacing w:after="0" w:line="125"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516255</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66"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August 6,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8"/>
              </w:rPr>
              <w:t>/s/ Scott M. Rajeski</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Chief Executive Officer and President</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August 6,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9"/>
              </w:rPr>
              <w:t>/s/ Oliver C. Gloe</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Chief Financial Officer</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June 28,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August 6,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Scott M. Rajeski</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Executive Officer and President</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June 28,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August 6,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 Oliver C. Gloe</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decimal"/>
      <w:start w:val="1"/>
    </w:lvl>
  </w:abstractNum>
  <w:abstractNum w:abstractNumId="3">
    <w:nsid w:val="1190CDE7"/>
    <w:multiLevelType w:val="hybridMultilevel"/>
    <w:lvl w:ilvl="0">
      <w:lvlJc w:val="left"/>
      <w:lvlText w:val="%1."/>
      <w:numFmt w:val="decimal"/>
      <w:start w:val="13"/>
    </w:lvl>
    <w:lvl w:ilvl="1">
      <w:lvlJc w:val="left"/>
      <w:lvlText w:val="%2"/>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5"/>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2" Type="http://schemas.openxmlformats.org/officeDocument/2006/relationships/hyperlink" Target="https://www.sec.gov/Archives/edgar/data/1833197/000110465921076404/tm2117455d1_ex3-1.htm" TargetMode="External"/><Relationship Id="rId63"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2025-08-06T06:37:47Z</dcterms:created>
  <dcterms:modified xsi:type="dcterms:W3CDTF">2025-08-06T06:37:47Z</dcterms:modified>
</cp:coreProperties>
</file>