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swim-20230930x10q.htm"/>
        <w:bookmarkStart w:id="1" w:name="ksswim2023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lineRule="atLeast" w:line="142" w:before="0" w:after="240"/>
        <w:ind w:left="0" w:right="0" w:hanging="0"/>
        <w:jc w:val="left"/>
        <w:rPr/>
      </w:pPr>
      <w:r>
        <w:rPr/>
        <w:t>​</w:t>
      </w:r>
    </w:p>
    <w:p>
      <w:pPr>
        <w:pStyle w:val="TextBody"/>
        <w:bidi w:val="0"/>
        <w:spacing w:before="0" w:after="240"/>
        <w:ind w:left="0" w:right="0" w:hanging="0"/>
        <w:jc w:val="center"/>
        <w:rPr/>
      </w:pPr>
      <w:bookmarkStart w:id="2" w:name="_d22f9d1c_0cb4_42b3_b88c_d47cb19a0f88"/>
      <w:bookmarkEnd w:id="2"/>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Normal"/>
        <w:bidi w:val="0"/>
        <w:spacing w:before="0" w:after="0"/>
        <w:jc w:val="left"/>
        <w:rPr>
          <w:sz w:val="4"/>
          <w:szCs w:val="4"/>
        </w:rPr>
      </w:pPr>
      <w:r>
        <w:rPr>
          <w:sz w:val="4"/>
          <w:szCs w:val="4"/>
        </w:rPr>
      </w:r>
      <w:bookmarkStart w:id="3" w:name="Tc_Jf5LR27F30-JGKRvaAxzPA_1_1"/>
      <w:bookmarkStart w:id="4" w:name="_41efd709_66ba_4efe_b738_3e2734d87d9a"/>
      <w:bookmarkStart w:id="5" w:name="Tc_Jf5LR27F30-JGKRvaAxzPA_1_1"/>
      <w:bookmarkStart w:id="6" w:name="_41efd709_66ba_4efe_b738_3e2734d87d9a"/>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4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20"/>
        <w:ind w:left="0" w:right="0" w:hanging="0"/>
        <w:jc w:val="left"/>
        <w:rPr>
          <w:rFonts w:ascii="Times New Roman;Times;serif" w:hAnsi="Times New Roman;Times;serif"/>
          <w:sz w:val="20"/>
        </w:rPr>
      </w:pPr>
      <w:r>
        <w:rPr>
          <w:rFonts w:ascii="Times New Roman;Times;serif" w:hAnsi="Times New Roman;Times;serif"/>
          <w:sz w:val="16"/>
        </w:rPr>
        <w:t xml:space="preserve">For the quarterly period ended </w:t>
      </w:r>
      <w:r>
        <w:rPr>
          <w:rFonts w:ascii="Times New Roman;Times;serif" w:hAnsi="Times New Roman;Times;serif"/>
          <w:b/>
          <w:sz w:val="16"/>
        </w:rPr>
        <w:t>September 30, 2023</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OR</w:t>
      </w:r>
    </w:p>
    <w:p>
      <w:pPr>
        <w:pStyle w:val="Normal"/>
        <w:bidi w:val="0"/>
        <w:spacing w:before="0" w:after="0"/>
        <w:jc w:val="left"/>
        <w:rPr>
          <w:sz w:val="4"/>
          <w:szCs w:val="4"/>
        </w:rPr>
      </w:pPr>
      <w:r>
        <w:rPr>
          <w:sz w:val="4"/>
          <w:szCs w:val="4"/>
        </w:rPr>
      </w:r>
      <w:bookmarkStart w:id="7" w:name="Tc_yXfubBp1zE-Gc3zpi6yS1Q_1_1"/>
      <w:bookmarkStart w:id="8" w:name="_35a06079_20ba_4567_9c54_ae1deaef45d7"/>
      <w:bookmarkStart w:id="9" w:name="Tc_yXfubBp1zE-Gc3zpi6yS1Q_1_1"/>
      <w:bookmarkStart w:id="10" w:name="_35a06079_20ba_4567_9c54_ae1deaef45d7"/>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40"/>
              <w:ind w:left="0" w:right="0" w:hanging="0"/>
              <w:jc w:val="left"/>
              <w:rPr/>
            </w:pPr>
            <w:r>
              <w:rPr/>
              <w:t>☐</w:t>
            </w:r>
          </w:p>
        </w:tc>
        <w:tc>
          <w:tcPr>
            <w:tcW w:w="9874" w:type="dxa"/>
            <w:tcBorders/>
            <w:vAlign w:val="center"/>
          </w:tcPr>
          <w:p>
            <w:pPr>
              <w:pStyle w:val="TableContents"/>
              <w:bidi w:val="0"/>
              <w:spacing w:before="0" w:after="4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sz w:val="16"/>
        </w:rPr>
      </w:pPr>
      <w:r>
        <w:rPr>
          <w:rFonts w:ascii="Times New Roman;Times;serif" w:hAnsi="Times New Roman;Times;serif"/>
          <w:sz w:val="16"/>
        </w:rPr>
        <w:t>For the transition period from     to    </w:t>
      </w:r>
    </w:p>
    <w:p>
      <w:pPr>
        <w:pStyle w:val="TextBody"/>
        <w:bidi w:val="0"/>
        <w:spacing w:before="0" w:after="160"/>
        <w:ind w:left="0" w:right="0" w:hanging="0"/>
        <w:jc w:val="center"/>
        <w:rPr>
          <w:rFonts w:ascii="Times New Roman;Times;serif" w:hAnsi="Times New Roman;Times;serif"/>
          <w:sz w:val="20"/>
        </w:rPr>
      </w:pPr>
      <w:r>
        <w:rPr>
          <w:rFonts w:ascii="Times New Roman;Times;serif" w:hAnsi="Times New Roman;Times;serif"/>
          <w:sz w:val="16"/>
        </w:rPr>
        <w:t xml:space="preserve">Commission file number: </w:t>
      </w:r>
      <w:r>
        <w:rPr>
          <w:rFonts w:ascii="Times New Roman;Times;serif" w:hAnsi="Times New Roman;Times;serif"/>
          <w:b/>
          <w:sz w:val="16"/>
        </w:rPr>
        <w:t>001-40358</w:t>
      </w:r>
    </w:p>
    <w:p>
      <w:pPr>
        <w:pStyle w:val="TextBody"/>
        <w:bidi w:val="0"/>
        <w:spacing w:before="0" w:after="160"/>
        <w:ind w:left="0" w:right="0" w:hanging="0"/>
        <w:jc w:val="center"/>
        <w:rPr>
          <w:rFonts w:ascii="Times New Roman;Times;serif" w:hAnsi="Times New Roman;Times;serif"/>
          <w:b/>
          <w:sz w:val="28"/>
        </w:rPr>
      </w:pPr>
      <w:r>
        <w:rPr>
          <w:rFonts w:ascii="Times New Roman;Times;serif" w:hAnsi="Times New Roman;Times;serif"/>
          <w:b/>
          <w:sz w:val="28"/>
        </w:rPr>
        <w:t>LATHAM GROUP,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center"/>
        <w:rPr/>
      </w:pPr>
      <w:r>
        <w:rPr/>
        <w:t>​</w:t>
      </w:r>
    </w:p>
    <w:p>
      <w:pPr>
        <w:pStyle w:val="Normal"/>
        <w:bidi w:val="0"/>
        <w:spacing w:before="0" w:after="0"/>
        <w:ind w:left="0" w:right="0" w:hanging="0"/>
        <w:jc w:val="left"/>
        <w:rPr>
          <w:sz w:val="4"/>
          <w:szCs w:val="4"/>
        </w:rPr>
      </w:pPr>
      <w:r>
        <w:rPr>
          <w:sz w:val="4"/>
          <w:szCs w:val="4"/>
        </w:rPr>
      </w:r>
      <w:bookmarkStart w:id="11" w:name="Tc_T21PowLL7kWSpU5IWbZ_4g_5_2"/>
      <w:bookmarkStart w:id="12" w:name="Tc_tKH-n6yEyEmGgz-4C3ds2Q_5_0"/>
      <w:bookmarkStart w:id="13" w:name="Tc_cReCDjdHkkirfrO6aJt9-Q_4_0"/>
      <w:bookmarkStart w:id="14" w:name="Tc_770z6cQIv0Cbgeh-5gg1Lg_2_2"/>
      <w:bookmarkStart w:id="15" w:name="Tc_TvYrv9MifEKSID5GL0B6sg_2_0"/>
      <w:bookmarkStart w:id="16" w:name="_56192867_2e07_419f_b568_51469b8a1e9c"/>
      <w:bookmarkStart w:id="17" w:name="Tc_T21PowLL7kWSpU5IWbZ_4g_5_2"/>
      <w:bookmarkStart w:id="18" w:name="Tc_tKH-n6yEyEmGgz-4C3ds2Q_5_0"/>
      <w:bookmarkStart w:id="19" w:name="Tc_cReCDjdHkkirfrO6aJt9-Q_4_0"/>
      <w:bookmarkStart w:id="20" w:name="Tc_770z6cQIv0Cbgeh-5gg1Lg_2_2"/>
      <w:bookmarkStart w:id="21" w:name="Tc_TvYrv9MifEKSID5GL0B6sg_2_0"/>
      <w:bookmarkStart w:id="22" w:name="_56192867_2e07_419f_b568_51469b8a1e9c"/>
      <w:bookmarkEnd w:id="17"/>
      <w:bookmarkEnd w:id="18"/>
      <w:bookmarkEnd w:id="19"/>
      <w:bookmarkEnd w:id="20"/>
      <w:bookmarkEnd w:id="21"/>
      <w:bookmarkEnd w:id="22"/>
    </w:p>
    <w:tbl>
      <w:tblPr>
        <w:tblW w:w="6193" w:type="dxa"/>
        <w:jc w:val="left"/>
        <w:tblInd w:w="0" w:type="dxa"/>
        <w:tblLayout w:type="fixed"/>
        <w:tblCellMar>
          <w:top w:w="0" w:type="dxa"/>
          <w:left w:w="0" w:type="dxa"/>
          <w:bottom w:w="0" w:type="dxa"/>
          <w:right w:w="0" w:type="dxa"/>
        </w:tblCellMar>
      </w:tblPr>
      <w:tblGrid>
        <w:gridCol w:w="3196"/>
        <w:gridCol w:w="326"/>
        <w:gridCol w:w="2671"/>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2671" w:type="dxa"/>
            <w:tcBorders/>
            <w:vAlign w:val="center"/>
          </w:tcPr>
          <w:p>
            <w:pPr>
              <w:pStyle w:val="TableContents"/>
              <w:bidi w:val="0"/>
              <w:spacing w:before="0" w:after="283"/>
              <w:ind w:left="0" w:right="0" w:hanging="0"/>
              <w:jc w:val="left"/>
              <w:rPr>
                <w:sz w:val="4"/>
                <w:szCs w:val="4"/>
              </w:rPr>
            </w:pPr>
            <w:r>
              <w:rPr>
                <w:sz w:val="4"/>
                <w:szCs w:val="4"/>
              </w:rPr>
            </w:r>
          </w:p>
        </w:tc>
      </w:tr>
      <w:tr>
        <w:trPr/>
        <w:tc>
          <w:tcPr>
            <w:tcW w:w="31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6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83-2797583</w:t>
            </w:r>
          </w:p>
        </w:tc>
      </w:tr>
      <w:tr>
        <w:trPr/>
        <w:tc>
          <w:tcPr>
            <w:tcW w:w="3196" w:type="dxa"/>
            <w:tcBorders>
              <w:top w:val="single" w:sz="2" w:space="0" w:color="000000"/>
            </w:tcBorders>
            <w:tcMar>
              <w:top w:w="28" w:type="dxa"/>
            </w:tcMar>
            <w:vAlign w:val="center"/>
          </w:tcPr>
          <w:p>
            <w:pPr>
              <w:pStyle w:val="TableContents"/>
              <w:bidi w:val="0"/>
              <w:spacing w:before="4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br/>
              <w:t>incorporation or organization)</w:t>
            </w:r>
          </w:p>
        </w:tc>
        <w:tc>
          <w:tcPr>
            <w:tcW w:w="326" w:type="dxa"/>
            <w:tcBorders/>
            <w:vAlign w:val="center"/>
          </w:tcPr>
          <w:p>
            <w:pPr>
              <w:pStyle w:val="TableContents"/>
              <w:bidi w:val="0"/>
              <w:spacing w:before="40" w:after="0"/>
              <w:ind w:left="0" w:right="0" w:hanging="0"/>
              <w:jc w:val="left"/>
              <w:rPr/>
            </w:pPr>
            <w:r>
              <w:rPr/>
              <w:t>​</w:t>
            </w:r>
          </w:p>
        </w:tc>
        <w:tc>
          <w:tcPr>
            <w:tcW w:w="2671" w:type="dxa"/>
            <w:tcBorders>
              <w:top w:val="single" w:sz="2" w:space="0" w:color="000000"/>
            </w:tcBorders>
            <w:tcMar>
              <w:top w:w="28" w:type="dxa"/>
            </w:tcMar>
            <w:vAlign w:val="center"/>
          </w:tcPr>
          <w:p>
            <w:pPr>
              <w:pStyle w:val="TableContents"/>
              <w:bidi w:val="0"/>
              <w:spacing w:before="4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r>
        <w:trPr/>
        <w:tc>
          <w:tcPr>
            <w:tcW w:w="3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left"/>
              <w:rPr/>
            </w:pPr>
            <w:r>
              <w:rPr/>
              <w:t>​</w:t>
            </w:r>
          </w:p>
        </w:tc>
      </w:tr>
      <w:tr>
        <w:trPr/>
        <w:tc>
          <w:tcPr>
            <w:tcW w:w="31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787 Watervliet Shaker Road, Latham, NY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6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12110</w:t>
            </w:r>
          </w:p>
        </w:tc>
      </w:tr>
      <w:tr>
        <w:trPr/>
        <w:tc>
          <w:tcPr>
            <w:tcW w:w="31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326" w:type="dxa"/>
            <w:tcBorders/>
            <w:vAlign w:val="center"/>
          </w:tcPr>
          <w:p>
            <w:pPr>
              <w:pStyle w:val="TableContents"/>
              <w:bidi w:val="0"/>
              <w:spacing w:before="0" w:after="0"/>
              <w:ind w:left="0" w:right="0" w:hanging="0"/>
              <w:jc w:val="left"/>
              <w:rPr/>
            </w:pPr>
            <w:r>
              <w:rPr/>
              <w:t>​</w:t>
            </w:r>
          </w:p>
        </w:tc>
        <w:tc>
          <w:tcPr>
            <w:tcW w:w="26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(800) 833-3800</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(Former name, former address and former fiscal year, if changed since last report)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3" w:name="Tc_fG5gdh3_PUyWQH8MtHzB9A_2_2"/>
      <w:bookmarkStart w:id="24" w:name="Tc_Xv52hrtaH0uWriu0JqtwvQ_1_2"/>
      <w:bookmarkStart w:id="25" w:name="Tc_BtWVjvQtr0-UklVORe2UGQ_1_1"/>
      <w:bookmarkStart w:id="26" w:name="Tc_JVKoQScQWEWfRAs5fKOeqQ_1_0"/>
      <w:bookmarkStart w:id="27" w:name="_e6383762_7257_4173_a910_d3e6acefd205"/>
      <w:bookmarkStart w:id="28" w:name="Tc_fG5gdh3_PUyWQH8MtHzB9A_2_2"/>
      <w:bookmarkStart w:id="29" w:name="Tc_Xv52hrtaH0uWriu0JqtwvQ_1_2"/>
      <w:bookmarkStart w:id="30" w:name="Tc_BtWVjvQtr0-UklVORe2UGQ_1_1"/>
      <w:bookmarkStart w:id="31" w:name="Tc_JVKoQScQWEWfRAs5fKOeqQ_1_0"/>
      <w:bookmarkStart w:id="32" w:name="_e6383762_7257_4173_a910_d3e6acefd205"/>
      <w:bookmarkEnd w:id="28"/>
      <w:bookmarkEnd w:id="29"/>
      <w:bookmarkEnd w:id="30"/>
      <w:bookmarkEnd w:id="31"/>
      <w:bookmarkEnd w:id="32"/>
    </w:p>
    <w:tbl>
      <w:tblPr>
        <w:tblW w:w="6003" w:type="dxa"/>
        <w:jc w:val="left"/>
        <w:tblInd w:w="0" w:type="dxa"/>
        <w:tblLayout w:type="fixed"/>
        <w:tblCellMar>
          <w:top w:w="0" w:type="dxa"/>
          <w:left w:w="0" w:type="dxa"/>
          <w:bottom w:w="0" w:type="dxa"/>
          <w:right w:w="0" w:type="dxa"/>
        </w:tblCellMar>
      </w:tblPr>
      <w:tblGrid>
        <w:gridCol w:w="1351"/>
        <w:gridCol w:w="1426"/>
        <w:gridCol w:w="3226"/>
      </w:tblGrid>
      <w:tr>
        <w:trPr/>
        <w:tc>
          <w:tcPr>
            <w:tcW w:w="1351"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left"/>
              <w:rPr/>
            </w:pPr>
            <w:r>
              <w:rPr/>
              <w:t>​</w:t>
            </w:r>
          </w:p>
        </w:tc>
        <w:tc>
          <w:tcPr>
            <w:tcW w:w="3226" w:type="dxa"/>
            <w:tcBorders/>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Title of each class</w:t>
            </w:r>
          </w:p>
        </w:tc>
        <w:tc>
          <w:tcPr>
            <w:tcW w:w="142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Trading Symbol(s)</w:t>
            </w:r>
          </w:p>
        </w:tc>
        <w:tc>
          <w:tcPr>
            <w:tcW w:w="322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Name of each exchange on which registered</w:t>
            </w:r>
          </w:p>
        </w:tc>
      </w:tr>
      <w:tr>
        <w:trPr/>
        <w:tc>
          <w:tcPr>
            <w:tcW w:w="1351"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857885" cy="350520"/>
                      <wp:effectExtent l="0" t="0" r="0" b="0"/>
                      <wp:wrapNone/>
                      <wp:docPr id="1" name="Frame1"/>
                      <a:graphic xmlns:a="http://schemas.openxmlformats.org/drawingml/2006/main">
                        <a:graphicData uri="http://schemas.microsoft.com/office/word/2010/wordprocessingShape">
                          <wps:wsp>
                            <wps:cNvSpPr txBox="1"/>
                            <wps:spPr>
                              <a:xfrm>
                                <a:off x="0" y="0"/>
                                <a:ext cx="857885" cy="35052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par value $0.0001 per share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par value $0.0001 per share</w:t>
                            </w:r>
                          </w:p>
                        </w:txbxContent>
                      </v:textbox>
                      <w10:wrap type="none"/>
                    </v:rect>
                  </w:pict>
                </mc:Fallback>
              </mc:AlternateContent>
            </w:r>
          </w:p>
        </w:tc>
        <w:tc>
          <w:tcPr>
            <w:tcW w:w="1426"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05510" cy="116840"/>
                      <wp:effectExtent l="0" t="0" r="0" b="0"/>
                      <wp:wrapNone/>
                      <wp:docPr id="2" name="Frame2"/>
                      <a:graphic xmlns:a="http://schemas.openxmlformats.org/drawingml/2006/main">
                        <a:graphicData uri="http://schemas.microsoft.com/office/word/2010/wordprocessingShape">
                          <wps:wsp>
                            <wps:cNvSpPr txBox="1"/>
                            <wps:spPr>
                              <a:xfrm>
                                <a:off x="0" y="0"/>
                                <a:ext cx="905510" cy="11684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SWIM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SWIM</w:t>
                            </w:r>
                          </w:p>
                        </w:txbxContent>
                      </v:textbox>
                      <w10:wrap type="none"/>
                    </v:rect>
                  </w:pict>
                </mc:Fallback>
              </mc:AlternateContent>
            </w:r>
          </w:p>
        </w:tc>
        <w:tc>
          <w:tcPr>
            <w:tcW w:w="3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48510" cy="146685"/>
                      <wp:effectExtent l="0" t="0" r="0" b="0"/>
                      <wp:wrapNone/>
                      <wp:docPr id="3" name="Frame3"/>
                      <a:graphic xmlns:a="http://schemas.openxmlformats.org/drawingml/2006/main">
                        <a:graphicData uri="http://schemas.microsoft.com/office/word/2010/wordprocessingShape">
                          <wps:wsp>
                            <wps:cNvSpPr txBox="1"/>
                            <wps:spPr>
                              <a:xfrm>
                                <a:off x="0" y="0"/>
                                <a:ext cx="2048510" cy="14668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The Nasdaq</w:t>
                                  </w:r>
                                  <w:r>
                                    <w:rPr>
                                      <w:rFonts w:ascii="Times New Roman;Times;serif" w:hAnsi="Times New Roman;Times;serif"/>
                                      <w:sz w:val="20"/>
                                    </w:rPr>
                                    <w:t xml:space="preserve"> </w:t>
                                  </w:r>
                                  <w:r>
                                    <w:rPr>
                                      <w:rFonts w:ascii="Times New Roman;Times;serif" w:hAnsi="Times New Roman;Times;serif"/>
                                      <w:b/>
                                      <w:sz w:val="16"/>
                                    </w:rPr>
                                    <w:t>Stock Market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The Nasdaq</w:t>
                            </w:r>
                            <w:r>
                              <w:rPr>
                                <w:rFonts w:ascii="Times New Roman;Times;serif" w:hAnsi="Times New Roman;Times;serif"/>
                                <w:sz w:val="20"/>
                              </w:rPr>
                              <w:t xml:space="preserve"> </w:t>
                            </w:r>
                            <w:r>
                              <w:rPr>
                                <w:rFonts w:ascii="Times New Roman;Times;serif" w:hAnsi="Times New Roman;Times;serif"/>
                                <w:b/>
                                <w:sz w:val="16"/>
                              </w:rPr>
                              <w:t>Stock Market LLC</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3" w:name="Tc_BAtLz9dQUECTrS7BoFDY3A_1_8"/>
      <w:bookmarkStart w:id="34" w:name="Tc_IEUcQ6kFHUme8sAlCvUeOg_1_6"/>
      <w:bookmarkStart w:id="35" w:name="Tc_Qce38_PQs0eL7qMECfxOWg_1_5"/>
      <w:bookmarkStart w:id="36" w:name="Tc_XhHQya1120ax9QCPp8-qRw_1_4"/>
      <w:bookmarkStart w:id="37" w:name="Tc_pm6QsqKk00uxyH5mYMzF9g_1_3"/>
      <w:bookmarkStart w:id="38" w:name="Tc_Xm3mIUFTL0SFR_CMfccTuQ_1_1"/>
      <w:bookmarkStart w:id="39" w:name="Tc_N3H-DQULpEGKP30zK5Vmdw_1_0"/>
      <w:bookmarkStart w:id="40" w:name="_aca45e85_43a0_4d88_abc6_5e9a5e11903b"/>
      <w:bookmarkStart w:id="41" w:name="Tc_BAtLz9dQUECTrS7BoFDY3A_1_8"/>
      <w:bookmarkStart w:id="42" w:name="Tc_IEUcQ6kFHUme8sAlCvUeOg_1_6"/>
      <w:bookmarkStart w:id="43" w:name="Tc_Qce38_PQs0eL7qMECfxOWg_1_5"/>
      <w:bookmarkStart w:id="44" w:name="Tc_XhHQya1120ax9QCPp8-qRw_1_4"/>
      <w:bookmarkStart w:id="45" w:name="Tc_pm6QsqKk00uxyH5mYMzF9g_1_3"/>
      <w:bookmarkStart w:id="46" w:name="Tc_Xm3mIUFTL0SFR_CMfccTuQ_1_1"/>
      <w:bookmarkStart w:id="47" w:name="Tc_N3H-DQULpEGKP30zK5Vmdw_1_0"/>
      <w:bookmarkStart w:id="48" w:name="_aca45e85_43a0_4d88_abc6_5e9a5e11903b"/>
      <w:bookmarkEnd w:id="41"/>
      <w:bookmarkEnd w:id="42"/>
      <w:bookmarkEnd w:id="43"/>
      <w:bookmarkEnd w:id="44"/>
      <w:bookmarkEnd w:id="45"/>
      <w:bookmarkEnd w:id="46"/>
      <w:bookmarkEnd w:id="47"/>
      <w:bookmarkEnd w:id="48"/>
    </w:p>
    <w:tbl>
      <w:tblPr>
        <w:tblW w:w="10135" w:type="dxa"/>
        <w:jc w:val="left"/>
        <w:tblInd w:w="0" w:type="dxa"/>
        <w:tblLayout w:type="fixed"/>
        <w:tblCellMar>
          <w:top w:w="0" w:type="dxa"/>
          <w:left w:w="0" w:type="dxa"/>
          <w:bottom w:w="0" w:type="dxa"/>
          <w:right w:w="0" w:type="dxa"/>
        </w:tblCellMar>
      </w:tblPr>
      <w:tblGrid>
        <w:gridCol w:w="1666"/>
        <w:gridCol w:w="316"/>
        <w:gridCol w:w="1246"/>
        <w:gridCol w:w="316"/>
        <w:gridCol w:w="1561"/>
        <w:gridCol w:w="316"/>
        <w:gridCol w:w="2011"/>
        <w:gridCol w:w="316"/>
        <w:gridCol w:w="2026"/>
        <w:gridCol w:w="361"/>
      </w:tblGrid>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1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6"/>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 of November 3, 2023, 114,755,945 shares of the registrant’s common stock, $0.0001 par value, were outstanding.</w:t>
      </w:r>
    </w:p>
    <w:p>
      <w:pPr>
        <w:pStyle w:val="TextBody"/>
        <w:bidi w:val="0"/>
        <w:spacing w:before="0" w:after="240"/>
        <w:ind w:left="0" w:right="0" w:firstLine="360"/>
        <w:jc w:val="left"/>
        <w:rPr/>
      </w:pPr>
      <w:r>
        <w:rPr/>
        <w:t>​</w:t>
      </w:r>
    </w:p>
    <w:p>
      <w:pPr>
        <w:pStyle w:val="TextBody"/>
        <w:pBdr>
          <w:top w:val="single" w:sz="2" w:space="1" w:color="000000"/>
          <w:bottom w:val="single" w:sz="24" w:space="1" w:color="000000"/>
        </w:pBdr>
        <w:bidi w:val="0"/>
        <w:spacing w:lineRule="atLeast" w:line="142"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center"/>
        <w:rPr>
          <w:rFonts w:ascii="Times New Roman;Times;serif" w:hAnsi="Times New Roman;Times;serif"/>
          <w:b/>
          <w:sz w:val="20"/>
        </w:rPr>
      </w:pPr>
      <w:bookmarkStart w:id="49" w:name="_e5913a88_9f4f_487e_a2b1_89b3d2e6152a"/>
      <w:bookmarkStart w:id="50" w:name="TOC"/>
      <w:bookmarkEnd w:id="49"/>
      <w:bookmarkEnd w:id="50"/>
      <w:r>
        <w:rPr>
          <w:rFonts w:ascii="Times New Roman;Times;serif" w:hAnsi="Times New Roman;Times;serif"/>
          <w:b/>
          <w:sz w:val="20"/>
        </w:rPr>
        <w:t>TABLE OF CONTENTS</w:t>
      </w:r>
    </w:p>
    <w:tbl>
      <w:tblPr>
        <w:tblW w:w="8676" w:type="dxa"/>
        <w:jc w:val="left"/>
        <w:tblInd w:w="0" w:type="dxa"/>
        <w:tblLayout w:type="fixed"/>
        <w:tblCellMar>
          <w:top w:w="0" w:type="dxa"/>
          <w:left w:w="0" w:type="dxa"/>
          <w:bottom w:w="0" w:type="dxa"/>
          <w:right w:w="0" w:type="dxa"/>
        </w:tblCellMar>
      </w:tblPr>
      <w:tblGrid>
        <w:gridCol w:w="8206"/>
        <w:gridCol w:w="109"/>
        <w:gridCol w:w="361"/>
      </w:tblGrid>
      <w:tr>
        <w:trPr/>
        <w:tc>
          <w:tcPr>
            <w:tcW w:w="8206" w:type="dxa"/>
            <w:tcBorders/>
            <w:shd w:fill="CCEEFF" w:val="clear"/>
            <w:vAlign w:val="center"/>
          </w:tcPr>
          <w:p>
            <w:pPr>
              <w:pStyle w:val="TableContents"/>
              <w:bidi w:val="0"/>
              <w:spacing w:before="0" w:after="0"/>
              <w:ind w:left="0" w:right="0" w:hanging="0"/>
              <w:jc w:val="left"/>
              <w:rPr/>
            </w:pPr>
            <w:hyperlink w:anchor="PARTIFINANCIALINFORMATION_382427">
              <w:r>
                <w:rPr>
                  <w:rStyle w:val="InternetLink"/>
                  <w:rFonts w:ascii="Times New Roman;Times;serif" w:hAnsi="Times New Roman;Times;serif"/>
                  <w:b/>
                  <w:i w:val="false"/>
                  <w:caps w:val="false"/>
                  <w:smallCaps w:val="false"/>
                  <w:sz w:val="20"/>
                </w:rPr>
                <w:t>PART I — FINANCIAL INFORMATION</w:t>
              </w:r>
            </w:hyperlink>
          </w:p>
        </w:tc>
        <w:tc>
          <w:tcPr>
            <w:tcW w:w="109"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206" w:type="dxa"/>
            <w:tcBorders/>
            <w:vAlign w:val="center"/>
          </w:tcPr>
          <w:p>
            <w:pPr>
              <w:pStyle w:val="TableContents"/>
              <w:bidi w:val="0"/>
              <w:spacing w:before="0" w:after="0"/>
              <w:ind w:left="0" w:right="0" w:hanging="0"/>
              <w:jc w:val="left"/>
              <w:rPr/>
            </w:pPr>
            <w:hyperlink w:anchor="Item1FinancialStatements_39771">
              <w:r>
                <w:rPr>
                  <w:rStyle w:val="InternetLink"/>
                  <w:rFonts w:ascii="Times New Roman;Times;serif" w:hAnsi="Times New Roman;Times;serif"/>
                  <w:b/>
                  <w:i w:val="false"/>
                  <w:caps w:val="false"/>
                  <w:smallCaps w:val="false"/>
                  <w:sz w:val="20"/>
                </w:rPr>
                <w:t>Item 1. Financial Statements</w:t>
              </w:r>
            </w:hyperlink>
          </w:p>
        </w:tc>
        <w:tc>
          <w:tcPr>
            <w:tcW w:w="109"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206" w:type="dxa"/>
            <w:tcBorders/>
            <w:shd w:fill="CCEEFF" w:val="clear"/>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i w:val="false"/>
                  <w:caps w:val="false"/>
                  <w:smallCaps w:val="false"/>
                  <w:sz w:val="20"/>
                </w:rPr>
                <w:t>Item 2. Management’s Discussion and Analysis of Financial Condition and Results of Operations</w:t>
              </w:r>
            </w:hyperlink>
          </w:p>
        </w:tc>
        <w:tc>
          <w:tcPr>
            <w:tcW w:w="109"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8206" w:type="dxa"/>
            <w:tcBorders/>
            <w:vAlign w:val="center"/>
          </w:tcPr>
          <w:p>
            <w:pPr>
              <w:pStyle w:val="TableContents"/>
              <w:bidi w:val="0"/>
              <w:spacing w:before="0" w:after="0"/>
              <w:ind w:left="0" w:right="0" w:hanging="0"/>
              <w:jc w:val="left"/>
              <w:rPr/>
            </w:pPr>
            <w:hyperlink w:anchor="_Item_3._Quantitative">
              <w:r>
                <w:rPr>
                  <w:rStyle w:val="InternetLink"/>
                  <w:rFonts w:ascii="Times New Roman;Times;serif" w:hAnsi="Times New Roman;Times;serif"/>
                  <w:b/>
                  <w:i w:val="false"/>
                  <w:caps w:val="false"/>
                  <w:smallCaps w:val="false"/>
                  <w:sz w:val="20"/>
                </w:rPr>
                <w:t>Item 3. Quantitative and Qualitative Disclosures About Market Risk</w:t>
              </w:r>
            </w:hyperlink>
          </w:p>
        </w:tc>
        <w:tc>
          <w:tcPr>
            <w:tcW w:w="109"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8206" w:type="dxa"/>
            <w:tcBorders/>
            <w:shd w:fill="CCEEFF" w:val="clear"/>
            <w:vAlign w:val="center"/>
          </w:tcPr>
          <w:p>
            <w:pPr>
              <w:pStyle w:val="TableContents"/>
              <w:bidi w:val="0"/>
              <w:spacing w:before="0" w:after="0"/>
              <w:ind w:left="0" w:right="0" w:hanging="0"/>
              <w:jc w:val="left"/>
              <w:rPr/>
            </w:pPr>
            <w:hyperlink w:anchor="Item4ControlsandProcedures_231254">
              <w:r>
                <w:rPr>
                  <w:rStyle w:val="InternetLink"/>
                  <w:rFonts w:ascii="Times New Roman;Times;serif" w:hAnsi="Times New Roman;Times;serif"/>
                  <w:b/>
                  <w:i w:val="false"/>
                  <w:caps w:val="false"/>
                  <w:smallCaps w:val="false"/>
                  <w:sz w:val="20"/>
                </w:rPr>
                <w:t>Item 4. Controls and Procedures</w:t>
              </w:r>
            </w:hyperlink>
          </w:p>
        </w:tc>
        <w:tc>
          <w:tcPr>
            <w:tcW w:w="109"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8206" w:type="dxa"/>
            <w:tcBorders/>
            <w:vAlign w:val="center"/>
          </w:tcPr>
          <w:p>
            <w:pPr>
              <w:pStyle w:val="TableContents"/>
              <w:bidi w:val="0"/>
              <w:spacing w:before="0" w:after="0"/>
              <w:ind w:left="0" w:right="0" w:hanging="0"/>
              <w:jc w:val="left"/>
              <w:rPr/>
            </w:pPr>
            <w:hyperlink w:anchor="PARTIIOTHERINFORMATION_817159">
              <w:r>
                <w:rPr>
                  <w:rStyle w:val="InternetLink"/>
                  <w:rFonts w:ascii="Times New Roman;Times;serif" w:hAnsi="Times New Roman;Times;serif"/>
                  <w:b/>
                  <w:i w:val="false"/>
                  <w:caps w:val="false"/>
                  <w:smallCaps w:val="false"/>
                  <w:sz w:val="20"/>
                </w:rPr>
                <w:t>PART II — OTHER INFORMATION</w:t>
              </w:r>
            </w:hyperlink>
          </w:p>
        </w:tc>
        <w:tc>
          <w:tcPr>
            <w:tcW w:w="109"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206" w:type="dxa"/>
            <w:tcBorders/>
            <w:shd w:fill="CCEEFF" w:val="clear"/>
            <w:vAlign w:val="center"/>
          </w:tcPr>
          <w:p>
            <w:pPr>
              <w:pStyle w:val="TableContents"/>
              <w:bidi w:val="0"/>
              <w:spacing w:before="0" w:after="0"/>
              <w:ind w:left="0" w:right="0" w:hanging="0"/>
              <w:jc w:val="left"/>
              <w:rPr/>
            </w:pPr>
            <w:hyperlink w:anchor="_Item_1._Legal">
              <w:r>
                <w:rPr>
                  <w:rStyle w:val="InternetLink"/>
                  <w:rFonts w:ascii="Times New Roman;Times;serif" w:hAnsi="Times New Roman;Times;serif"/>
                  <w:b/>
                  <w:i w:val="false"/>
                  <w:caps w:val="false"/>
                  <w:smallCaps w:val="false"/>
                  <w:sz w:val="20"/>
                </w:rPr>
                <w:t>Item 1. Legal Proceedings</w:t>
              </w:r>
            </w:hyperlink>
          </w:p>
        </w:tc>
        <w:tc>
          <w:tcPr>
            <w:tcW w:w="109"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206" w:type="dxa"/>
            <w:tcBorders/>
            <w:vAlign w:val="center"/>
          </w:tcPr>
          <w:p>
            <w:pPr>
              <w:pStyle w:val="TableContents"/>
              <w:bidi w:val="0"/>
              <w:spacing w:before="0" w:after="0"/>
              <w:ind w:left="0" w:right="0" w:hanging="0"/>
              <w:jc w:val="left"/>
              <w:rPr/>
            </w:pPr>
            <w:hyperlink w:anchor="Item1ARiskFactors_762234">
              <w:r>
                <w:rPr>
                  <w:rStyle w:val="InternetLink"/>
                  <w:rFonts w:ascii="Times New Roman;Times;serif" w:hAnsi="Times New Roman;Times;serif"/>
                  <w:b/>
                  <w:i w:val="false"/>
                  <w:caps w:val="false"/>
                  <w:smallCaps w:val="false"/>
                  <w:sz w:val="20"/>
                </w:rPr>
                <w:t>Item 1A. Risk Factors</w:t>
              </w:r>
            </w:hyperlink>
          </w:p>
        </w:tc>
        <w:tc>
          <w:tcPr>
            <w:tcW w:w="109"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206" w:type="dxa"/>
            <w:tcBorders/>
            <w:shd w:fill="CCEEFF" w:val="clear"/>
            <w:vAlign w:val="center"/>
          </w:tcPr>
          <w:p>
            <w:pPr>
              <w:pStyle w:val="TableContents"/>
              <w:bidi w:val="0"/>
              <w:spacing w:before="0" w:after="0"/>
              <w:ind w:left="0" w:right="0" w:hanging="0"/>
              <w:jc w:val="left"/>
              <w:rPr/>
            </w:pPr>
            <w:hyperlink w:anchor="_Item_2._Unregistered">
              <w:r>
                <w:rPr>
                  <w:rStyle w:val="InternetLink"/>
                  <w:rFonts w:ascii="Times New Roman;Times;serif" w:hAnsi="Times New Roman;Times;serif"/>
                  <w:b/>
                  <w:i w:val="false"/>
                  <w:caps w:val="false"/>
                  <w:smallCaps w:val="false"/>
                  <w:sz w:val="20"/>
                </w:rPr>
                <w:t>Item 2. Unregistered Sales of Equity Securities and Use of Proceeds</w:t>
              </w:r>
            </w:hyperlink>
          </w:p>
        </w:tc>
        <w:tc>
          <w:tcPr>
            <w:tcW w:w="109"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8206" w:type="dxa"/>
            <w:tcBorders/>
            <w:vAlign w:val="center"/>
          </w:tcPr>
          <w:p>
            <w:pPr>
              <w:pStyle w:val="TableContents"/>
              <w:bidi w:val="0"/>
              <w:spacing w:before="0" w:after="0"/>
              <w:ind w:left="0" w:right="0" w:hanging="0"/>
              <w:jc w:val="left"/>
              <w:rPr/>
            </w:pPr>
            <w:hyperlink w:anchor="_Item_5._Other">
              <w:r>
                <w:rPr>
                  <w:rStyle w:val="InternetLink"/>
                  <w:rFonts w:ascii="Times New Roman;Times;serif" w:hAnsi="Times New Roman;Times;serif"/>
                  <w:b/>
                  <w:i w:val="false"/>
                  <w:caps w:val="false"/>
                  <w:smallCaps w:val="false"/>
                  <w:sz w:val="20"/>
                </w:rPr>
                <w:t>Item 5. Other Information</w:t>
              </w:r>
            </w:hyperlink>
            <w:r>
              <w:rPr>
                <w:rFonts w:ascii="Times New Roman;Times;serif" w:hAnsi="Times New Roman;Times;serif"/>
                <w:sz w:val="20"/>
              </w:rPr>
              <w:t xml:space="preserve"> </w:t>
            </w:r>
          </w:p>
        </w:tc>
        <w:tc>
          <w:tcPr>
            <w:tcW w:w="109"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8206" w:type="dxa"/>
            <w:tcBorders/>
            <w:shd w:fill="CCEEFF" w:val="clear"/>
            <w:vAlign w:val="center"/>
          </w:tcPr>
          <w:p>
            <w:pPr>
              <w:pStyle w:val="TableContents"/>
              <w:bidi w:val="0"/>
              <w:spacing w:before="0" w:after="0"/>
              <w:ind w:left="0" w:right="0" w:hanging="0"/>
              <w:jc w:val="left"/>
              <w:rPr/>
            </w:pPr>
            <w:hyperlink w:anchor="Item6Exhibits_62690">
              <w:r>
                <w:rPr>
                  <w:rStyle w:val="InternetLink"/>
                  <w:rFonts w:ascii="Times New Roman;Times;serif" w:hAnsi="Times New Roman;Times;serif"/>
                  <w:b/>
                  <w:i w:val="false"/>
                  <w:caps w:val="false"/>
                  <w:smallCaps w:val="false"/>
                  <w:sz w:val="20"/>
                </w:rPr>
                <w:t>Item 6. Exhibits</w:t>
              </w:r>
            </w:hyperlink>
          </w:p>
        </w:tc>
        <w:tc>
          <w:tcPr>
            <w:tcW w:w="109"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8206" w:type="dxa"/>
            <w:tcBorders/>
            <w:vAlign w:val="center"/>
          </w:tcPr>
          <w:p>
            <w:pPr>
              <w:pStyle w:val="TableContents"/>
              <w:bidi w:val="0"/>
              <w:spacing w:before="0" w:after="0"/>
              <w:ind w:left="0" w:right="0" w:hanging="0"/>
              <w:jc w:val="left"/>
              <w:rPr/>
            </w:pPr>
            <w:hyperlink w:anchor="SIGNATURES_654110">
              <w:r>
                <w:rPr>
                  <w:rStyle w:val="InternetLink"/>
                  <w:rFonts w:ascii="Times New Roman;Times;serif" w:hAnsi="Times New Roman;Times;serif"/>
                  <w:b/>
                  <w:i w:val="false"/>
                  <w:caps w:val="false"/>
                  <w:smallCaps w:val="false"/>
                  <w:sz w:val="20"/>
                </w:rPr>
                <w:t>SIGNATURES</w:t>
              </w:r>
            </w:hyperlink>
          </w:p>
        </w:tc>
        <w:tc>
          <w:tcPr>
            <w:tcW w:w="109"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1" w:name="PARTIFINANCIALINFORMATION_382427"/>
      <w:bookmarkStart w:id="52" w:name="_04dfe77d_c322_4792_b136_d9993afbf97f"/>
      <w:bookmarkEnd w:id="51"/>
      <w:bookmarkEnd w:id="52"/>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b/>
          <w:sz w:val="20"/>
        </w:rPr>
      </w:pPr>
      <w:bookmarkStart w:id="53" w:name="Item1FinancialStatements_39771"/>
      <w:bookmarkEnd w:id="53"/>
      <w:r>
        <w:rPr>
          <w:rFonts w:ascii="Times New Roman;Times;serif" w:hAnsi="Times New Roman;Times;serif"/>
          <w:b/>
          <w:sz w:val="20"/>
        </w:rPr>
        <w:t>Item 1.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to Condensed Consolidated Financial Statements (Unaudited)</w:t>
      </w:r>
    </w:p>
    <w:tbl>
      <w:tblPr>
        <w:tblW w:w="6553" w:type="dxa"/>
        <w:jc w:val="left"/>
        <w:tblInd w:w="0" w:type="dxa"/>
        <w:tblLayout w:type="fixed"/>
        <w:tblCellMar>
          <w:top w:w="0" w:type="dxa"/>
          <w:left w:w="0" w:type="dxa"/>
          <w:bottom w:w="0" w:type="dxa"/>
          <w:right w:w="0" w:type="dxa"/>
        </w:tblCellMar>
      </w:tblPr>
      <w:tblGrid>
        <w:gridCol w:w="5866"/>
        <w:gridCol w:w="326"/>
        <w:gridCol w:w="361"/>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3724910" cy="175260"/>
                      <wp:effectExtent l="0" t="0" r="0" b="0"/>
                      <wp:wrapNone/>
                      <wp:docPr id="4" name="Frame4"/>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29235" cy="175260"/>
                      <wp:effectExtent l="0" t="0" r="0" b="0"/>
                      <wp:wrapNone/>
                      <wp:docPr id="5" name="Frame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66" w:type="dxa"/>
            <w:tcBorders/>
            <w:shd w:fill="CCEEFF" w:val="clear"/>
            <w:vAlign w:val="center"/>
          </w:tcPr>
          <w:p>
            <w:pPr>
              <w:pStyle w:val="TableContents"/>
              <w:bidi w:val="0"/>
              <w:spacing w:before="0" w:after="0"/>
              <w:ind w:left="0" w:right="0" w:hanging="0"/>
              <w:jc w:val="left"/>
              <w:rPr/>
            </w:pPr>
            <w:hyperlink w:anchor="CondensedConsolidatedBalanceSheets_25550">
              <w:r>
                <w:rPr>
                  <w:rStyle w:val="InternetLink"/>
                  <w:rFonts w:ascii="Times New Roman;Times;serif" w:hAnsi="Times New Roman;Times;serif"/>
                  <w:b w:val="false"/>
                  <w:i w:val="false"/>
                  <w:caps w:val="false"/>
                  <w:smallCaps w:val="false"/>
                  <w:sz w:val="20"/>
                </w:rPr>
                <w:t>Condensed Consolidated Balance Sheets</w:t>
              </w:r>
            </w:hyperlink>
          </w:p>
        </w:tc>
        <w:tc>
          <w:tcPr>
            <w:tcW w:w="32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5866" w:type="dxa"/>
            <w:tcBorders/>
            <w:vAlign w:val="center"/>
          </w:tcPr>
          <w:p>
            <w:pPr>
              <w:pStyle w:val="TableContents"/>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w:t>
              </w:r>
            </w:hyperlink>
          </w:p>
        </w:tc>
        <w:tc>
          <w:tcPr>
            <w:tcW w:w="32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5866" w:type="dxa"/>
            <w:tcBorders/>
            <w:shd w:fill="CCEEFF" w:val="clear"/>
            <w:vAlign w:val="center"/>
          </w:tcPr>
          <w:p>
            <w:pPr>
              <w:pStyle w:val="TableContents"/>
              <w:bidi w:val="0"/>
              <w:spacing w:before="0" w:after="0"/>
              <w:ind w:left="0" w:right="0" w:hanging="0"/>
              <w:jc w:val="left"/>
              <w:rPr/>
            </w:pPr>
            <w:hyperlink w:anchor="CondensedConsolidatedStatementsofCompreh">
              <w:r>
                <w:rPr>
                  <w:rStyle w:val="InternetLink"/>
                  <w:rFonts w:ascii="Times New Roman;Times;serif" w:hAnsi="Times New Roman;Times;serif"/>
                  <w:b w:val="false"/>
                  <w:i w:val="false"/>
                  <w:caps w:val="false"/>
                  <w:smallCaps w:val="false"/>
                  <w:sz w:val="20"/>
                </w:rPr>
                <w:t>Condensed Consolidated Statements of Comprehensive Income (Loss)</w:t>
              </w:r>
            </w:hyperlink>
            <w:r>
              <w:rPr>
                <w:rFonts w:ascii="Times New Roman;Times;serif" w:hAnsi="Times New Roman;Times;serif"/>
                <w:sz w:val="20"/>
              </w:rPr>
              <w:t xml:space="preserve"> </w:t>
            </w:r>
          </w:p>
        </w:tc>
        <w:tc>
          <w:tcPr>
            <w:tcW w:w="32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5866" w:type="dxa"/>
            <w:tcBorders/>
            <w:vAlign w:val="center"/>
          </w:tcPr>
          <w:p>
            <w:pPr>
              <w:pStyle w:val="TableContents"/>
              <w:bidi w:val="0"/>
              <w:spacing w:before="0" w:after="0"/>
              <w:ind w:left="0" w:right="0" w:hanging="0"/>
              <w:jc w:val="left"/>
              <w:rPr/>
            </w:pPr>
            <w:hyperlink w:anchor="CondensedConsolidatedStatementsofStockho">
              <w:r>
                <w:rPr>
                  <w:rStyle w:val="InternetLink"/>
                  <w:rFonts w:ascii="Times New Roman;Times;serif" w:hAnsi="Times New Roman;Times;serif"/>
                  <w:b w:val="false"/>
                  <w:i w:val="false"/>
                  <w:caps w:val="false"/>
                  <w:smallCaps w:val="false"/>
                  <w:sz w:val="20"/>
                </w:rPr>
                <w:t>Condensed Consolidated Statements of Stockholders’ Equity</w:t>
              </w:r>
            </w:hyperlink>
          </w:p>
        </w:tc>
        <w:tc>
          <w:tcPr>
            <w:tcW w:w="32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5866" w:type="dxa"/>
            <w:tcBorders/>
            <w:shd w:fill="CCEEFF" w:val="clear"/>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w:t>
              </w:r>
            </w:hyperlink>
          </w:p>
        </w:tc>
        <w:tc>
          <w:tcPr>
            <w:tcW w:w="32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5866" w:type="dxa"/>
            <w:tcBorders/>
            <w:vAlign w:val="center"/>
          </w:tcPr>
          <w:p>
            <w:pPr>
              <w:pStyle w:val="TableContents"/>
              <w:bidi w:val="0"/>
              <w:spacing w:before="0" w:after="0"/>
              <w:ind w:left="0" w:right="0" w:hanging="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32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4" w:name="_d4d26c5b_4244_4933_aba2_985b08eeecfa"/>
      <w:bookmarkEnd w:id="54"/>
      <w:r>
        <w:rPr>
          <w:rFonts w:ascii="Times New Roman;Times;serif" w:hAnsi="Times New Roman;Times;serif"/>
          <w:b/>
          <w:sz w:val="20"/>
        </w:rPr>
        <w:t>Latham Group, Inc.</w:t>
      </w:r>
    </w:p>
    <w:p>
      <w:pPr>
        <w:pStyle w:val="TextBody"/>
        <w:bidi w:val="0"/>
        <w:spacing w:before="0" w:after="0"/>
        <w:ind w:left="0" w:right="0" w:hanging="0"/>
        <w:jc w:val="center"/>
        <w:rPr>
          <w:rFonts w:ascii="Times New Roman;Times;serif" w:hAnsi="Times New Roman;Times;serif"/>
          <w:b/>
          <w:sz w:val="20"/>
        </w:rPr>
      </w:pPr>
      <w:bookmarkStart w:id="55" w:name="CondensedConsolidatedBalanceSheets_25550"/>
      <w:bookmarkEnd w:id="55"/>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6" w:name="Tc_H8tY83tvQEuqfderbPuHKQ_41_5"/>
      <w:bookmarkStart w:id="57" w:name="Tc_VxoBUMPOiE6NumeEZoLOBA_41_2"/>
      <w:bookmarkStart w:id="58" w:name="Tc_EgamBG6TJkq1v5mJ0Uv06w_41_0"/>
      <w:bookmarkStart w:id="59" w:name="Tc_aFQfnrrJAESeP-CgNt88BQ_40_0"/>
      <w:bookmarkStart w:id="60" w:name="Tc_wkLt82wyzUmJwFaAnE962A_39_0"/>
      <w:bookmarkStart w:id="61" w:name="Tc_TzflnCjemk2cXdXnq2ZZWQ_38_0"/>
      <w:bookmarkStart w:id="62" w:name="Tc_XrPUdkWiu0us8RcxJkb7XA_37_0"/>
      <w:bookmarkStart w:id="63" w:name="Tc_CF5dkcivxUyOUuk4wuR2gQ_36_0"/>
      <w:bookmarkStart w:id="64" w:name="_a176d905_4028_4275_b649_d8d6a098792b_3"/>
      <w:bookmarkStart w:id="65" w:name="_a176d905_4028_4275_b649_d8d6a098792b_2"/>
      <w:bookmarkStart w:id="66" w:name="_a176d905_4028_4275_b649_d8d6a098792b"/>
      <w:bookmarkStart w:id="67" w:name="Tc_8CRerZGxjU6z5wrIEwcZdA_35_0"/>
      <w:bookmarkStart w:id="68" w:name="Tc_3VlIZVEPOEStCzwnFc8cnA_34_0"/>
      <w:bookmarkStart w:id="69" w:name="Tc_aiRo2oOpvk2w4j8ReNJzVQ_33_0"/>
      <w:bookmarkStart w:id="70" w:name="Tc_mi7BeJglCUm9qJd5OXQowg_32_5"/>
      <w:bookmarkStart w:id="71" w:name="Tc_St91RdnLk0yGykZzkc36yg_32_2"/>
      <w:bookmarkStart w:id="72" w:name="Tc_Yf_RbkyRuUev7Je_9Njxcw_32_0"/>
      <w:bookmarkStart w:id="73" w:name="Tc_9rw0kvzx6k6D4Ah8LKR0sg_31_0"/>
      <w:bookmarkStart w:id="74" w:name="Tc_Bh1S9aDUMEOYK9C7ApWpfg_30_0"/>
      <w:bookmarkStart w:id="75" w:name="Tc_BBEurMOCGUCZ6MkOo86NHA_29_0"/>
      <w:bookmarkStart w:id="76" w:name="Tc_f5N7UFuQTE-Hw16ReQWfUA_28_0"/>
      <w:bookmarkStart w:id="77" w:name="Tc_F9XGfeS_I0eQ7OZ_GUu3ow_27_0"/>
      <w:bookmarkStart w:id="78" w:name="Tc_EmRw-wDILEqA6tmWKm0IgQ_26_0"/>
      <w:bookmarkStart w:id="79" w:name="Tc_JlivYvY-HEKR9wFBp0fvxg_25_0"/>
      <w:bookmarkStart w:id="80" w:name="Tc_H95s9mgoGUC_gdF2OzWPoQ_24_0"/>
      <w:bookmarkStart w:id="81" w:name="Tc_qWxGElCMO0C8K95RoxbgwA_23_0"/>
      <w:bookmarkStart w:id="82" w:name="Tc_52-VnZlR10uxkrprCwRnBw_22_0"/>
      <w:bookmarkStart w:id="83" w:name="Tc_6mFIQxk90EmdtrSU6EZgYQ_21_5"/>
      <w:bookmarkStart w:id="84" w:name="Tc_iI2Ci11VwU20aGatWCPU2w_21_2"/>
      <w:bookmarkStart w:id="85" w:name="Tc_awbx9Q5ytk6W4lSwxEvNhg_21_0"/>
      <w:bookmarkStart w:id="86" w:name="Tc_swcZPdHdtEuiXEjVI3vUhA_20_0"/>
      <w:bookmarkStart w:id="87" w:name="Tc_T5pJX2JZ20-HUBUqePo57w_19_0"/>
      <w:bookmarkStart w:id="88" w:name="Tc_6jf2nF02VUmTfENUsBkKYw_18_5"/>
      <w:bookmarkStart w:id="89" w:name="Tc_XrBgRDGmxkCqkS_xpS6uKg_18_2"/>
      <w:bookmarkStart w:id="90" w:name="Tc_3NQ2CBXDeUqVtH2FFY_EPQ_18_0"/>
      <w:bookmarkStart w:id="91" w:name="Tc_u44a8Lmg1keE5zb8ZGMV0Q_17_0"/>
      <w:bookmarkStart w:id="92" w:name="Tc_Ay8OoPiFIUeEn9O4nS4uBg_16_0"/>
      <w:bookmarkStart w:id="93" w:name="Tc_IB79fHzo6EqkkI6LpcuwJg_15_0"/>
      <w:bookmarkStart w:id="94" w:name="Tc_rER982I8skW6yv_o8HQgTA_14_0"/>
      <w:bookmarkStart w:id="95" w:name="Tc_YGHRhuHOGU2ezLEXbVybFw_13_0"/>
      <w:bookmarkStart w:id="96" w:name="Tc_FHYwvmxFM0uvZubvAVhwGQ_12_0"/>
      <w:bookmarkStart w:id="97" w:name="Tc_vGHozQuLLEWEREfHIU6ZWw_11_0"/>
      <w:bookmarkStart w:id="98" w:name="Tc_8H4E6G6AgEyS8Gjq5NL6ig_10_0"/>
      <w:bookmarkStart w:id="99" w:name="Tc_DL1CWNZQRE24oX2EXHa-Hg_9_0"/>
      <w:bookmarkStart w:id="100" w:name="Tc_Vg9DG8jwykK3PjAFObbt2Q_8_0"/>
      <w:bookmarkStart w:id="101" w:name="Tc_vGEDoMGWOkSiGbQY0zGmAg_7_0"/>
      <w:bookmarkStart w:id="102" w:name="Tc_UE6uL6_56E-BY72M40Bjeg_6_0"/>
      <w:bookmarkStart w:id="103" w:name="Tc_mKxBv88spU62nzRDTEE10Q_5_5"/>
      <w:bookmarkStart w:id="104" w:name="Tc_4o_MqE2Nf0C-xBcABiN8fA_5_2"/>
      <w:bookmarkStart w:id="105" w:name="Tc_TkAPYOuOM0-WNpJzWFIsRA_5_0"/>
      <w:bookmarkStart w:id="106" w:name="Tc_YWXssUXYc0e8vr1169ipZA_4_0"/>
      <w:bookmarkStart w:id="107" w:name="Tc_TbvOESf4UEGpoNzRsGvvzw_3_0"/>
      <w:bookmarkStart w:id="108" w:name="Tc_F9Nqvd1IUUGblDF_pyzP1w_2_5"/>
      <w:bookmarkStart w:id="109" w:name="Tc_StQPxaYPNk-MFwm8zTeSpg_2_2"/>
      <w:bookmarkStart w:id="110" w:name="Tc_D6FTVjB3pkCLQKxR0oTVsg_1_5"/>
      <w:bookmarkStart w:id="111" w:name="Tc_9ynUV_BevkGzsSCuSK-1KA_1_2"/>
      <w:bookmarkStart w:id="112" w:name="_b705ee01_5baf_4812_b92d_33e067ab5788"/>
      <w:bookmarkStart w:id="113" w:name="Tc_H8tY83tvQEuqfderbPuHKQ_41_5"/>
      <w:bookmarkStart w:id="114" w:name="Tc_VxoBUMPOiE6NumeEZoLOBA_41_2"/>
      <w:bookmarkStart w:id="115" w:name="Tc_EgamBG6TJkq1v5mJ0Uv06w_41_0"/>
      <w:bookmarkStart w:id="116" w:name="Tc_aFQfnrrJAESeP-CgNt88BQ_40_0"/>
      <w:bookmarkStart w:id="117" w:name="Tc_wkLt82wyzUmJwFaAnE962A_39_0"/>
      <w:bookmarkStart w:id="118" w:name="Tc_TzflnCjemk2cXdXnq2ZZWQ_38_0"/>
      <w:bookmarkStart w:id="119" w:name="Tc_XrPUdkWiu0us8RcxJkb7XA_37_0"/>
      <w:bookmarkStart w:id="120" w:name="Tc_CF5dkcivxUyOUuk4wuR2gQ_36_0"/>
      <w:bookmarkStart w:id="121" w:name="_a176d905_4028_4275_b649_d8d6a098792b_3"/>
      <w:bookmarkStart w:id="122" w:name="_a176d905_4028_4275_b649_d8d6a098792b_2"/>
      <w:bookmarkStart w:id="123" w:name="_a176d905_4028_4275_b649_d8d6a098792b"/>
      <w:bookmarkStart w:id="124" w:name="Tc_8CRerZGxjU6z5wrIEwcZdA_35_0"/>
      <w:bookmarkStart w:id="125" w:name="Tc_3VlIZVEPOEStCzwnFc8cnA_34_0"/>
      <w:bookmarkStart w:id="126" w:name="Tc_aiRo2oOpvk2w4j8ReNJzVQ_33_0"/>
      <w:bookmarkStart w:id="127" w:name="Tc_mi7BeJglCUm9qJd5OXQowg_32_5"/>
      <w:bookmarkStart w:id="128" w:name="Tc_St91RdnLk0yGykZzkc36yg_32_2"/>
      <w:bookmarkStart w:id="129" w:name="Tc_Yf_RbkyRuUev7Je_9Njxcw_32_0"/>
      <w:bookmarkStart w:id="130" w:name="Tc_9rw0kvzx6k6D4Ah8LKR0sg_31_0"/>
      <w:bookmarkStart w:id="131" w:name="Tc_Bh1S9aDUMEOYK9C7ApWpfg_30_0"/>
      <w:bookmarkStart w:id="132" w:name="Tc_BBEurMOCGUCZ6MkOo86NHA_29_0"/>
      <w:bookmarkStart w:id="133" w:name="Tc_f5N7UFuQTE-Hw16ReQWfUA_28_0"/>
      <w:bookmarkStart w:id="134" w:name="Tc_F9XGfeS_I0eQ7OZ_GUu3ow_27_0"/>
      <w:bookmarkStart w:id="135" w:name="Tc_EmRw-wDILEqA6tmWKm0IgQ_26_0"/>
      <w:bookmarkStart w:id="136" w:name="Tc_JlivYvY-HEKR9wFBp0fvxg_25_0"/>
      <w:bookmarkStart w:id="137" w:name="Tc_H95s9mgoGUC_gdF2OzWPoQ_24_0"/>
      <w:bookmarkStart w:id="138" w:name="Tc_qWxGElCMO0C8K95RoxbgwA_23_0"/>
      <w:bookmarkStart w:id="139" w:name="Tc_52-VnZlR10uxkrprCwRnBw_22_0"/>
      <w:bookmarkStart w:id="140" w:name="Tc_6mFIQxk90EmdtrSU6EZgYQ_21_5"/>
      <w:bookmarkStart w:id="141" w:name="Tc_iI2Ci11VwU20aGatWCPU2w_21_2"/>
      <w:bookmarkStart w:id="142" w:name="Tc_awbx9Q5ytk6W4lSwxEvNhg_21_0"/>
      <w:bookmarkStart w:id="143" w:name="Tc_swcZPdHdtEuiXEjVI3vUhA_20_0"/>
      <w:bookmarkStart w:id="144" w:name="Tc_T5pJX2JZ20-HUBUqePo57w_19_0"/>
      <w:bookmarkStart w:id="145" w:name="Tc_6jf2nF02VUmTfENUsBkKYw_18_5"/>
      <w:bookmarkStart w:id="146" w:name="Tc_XrBgRDGmxkCqkS_xpS6uKg_18_2"/>
      <w:bookmarkStart w:id="147" w:name="Tc_3NQ2CBXDeUqVtH2FFY_EPQ_18_0"/>
      <w:bookmarkStart w:id="148" w:name="Tc_u44a8Lmg1keE5zb8ZGMV0Q_17_0"/>
      <w:bookmarkStart w:id="149" w:name="Tc_Ay8OoPiFIUeEn9O4nS4uBg_16_0"/>
      <w:bookmarkStart w:id="150" w:name="Tc_IB79fHzo6EqkkI6LpcuwJg_15_0"/>
      <w:bookmarkStart w:id="151" w:name="Tc_rER982I8skW6yv_o8HQgTA_14_0"/>
      <w:bookmarkStart w:id="152" w:name="Tc_YGHRhuHOGU2ezLEXbVybFw_13_0"/>
      <w:bookmarkStart w:id="153" w:name="Tc_FHYwvmxFM0uvZubvAVhwGQ_12_0"/>
      <w:bookmarkStart w:id="154" w:name="Tc_vGHozQuLLEWEREfHIU6ZWw_11_0"/>
      <w:bookmarkStart w:id="155" w:name="Tc_8H4E6G6AgEyS8Gjq5NL6ig_10_0"/>
      <w:bookmarkStart w:id="156" w:name="Tc_DL1CWNZQRE24oX2EXHa-Hg_9_0"/>
      <w:bookmarkStart w:id="157" w:name="Tc_Vg9DG8jwykK3PjAFObbt2Q_8_0"/>
      <w:bookmarkStart w:id="158" w:name="Tc_vGEDoMGWOkSiGbQY0zGmAg_7_0"/>
      <w:bookmarkStart w:id="159" w:name="Tc_UE6uL6_56E-BY72M40Bjeg_6_0"/>
      <w:bookmarkStart w:id="160" w:name="Tc_mKxBv88spU62nzRDTEE10Q_5_5"/>
      <w:bookmarkStart w:id="161" w:name="Tc_4o_MqE2Nf0C-xBcABiN8fA_5_2"/>
      <w:bookmarkStart w:id="162" w:name="Tc_TkAPYOuOM0-WNpJzWFIsRA_5_0"/>
      <w:bookmarkStart w:id="163" w:name="Tc_YWXssUXYc0e8vr1169ipZA_4_0"/>
      <w:bookmarkStart w:id="164" w:name="Tc_TbvOESf4UEGpoNzRsGvvzw_3_0"/>
      <w:bookmarkStart w:id="165" w:name="Tc_F9Nqvd1IUUGblDF_pyzP1w_2_5"/>
      <w:bookmarkStart w:id="166" w:name="Tc_StQPxaYPNk-MFwm8zTeSpg_2_2"/>
      <w:bookmarkStart w:id="167" w:name="Tc_D6FTVjB3pkCLQKxR0oTVsg_1_5"/>
      <w:bookmarkStart w:id="168" w:name="Tc_9ynUV_BevkGzsSCuSK-1KA_1_2"/>
      <w:bookmarkStart w:id="169" w:name="_b705ee01_5baf_4812_b92d_33e067ab5788"/>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tbl>
      <w:tblPr>
        <w:tblW w:w="10205" w:type="dxa"/>
        <w:jc w:val="left"/>
        <w:tblInd w:w="0" w:type="dxa"/>
        <w:tblLayout w:type="fixed"/>
        <w:tblCellMar>
          <w:top w:w="0" w:type="dxa"/>
          <w:left w:w="0" w:type="dxa"/>
          <w:bottom w:w="0" w:type="dxa"/>
          <w:right w:w="0" w:type="dxa"/>
        </w:tblCellMar>
      </w:tblPr>
      <w:tblGrid>
        <w:gridCol w:w="7333"/>
        <w:gridCol w:w="326"/>
        <w:gridCol w:w="220"/>
        <w:gridCol w:w="819"/>
        <w:gridCol w:w="326"/>
        <w:gridCol w:w="216"/>
        <w:gridCol w:w="808"/>
        <w:gridCol w:w="157"/>
      </w:tblGrid>
      <w:tr>
        <w:trPr/>
        <w:tc>
          <w:tcPr>
            <w:tcW w:w="7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656455" cy="175260"/>
                      <wp:effectExtent l="0" t="0" r="0" b="0"/>
                      <wp:wrapNone/>
                      <wp:docPr id="6" name="Frame6"/>
                      <a:graphic xmlns:a="http://schemas.openxmlformats.org/drawingml/2006/main">
                        <a:graphicData uri="http://schemas.microsoft.com/office/word/2010/wordprocessingShape">
                          <wps:wsp>
                            <wps:cNvSpPr txBox="1"/>
                            <wps:spPr>
                              <a:xfrm>
                                <a:off x="0" y="0"/>
                                <a:ext cx="4656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9700" cy="175260"/>
                      <wp:effectExtent l="0" t="0" r="0" b="0"/>
                      <wp:wrapNone/>
                      <wp:docPr id="8" name="Frame8"/>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20065" cy="175260"/>
                      <wp:effectExtent l="0" t="0" r="0" b="0"/>
                      <wp:wrapNone/>
                      <wp:docPr id="9" name="Frame9"/>
                      <a:graphic xmlns:a="http://schemas.openxmlformats.org/drawingml/2006/main">
                        <a:graphicData uri="http://schemas.microsoft.com/office/word/2010/wordprocessingShape">
                          <wps:wsp>
                            <wps:cNvSpPr txBox="1"/>
                            <wps:spPr>
                              <a:xfrm>
                                <a:off x="0" y="0"/>
                                <a:ext cx="520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7160" cy="175260"/>
                      <wp:effectExtent l="0" t="0" r="0" b="0"/>
                      <wp:wrapNone/>
                      <wp:docPr id="11" name="Frame11"/>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13080" cy="175260"/>
                      <wp:effectExtent l="0" t="0" r="0" b="0"/>
                      <wp:wrapNone/>
                      <wp:docPr id="12" name="Frame12"/>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99695" cy="175260"/>
                      <wp:effectExtent l="0" t="0" r="0" b="0"/>
                      <wp:wrapNone/>
                      <wp:docPr id="13" name="Frame13"/>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3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0"/>
              <w:ind w:left="0" w:right="0" w:hanging="0"/>
              <w:jc w:val="left"/>
              <w:rPr/>
            </w:pPr>
            <w:r>
              <w:rPr/>
              <w:t>​</w:t>
            </w:r>
          </w:p>
        </w:tc>
        <w:tc>
          <w:tcPr>
            <w:tcW w:w="102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157" w:type="dxa"/>
            <w:tcBorders/>
            <w:vAlign w:val="center"/>
          </w:tcPr>
          <w:p>
            <w:pPr>
              <w:pStyle w:val="TableContents"/>
              <w:bidi w:val="0"/>
              <w:spacing w:before="0" w:after="0"/>
              <w:ind w:left="0" w:right="0" w:hanging="0"/>
              <w:jc w:val="center"/>
              <w:rPr/>
            </w:pPr>
            <w:r>
              <w:rPr/>
              <w:t>​</w:t>
            </w:r>
          </w:p>
        </w:tc>
      </w:tr>
      <w:tr>
        <w:trPr/>
        <w:tc>
          <w:tcPr>
            <w:tcW w:w="73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7" w:type="dxa"/>
            <w:tcBorders/>
            <w:vAlign w:val="center"/>
          </w:tcPr>
          <w:p>
            <w:pPr>
              <w:pStyle w:val="TableContents"/>
              <w:bidi w:val="0"/>
              <w:spacing w:before="0" w:after="0"/>
              <w:ind w:left="0" w:right="0" w:hanging="0"/>
              <w:jc w:val="center"/>
              <w:rPr/>
            </w:pPr>
            <w:r>
              <w:rPr/>
              <w:t>​</w:t>
            </w:r>
          </w:p>
        </w:tc>
      </w:tr>
      <w:tr>
        <w:trPr/>
        <w:tc>
          <w:tcPr>
            <w:tcW w:w="733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right"/>
              <w:rPr/>
            </w:pPr>
            <w:r>
              <w:rPr/>
              <w:t>​</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3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right"/>
              <w:rPr/>
            </w:pPr>
            <w:r>
              <w:rPr/>
              <w:t>​</w:t>
            </w:r>
          </w:p>
        </w:tc>
      </w:tr>
      <w:tr>
        <w:trPr/>
        <w:tc>
          <w:tcPr>
            <w:tcW w:w="7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78,113</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32,626</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3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 net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72,413</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48,847</w:t>
            </w:r>
          </w:p>
        </w:tc>
        <w:tc>
          <w:tcPr>
            <w:tcW w:w="157" w:type="dxa"/>
            <w:tcBorders/>
            <w:vAlign w:val="center"/>
          </w:tcPr>
          <w:p>
            <w:pPr>
              <w:pStyle w:val="TableContents"/>
              <w:bidi w:val="0"/>
              <w:spacing w:before="0" w:after="0"/>
              <w:ind w:left="0" w:right="0" w:hanging="0"/>
              <w:jc w:val="right"/>
              <w:rPr/>
            </w:pPr>
            <w:r>
              <w:rPr/>
              <w:t>​</w:t>
            </w:r>
          </w:p>
        </w:tc>
      </w:tr>
      <w:tr>
        <w:trPr/>
        <w:tc>
          <w:tcPr>
            <w:tcW w:w="7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103,224</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165,220</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3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receivable</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3,855</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2,316</w:t>
            </w:r>
          </w:p>
        </w:tc>
        <w:tc>
          <w:tcPr>
            <w:tcW w:w="157" w:type="dxa"/>
            <w:tcBorders/>
            <w:vAlign w:val="center"/>
          </w:tcPr>
          <w:p>
            <w:pPr>
              <w:pStyle w:val="TableContents"/>
              <w:bidi w:val="0"/>
              <w:spacing w:before="0" w:after="0"/>
              <w:ind w:left="0" w:right="0" w:hanging="0"/>
              <w:jc w:val="right"/>
              <w:rPr/>
            </w:pPr>
            <w:r>
              <w:rPr/>
              <w:t>​</w:t>
            </w:r>
          </w:p>
        </w:tc>
      </w:tr>
      <w:tr>
        <w:trPr/>
        <w:tc>
          <w:tcPr>
            <w:tcW w:w="7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5,973</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5,998</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3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263,578</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255,007</w:t>
            </w:r>
          </w:p>
        </w:tc>
        <w:tc>
          <w:tcPr>
            <w:tcW w:w="157" w:type="dxa"/>
            <w:tcBorders/>
            <w:vAlign w:val="center"/>
          </w:tcPr>
          <w:p>
            <w:pPr>
              <w:pStyle w:val="TableContents"/>
              <w:bidi w:val="0"/>
              <w:spacing w:before="0" w:after="0"/>
              <w:ind w:left="0" w:right="0" w:hanging="0"/>
              <w:jc w:val="right"/>
              <w:rPr/>
            </w:pPr>
            <w:r>
              <w:rPr/>
              <w:t>​</w:t>
            </w:r>
          </w:p>
        </w:tc>
      </w:tr>
      <w:tr>
        <w:trPr/>
        <w:tc>
          <w:tcPr>
            <w:tcW w:w="7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110,331</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98,184</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3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method investment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25,234</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25,095</w:t>
            </w:r>
          </w:p>
        </w:tc>
        <w:tc>
          <w:tcPr>
            <w:tcW w:w="157" w:type="dxa"/>
            <w:tcBorders/>
            <w:vAlign w:val="center"/>
          </w:tcPr>
          <w:p>
            <w:pPr>
              <w:pStyle w:val="TableContents"/>
              <w:bidi w:val="0"/>
              <w:spacing w:before="0" w:after="0"/>
              <w:ind w:left="0" w:right="0" w:hanging="0"/>
              <w:jc w:val="right"/>
              <w:rPr/>
            </w:pPr>
            <w:r>
              <w:rPr/>
              <w:t>​</w:t>
            </w:r>
          </w:p>
        </w:tc>
      </w:tr>
      <w:tr>
        <w:trPr/>
        <w:tc>
          <w:tcPr>
            <w:tcW w:w="7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7,867</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7,762</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3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31,934</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38,308</w:t>
            </w:r>
          </w:p>
        </w:tc>
        <w:tc>
          <w:tcPr>
            <w:tcW w:w="157" w:type="dxa"/>
            <w:tcBorders/>
            <w:vAlign w:val="center"/>
          </w:tcPr>
          <w:p>
            <w:pPr>
              <w:pStyle w:val="TableContents"/>
              <w:bidi w:val="0"/>
              <w:spacing w:before="0" w:after="0"/>
              <w:ind w:left="0" w:right="0" w:hanging="0"/>
              <w:jc w:val="right"/>
              <w:rPr/>
            </w:pPr>
            <w:r>
              <w:rPr/>
              <w:t>​</w:t>
            </w:r>
          </w:p>
        </w:tc>
      </w:tr>
      <w:tr>
        <w:trPr/>
        <w:tc>
          <w:tcPr>
            <w:tcW w:w="7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130,875</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131,383</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3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vAlign w:val="center"/>
          </w:tcPr>
          <w:p>
            <w:pPr>
              <w:pStyle w:val="TableContents"/>
              <w:bidi w:val="0"/>
              <w:spacing w:before="0" w:after="0"/>
              <w:ind w:left="0" w:right="0" w:hanging="0"/>
              <w:jc w:val="right"/>
              <w:rPr/>
            </w:pPr>
            <w:r>
              <w:rPr/>
              <w:t>​</w:t>
            </w:r>
          </w:p>
        </w:tc>
        <w:tc>
          <w:tcPr>
            <w:tcW w:w="220"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288,749</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309,215</w:t>
            </w:r>
          </w:p>
        </w:tc>
        <w:tc>
          <w:tcPr>
            <w:tcW w:w="157" w:type="dxa"/>
            <w:tcBorders/>
            <w:vAlign w:val="center"/>
          </w:tcPr>
          <w:p>
            <w:pPr>
              <w:pStyle w:val="TableContents"/>
              <w:bidi w:val="0"/>
              <w:spacing w:before="0" w:after="0"/>
              <w:ind w:left="0" w:right="0" w:hanging="0"/>
              <w:jc w:val="right"/>
              <w:rPr/>
            </w:pPr>
            <w:r>
              <w:rPr/>
              <w:t>​</w:t>
            </w:r>
          </w:p>
        </w:tc>
      </w:tr>
      <w:tr>
        <w:trPr/>
        <w:tc>
          <w:tcPr>
            <w:tcW w:w="7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6,917</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4,729</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3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865,485</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869,683</w:t>
            </w:r>
          </w:p>
        </w:tc>
        <w:tc>
          <w:tcPr>
            <w:tcW w:w="157" w:type="dxa"/>
            <w:tcBorders/>
            <w:vAlign w:val="center"/>
          </w:tcPr>
          <w:p>
            <w:pPr>
              <w:pStyle w:val="TableContents"/>
              <w:bidi w:val="0"/>
              <w:spacing w:before="0" w:after="0"/>
              <w:ind w:left="0" w:right="0" w:hanging="0"/>
              <w:jc w:val="right"/>
              <w:rPr/>
            </w:pPr>
            <w:r>
              <w:rPr/>
              <w:t>​</w:t>
            </w:r>
          </w:p>
        </w:tc>
      </w:tr>
      <w:tr>
        <w:trPr/>
        <w:tc>
          <w:tcPr>
            <w:tcW w:w="733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808" w:type="dxa"/>
            <w:tcBorders/>
            <w:shd w:fill="CCEEFF" w:val="clear"/>
            <w:vAlign w:val="center"/>
          </w:tcPr>
          <w:p>
            <w:pPr>
              <w:pStyle w:val="TableContents"/>
              <w:bidi w:val="0"/>
              <w:spacing w:before="0" w:after="0"/>
              <w:ind w:left="0" w:right="0" w:hanging="0"/>
              <w:jc w:val="right"/>
              <w:rPr/>
            </w:pPr>
            <w:r>
              <w:rPr/>
              <w:t>  </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3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right"/>
              <w:rPr/>
            </w:pPr>
            <w:r>
              <w:rPr/>
              <w:t>​</w:t>
            </w:r>
          </w:p>
        </w:tc>
      </w:tr>
      <w:tr>
        <w:trPr/>
        <w:tc>
          <w:tcPr>
            <w:tcW w:w="7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27,390</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25,449</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3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 related party</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157" w:type="dxa"/>
            <w:tcBorders/>
            <w:vAlign w:val="center"/>
          </w:tcPr>
          <w:p>
            <w:pPr>
              <w:pStyle w:val="TableContents"/>
              <w:bidi w:val="0"/>
              <w:spacing w:before="0" w:after="0"/>
              <w:ind w:left="0" w:right="0" w:hanging="0"/>
              <w:jc w:val="right"/>
              <w:rPr/>
            </w:pPr>
            <w:r>
              <w:rPr/>
              <w:t>​</w:t>
            </w:r>
          </w:p>
        </w:tc>
      </w:tr>
      <w:tr>
        <w:trPr/>
        <w:tc>
          <w:tcPr>
            <w:tcW w:w="7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maturities of 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3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operating lease liabilities</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6,895</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6,923</w:t>
            </w:r>
          </w:p>
        </w:tc>
        <w:tc>
          <w:tcPr>
            <w:tcW w:w="157" w:type="dxa"/>
            <w:tcBorders/>
            <w:vAlign w:val="center"/>
          </w:tcPr>
          <w:p>
            <w:pPr>
              <w:pStyle w:val="TableContents"/>
              <w:bidi w:val="0"/>
              <w:spacing w:before="0" w:after="0"/>
              <w:ind w:left="0" w:right="0" w:hanging="0"/>
              <w:jc w:val="right"/>
              <w:rPr/>
            </w:pPr>
            <w:r>
              <w:rPr/>
              <w:t>​</w:t>
            </w:r>
          </w:p>
        </w:tc>
      </w:tr>
      <w:tr>
        <w:trPr/>
        <w:tc>
          <w:tcPr>
            <w:tcW w:w="7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49,398</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50,885</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3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86,941</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86,865</w:t>
            </w:r>
          </w:p>
        </w:tc>
        <w:tc>
          <w:tcPr>
            <w:tcW w:w="157" w:type="dxa"/>
            <w:tcBorders/>
            <w:vAlign w:val="center"/>
          </w:tcPr>
          <w:p>
            <w:pPr>
              <w:pStyle w:val="TableContents"/>
              <w:bidi w:val="0"/>
              <w:spacing w:before="0" w:after="0"/>
              <w:ind w:left="0" w:right="0" w:hanging="0"/>
              <w:jc w:val="right"/>
              <w:rPr/>
            </w:pPr>
            <w:r>
              <w:rPr/>
              <w:t>​</w:t>
            </w:r>
          </w:p>
        </w:tc>
      </w:tr>
      <w:tr>
        <w:trPr/>
        <w:tc>
          <w:tcPr>
            <w:tcW w:w="7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net of discount, debt issuance costs, and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298,371</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309,631</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3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 liabilities, net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50,181</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50,181</w:t>
            </w:r>
          </w:p>
        </w:tc>
        <w:tc>
          <w:tcPr>
            <w:tcW w:w="157" w:type="dxa"/>
            <w:tcBorders/>
            <w:vAlign w:val="center"/>
          </w:tcPr>
          <w:p>
            <w:pPr>
              <w:pStyle w:val="TableContents"/>
              <w:bidi w:val="0"/>
              <w:spacing w:before="0" w:after="0"/>
              <w:ind w:left="0" w:right="0" w:hanging="0"/>
              <w:jc w:val="right"/>
              <w:rPr/>
            </w:pPr>
            <w:r>
              <w:rPr/>
              <w:t>​</w:t>
            </w:r>
          </w:p>
        </w:tc>
      </w:tr>
      <w:tr>
        <w:trPr/>
        <w:tc>
          <w:tcPr>
            <w:tcW w:w="7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Liability for uncertain tax positions</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7,503</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7,123</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3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operating lease liabilities</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26,121</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32,391</w:t>
            </w:r>
          </w:p>
        </w:tc>
        <w:tc>
          <w:tcPr>
            <w:tcW w:w="157" w:type="dxa"/>
            <w:tcBorders/>
            <w:vAlign w:val="center"/>
          </w:tcPr>
          <w:p>
            <w:pPr>
              <w:pStyle w:val="TableContents"/>
              <w:bidi w:val="0"/>
              <w:spacing w:before="0" w:after="0"/>
              <w:ind w:left="0" w:right="0" w:hanging="0"/>
              <w:jc w:val="right"/>
              <w:rPr/>
            </w:pPr>
            <w:r>
              <w:rPr/>
              <w:t>​</w:t>
            </w:r>
          </w:p>
        </w:tc>
      </w:tr>
      <w:tr>
        <w:trPr/>
        <w:tc>
          <w:tcPr>
            <w:tcW w:w="7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3,671</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3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472,788</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486,893</w:t>
            </w:r>
          </w:p>
        </w:tc>
        <w:tc>
          <w:tcPr>
            <w:tcW w:w="157" w:type="dxa"/>
            <w:tcBorders/>
            <w:vAlign w:val="center"/>
          </w:tcPr>
          <w:p>
            <w:pPr>
              <w:pStyle w:val="TableContents"/>
              <w:bidi w:val="0"/>
              <w:spacing w:before="0" w:after="0"/>
              <w:ind w:left="0" w:right="0" w:hanging="0"/>
              <w:jc w:val="right"/>
              <w:rPr/>
            </w:pPr>
            <w:r>
              <w:rPr/>
              <w:t>​</w:t>
            </w:r>
          </w:p>
        </w:tc>
      </w:tr>
      <w:tr>
        <w:trPr/>
        <w:tc>
          <w:tcPr>
            <w:tcW w:w="7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808" w:type="dxa"/>
            <w:tcBorders/>
            <w:shd w:fill="CCEEFF" w:val="clear"/>
            <w:vAlign w:val="center"/>
          </w:tcPr>
          <w:p>
            <w:pPr>
              <w:pStyle w:val="TableContents"/>
              <w:bidi w:val="0"/>
              <w:spacing w:before="0" w:after="0"/>
              <w:ind w:left="0" w:right="0" w:hanging="0"/>
              <w:jc w:val="right"/>
              <w:rPr/>
            </w:pPr>
            <w:r>
              <w:rPr/>
              <w:t>  </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3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right"/>
              <w:rPr/>
            </w:pPr>
            <w:r>
              <w:rPr/>
              <w:t>​</w:t>
            </w:r>
          </w:p>
        </w:tc>
      </w:tr>
      <w:tr>
        <w:trPr/>
        <w:tc>
          <w:tcPr>
            <w:tcW w:w="7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$0.0001 par value; 100,000,000 shares authorized as of both September 30, 2023 and December 31, 2022; no shares issued and outstanding as of both September 30, 2023 and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3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Common stock, $0.0001 par value; 900,000,000 shares authorized as of September 30, 2023 and December 31, 2022; 114,755,945 and 114,667,975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September 30, 2023 and December 31, 2022, respectively </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57" w:type="dxa"/>
            <w:tcBorders/>
            <w:vAlign w:val="center"/>
          </w:tcPr>
          <w:p>
            <w:pPr>
              <w:pStyle w:val="TableContents"/>
              <w:bidi w:val="0"/>
              <w:spacing w:before="0" w:after="0"/>
              <w:ind w:left="0" w:right="0" w:hanging="0"/>
              <w:jc w:val="right"/>
              <w:rPr/>
            </w:pPr>
            <w:r>
              <w:rPr/>
              <w:t>​</w:t>
            </w:r>
          </w:p>
        </w:tc>
      </w:tr>
      <w:tr>
        <w:trPr/>
        <w:tc>
          <w:tcPr>
            <w:tcW w:w="7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455,767</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440,880</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3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(57,068)</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(54,568)</w:t>
            </w:r>
          </w:p>
        </w:tc>
        <w:tc>
          <w:tcPr>
            <w:tcW w:w="157" w:type="dxa"/>
            <w:tcBorders/>
            <w:vAlign w:val="center"/>
          </w:tcPr>
          <w:p>
            <w:pPr>
              <w:pStyle w:val="TableContents"/>
              <w:bidi w:val="0"/>
              <w:spacing w:before="0" w:after="0"/>
              <w:ind w:left="0" w:right="0" w:hanging="0"/>
              <w:jc w:val="right"/>
              <w:rPr/>
            </w:pPr>
            <w:r>
              <w:rPr/>
              <w:t>​</w:t>
            </w:r>
          </w:p>
        </w:tc>
      </w:tr>
      <w:tr>
        <w:trPr/>
        <w:tc>
          <w:tcPr>
            <w:tcW w:w="7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(6,013)</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(3,533)</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73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392,697</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382,790</w:t>
            </w:r>
          </w:p>
        </w:tc>
        <w:tc>
          <w:tcPr>
            <w:tcW w:w="157" w:type="dxa"/>
            <w:tcBorders/>
            <w:vAlign w:val="center"/>
          </w:tcPr>
          <w:p>
            <w:pPr>
              <w:pStyle w:val="TableContents"/>
              <w:bidi w:val="0"/>
              <w:spacing w:before="0" w:after="0"/>
              <w:ind w:left="0" w:right="0" w:hanging="0"/>
              <w:jc w:val="right"/>
              <w:rPr/>
            </w:pPr>
            <w:r>
              <w:rPr/>
              <w:t>​</w:t>
            </w:r>
          </w:p>
        </w:tc>
      </w:tr>
      <w:tr>
        <w:trPr/>
        <w:tc>
          <w:tcPr>
            <w:tcW w:w="7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865,485</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869,683</w:t>
            </w:r>
          </w:p>
        </w:tc>
        <w:tc>
          <w:tcPr>
            <w:tcW w:w="157"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70" w:name="_48deb5b5_cd49_4e69_bb95_07e2c90c420e"/>
      <w:bookmarkEnd w:id="170"/>
      <w:r>
        <w:rPr>
          <w:rFonts w:ascii="Times New Roman;Times;serif" w:hAnsi="Times New Roman;Times;serif"/>
          <w:b/>
          <w:sz w:val="20"/>
        </w:rPr>
        <w:t>Latham Group, Inc.</w:t>
      </w:r>
    </w:p>
    <w:p>
      <w:pPr>
        <w:pStyle w:val="TextBody"/>
        <w:bidi w:val="0"/>
        <w:spacing w:before="0" w:after="0"/>
        <w:ind w:left="0" w:right="0" w:hanging="0"/>
        <w:jc w:val="center"/>
        <w:rPr>
          <w:rFonts w:ascii="Times New Roman;Times;serif" w:hAnsi="Times New Roman;Times;serif"/>
          <w:b/>
          <w:sz w:val="20"/>
        </w:rPr>
      </w:pPr>
      <w:bookmarkStart w:id="171" w:name="CondensedConsolidatedStatementsofOperati"/>
      <w:bookmarkEnd w:id="171"/>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72" w:name="Tc_yqtIBzIQTE6wcTPNVxktNQ_24_0"/>
      <w:bookmarkStart w:id="173" w:name="Tc_p5Ee1ycJF0CzS5F9YWc3rA_23_0"/>
      <w:bookmarkStart w:id="174" w:name="Tc_kS-bLv-7QE2hWzLEuUeYAA_22_0"/>
      <w:bookmarkStart w:id="175" w:name="Tc_XYFwPp1RBEyS6deMTyP-Hg_21_11"/>
      <w:bookmarkStart w:id="176" w:name="Tc_O_WbaJUgA0WkheMGY1iZ0Q_21_8"/>
      <w:bookmarkStart w:id="177" w:name="Tc_DiyFCJYs_06eYbL4wygTEA_21_5"/>
      <w:bookmarkStart w:id="178" w:name="Tc_3Oaq87YhDkW0zvimjCId3Q_21_2"/>
      <w:bookmarkStart w:id="179" w:name="Tc_ZYHwJpwmX0KPLeOwyRPVWQ_21_0"/>
      <w:bookmarkStart w:id="180" w:name="Tc_jEm3fTqhA023v14YLH68OQ_20_11"/>
      <w:bookmarkStart w:id="181" w:name="Tc_QReuRlhuzka6T2gaLhyiSA_20_8"/>
      <w:bookmarkStart w:id="182" w:name="Tc_KUqKL1Md0kSebCgHn1rQEw_20_5"/>
      <w:bookmarkStart w:id="183" w:name="Tc__C66P78-gUW8DgByV3zJrw_20_2"/>
      <w:bookmarkStart w:id="184" w:name="Tc_iiVcZ_PmMUGYKibJjeGH2A_20_0"/>
      <w:bookmarkStart w:id="185" w:name="Tc_kXl7_cLAukqIA6bd8-x_4g_19_0"/>
      <w:bookmarkStart w:id="186" w:name="Tc_vQpejv1MMEaomCDuQgWUXQ_18_11"/>
      <w:bookmarkStart w:id="187" w:name="Tc_cLj-LXXN3kWXZrb7Z1_DJQ_18_8"/>
      <w:bookmarkStart w:id="188" w:name="Tc_jatnQVYf_kefejPFfN5A6Q_18_5"/>
      <w:bookmarkStart w:id="189" w:name="Tc_2DO-CwyIgkae1rSQ3xX8pA_18_2"/>
      <w:bookmarkStart w:id="190" w:name="Tc_Y22f3wv8i0iMWG7EDhHZMg_18_0"/>
      <w:bookmarkStart w:id="191" w:name="Tc_HwsXXI0e4k6DSl_kWTh4Gg_17_0"/>
      <w:bookmarkStart w:id="192" w:name="Tc_mzO6MWYvNE-eWcaHSUgxqA_16_0"/>
      <w:bookmarkStart w:id="193" w:name="Tc_zA6N_xbcK0axCMGqXaPfEg_15_0"/>
      <w:bookmarkStart w:id="194" w:name="Tc_oTgOindjTkKAHCnohMcH7Q_14_0"/>
      <w:bookmarkStart w:id="195" w:name="Tc_e8uKb3Q1HUaWTwOPAzv26A_13_0"/>
      <w:bookmarkStart w:id="196" w:name="Tc_rhccIhWc0UCrMjx4h8jRjg_12_9"/>
      <w:bookmarkStart w:id="197" w:name="Tc_tACGOnH6vEyVprUndAjc3w_12_6"/>
      <w:bookmarkStart w:id="198" w:name="Tc_qvwnBRZRxEadifw3b7kkvQ_12_3"/>
      <w:bookmarkStart w:id="199" w:name="Tc_M-KaITDk4k61JATuwNeRjA_12_0"/>
      <w:bookmarkStart w:id="200" w:name="Tc_RIHdj4M6vkS5fpaV_29oNg_11_0"/>
      <w:bookmarkStart w:id="201" w:name="Tc_VGLYa4aK6Eu7ZWcv1yypRA_10_0"/>
      <w:bookmarkStart w:id="202" w:name="Tc_kZIU9VgmO0SNCVm6MNS3vQ_9_0"/>
      <w:bookmarkStart w:id="203" w:name="Tc_xLWdh9b5UkWQNkkv0ZydgA_8_0"/>
      <w:bookmarkStart w:id="204" w:name="Tc_cP1lnpTUlEe_TKwxr9dolw_7_9"/>
      <w:bookmarkStart w:id="205" w:name="Tc_N6HGPD-fA0OYmZ8actgq7w_7_6"/>
      <w:bookmarkStart w:id="206" w:name="Tc_nNdP9ikjQUqmv1wUzz16TA_7_3"/>
      <w:bookmarkStart w:id="207" w:name="Tc_S_vVIHXj8UebOWbCsHVu2Q_7_0"/>
      <w:bookmarkStart w:id="208" w:name="Tc_fT4Z6BzZ1U2emYxHoVzf7A_6_0"/>
      <w:bookmarkStart w:id="209" w:name="Tc_Zaz7qyyhck2UElD583VRzA_5_0"/>
      <w:bookmarkStart w:id="210" w:name="Tc_Zwm4cg4zIkKhSOWULounIA_4_0"/>
      <w:bookmarkStart w:id="211" w:name="Tc_8__Mcy4GikKlzKiEGz3yIg_3_11"/>
      <w:bookmarkStart w:id="212" w:name="Tc_6o8ouaIbLkWBKWju0w7F0A_3_8"/>
      <w:bookmarkStart w:id="213" w:name="Tc_svvh7iUOxU2K2hSc0b4KVw_3_5"/>
      <w:bookmarkStart w:id="214" w:name="Tc_Rl0QU9w6RUGK4twLKu6mtw_3_2"/>
      <w:bookmarkStart w:id="215" w:name="Tc_ZVd4wt0acUmJTdmk5n0W1g_3_0"/>
      <w:bookmarkStart w:id="216" w:name="Tc_io7VU8It4UyAt_X_s_EKnA_2_11"/>
      <w:bookmarkStart w:id="217" w:name="Tc_KlNiBE6SnkmwhdzdaktW3A_2_8"/>
      <w:bookmarkStart w:id="218" w:name="Tc_jt-TSH8w106HOkNfFTHvAw_2_5"/>
      <w:bookmarkStart w:id="219" w:name="Tc__8Cd6ZQcNEuBdufPSB3ooQ_2_2"/>
      <w:bookmarkStart w:id="220" w:name="Tc_QAZoVOb_YUqzuy2aUd4s2A_1_8"/>
      <w:bookmarkStart w:id="221" w:name="Tc_9FOttX607U2jL89QC9oy1A_1_2"/>
      <w:bookmarkStart w:id="222" w:name="_d350df35_561a_4894_942c_5aafb7aa9e37"/>
      <w:bookmarkStart w:id="223" w:name="Tc_yqtIBzIQTE6wcTPNVxktNQ_24_0"/>
      <w:bookmarkStart w:id="224" w:name="Tc_p5Ee1ycJF0CzS5F9YWc3rA_23_0"/>
      <w:bookmarkStart w:id="225" w:name="Tc_kS-bLv-7QE2hWzLEuUeYAA_22_0"/>
      <w:bookmarkStart w:id="226" w:name="Tc_XYFwPp1RBEyS6deMTyP-Hg_21_11"/>
      <w:bookmarkStart w:id="227" w:name="Tc_O_WbaJUgA0WkheMGY1iZ0Q_21_8"/>
      <w:bookmarkStart w:id="228" w:name="Tc_DiyFCJYs_06eYbL4wygTEA_21_5"/>
      <w:bookmarkStart w:id="229" w:name="Tc_3Oaq87YhDkW0zvimjCId3Q_21_2"/>
      <w:bookmarkStart w:id="230" w:name="Tc_ZYHwJpwmX0KPLeOwyRPVWQ_21_0"/>
      <w:bookmarkStart w:id="231" w:name="Tc_jEm3fTqhA023v14YLH68OQ_20_11"/>
      <w:bookmarkStart w:id="232" w:name="Tc_QReuRlhuzka6T2gaLhyiSA_20_8"/>
      <w:bookmarkStart w:id="233" w:name="Tc_KUqKL1Md0kSebCgHn1rQEw_20_5"/>
      <w:bookmarkStart w:id="234" w:name="Tc__C66P78-gUW8DgByV3zJrw_20_2"/>
      <w:bookmarkStart w:id="235" w:name="Tc_iiVcZ_PmMUGYKibJjeGH2A_20_0"/>
      <w:bookmarkStart w:id="236" w:name="Tc_kXl7_cLAukqIA6bd8-x_4g_19_0"/>
      <w:bookmarkStart w:id="237" w:name="Tc_vQpejv1MMEaomCDuQgWUXQ_18_11"/>
      <w:bookmarkStart w:id="238" w:name="Tc_cLj-LXXN3kWXZrb7Z1_DJQ_18_8"/>
      <w:bookmarkStart w:id="239" w:name="Tc_jatnQVYf_kefejPFfN5A6Q_18_5"/>
      <w:bookmarkStart w:id="240" w:name="Tc_2DO-CwyIgkae1rSQ3xX8pA_18_2"/>
      <w:bookmarkStart w:id="241" w:name="Tc_Y22f3wv8i0iMWG7EDhHZMg_18_0"/>
      <w:bookmarkStart w:id="242" w:name="Tc_HwsXXI0e4k6DSl_kWTh4Gg_17_0"/>
      <w:bookmarkStart w:id="243" w:name="Tc_mzO6MWYvNE-eWcaHSUgxqA_16_0"/>
      <w:bookmarkStart w:id="244" w:name="Tc_zA6N_xbcK0axCMGqXaPfEg_15_0"/>
      <w:bookmarkStart w:id="245" w:name="Tc_oTgOindjTkKAHCnohMcH7Q_14_0"/>
      <w:bookmarkStart w:id="246" w:name="Tc_e8uKb3Q1HUaWTwOPAzv26A_13_0"/>
      <w:bookmarkStart w:id="247" w:name="Tc_rhccIhWc0UCrMjx4h8jRjg_12_9"/>
      <w:bookmarkStart w:id="248" w:name="Tc_tACGOnH6vEyVprUndAjc3w_12_6"/>
      <w:bookmarkStart w:id="249" w:name="Tc_qvwnBRZRxEadifw3b7kkvQ_12_3"/>
      <w:bookmarkStart w:id="250" w:name="Tc_M-KaITDk4k61JATuwNeRjA_12_0"/>
      <w:bookmarkStart w:id="251" w:name="Tc_RIHdj4M6vkS5fpaV_29oNg_11_0"/>
      <w:bookmarkStart w:id="252" w:name="Tc_VGLYa4aK6Eu7ZWcv1yypRA_10_0"/>
      <w:bookmarkStart w:id="253" w:name="Tc_kZIU9VgmO0SNCVm6MNS3vQ_9_0"/>
      <w:bookmarkStart w:id="254" w:name="Tc_xLWdh9b5UkWQNkkv0ZydgA_8_0"/>
      <w:bookmarkStart w:id="255" w:name="Tc_cP1lnpTUlEe_TKwxr9dolw_7_9"/>
      <w:bookmarkStart w:id="256" w:name="Tc_N6HGPD-fA0OYmZ8actgq7w_7_6"/>
      <w:bookmarkStart w:id="257" w:name="Tc_nNdP9ikjQUqmv1wUzz16TA_7_3"/>
      <w:bookmarkStart w:id="258" w:name="Tc_S_vVIHXj8UebOWbCsHVu2Q_7_0"/>
      <w:bookmarkStart w:id="259" w:name="Tc_fT4Z6BzZ1U2emYxHoVzf7A_6_0"/>
      <w:bookmarkStart w:id="260" w:name="Tc_Zaz7qyyhck2UElD583VRzA_5_0"/>
      <w:bookmarkStart w:id="261" w:name="Tc_Zwm4cg4zIkKhSOWULounIA_4_0"/>
      <w:bookmarkStart w:id="262" w:name="Tc_8__Mcy4GikKlzKiEGz3yIg_3_11"/>
      <w:bookmarkStart w:id="263" w:name="Tc_6o8ouaIbLkWBKWju0w7F0A_3_8"/>
      <w:bookmarkStart w:id="264" w:name="Tc_svvh7iUOxU2K2hSc0b4KVw_3_5"/>
      <w:bookmarkStart w:id="265" w:name="Tc_Rl0QU9w6RUGK4twLKu6mtw_3_2"/>
      <w:bookmarkStart w:id="266" w:name="Tc_ZVd4wt0acUmJTdmk5n0W1g_3_0"/>
      <w:bookmarkStart w:id="267" w:name="Tc_io7VU8It4UyAt_X_s_EKnA_2_11"/>
      <w:bookmarkStart w:id="268" w:name="Tc_KlNiBE6SnkmwhdzdaktW3A_2_8"/>
      <w:bookmarkStart w:id="269" w:name="Tc_jt-TSH8w106HOkNfFTHvAw_2_5"/>
      <w:bookmarkStart w:id="270" w:name="Tc__8Cd6ZQcNEuBdufPSB3ooQ_2_2"/>
      <w:bookmarkStart w:id="271" w:name="Tc_QAZoVOb_YUqzuy2aUd4s2A_1_8"/>
      <w:bookmarkStart w:id="272" w:name="Tc_9FOttX607U2jL89QC9oy1A_1_2"/>
      <w:bookmarkStart w:id="273" w:name="_d350df35_561a_4894_942c_5aafb7aa9e37"/>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tbl>
      <w:tblPr>
        <w:tblW w:w="10205" w:type="dxa"/>
        <w:jc w:val="left"/>
        <w:tblInd w:w="0" w:type="dxa"/>
        <w:tblLayout w:type="fixed"/>
        <w:tblCellMar>
          <w:top w:w="0" w:type="dxa"/>
          <w:left w:w="0" w:type="dxa"/>
          <w:bottom w:w="0" w:type="dxa"/>
          <w:right w:w="0" w:type="dxa"/>
        </w:tblCellMar>
      </w:tblPr>
      <w:tblGrid>
        <w:gridCol w:w="3273"/>
        <w:gridCol w:w="326"/>
        <w:gridCol w:w="223"/>
        <w:gridCol w:w="1210"/>
        <w:gridCol w:w="326"/>
        <w:gridCol w:w="211"/>
        <w:gridCol w:w="1141"/>
        <w:gridCol w:w="266"/>
        <w:gridCol w:w="223"/>
        <w:gridCol w:w="1210"/>
        <w:gridCol w:w="326"/>
        <w:gridCol w:w="211"/>
        <w:gridCol w:w="1259"/>
      </w:tblGrid>
      <w:tr>
        <w:trPr/>
        <w:tc>
          <w:tcPr>
            <w:tcW w:w="32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41605" cy="175260"/>
                      <wp:effectExtent l="0" t="0" r="0" b="0"/>
                      <wp:wrapNone/>
                      <wp:docPr id="15" name="Frame15"/>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768350" cy="175260"/>
                      <wp:effectExtent l="0" t="0" r="0" b="0"/>
                      <wp:wrapNone/>
                      <wp:docPr id="16" name="Frame16"/>
                      <a:graphic xmlns:a="http://schemas.openxmlformats.org/drawingml/2006/main">
                        <a:graphicData uri="http://schemas.microsoft.com/office/word/2010/wordprocessingShape">
                          <wps:wsp>
                            <wps:cNvSpPr txBox="1"/>
                            <wps:spPr>
                              <a:xfrm>
                                <a:off x="0" y="0"/>
                                <a:ext cx="768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724535" cy="175260"/>
                      <wp:effectExtent l="0" t="0" r="0" b="0"/>
                      <wp:wrapNone/>
                      <wp:docPr id="19" name="Frame1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68910" cy="175260"/>
                      <wp:effectExtent l="0" t="0" r="0" b="0"/>
                      <wp:wrapNone/>
                      <wp:docPr id="20" name="Frame2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41605" cy="175260"/>
                      <wp:effectExtent l="0" t="0" r="0" b="0"/>
                      <wp:wrapNone/>
                      <wp:docPr id="21" name="Frame21"/>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768350" cy="175260"/>
                      <wp:effectExtent l="0" t="0" r="0" b="0"/>
                      <wp:wrapNone/>
                      <wp:docPr id="22" name="Frame22"/>
                      <a:graphic xmlns:a="http://schemas.openxmlformats.org/drawingml/2006/main">
                        <a:graphicData uri="http://schemas.microsoft.com/office/word/2010/wordprocessingShape">
                          <wps:wsp>
                            <wps:cNvSpPr txBox="1"/>
                            <wps:spPr>
                              <a:xfrm>
                                <a:off x="0" y="0"/>
                                <a:ext cx="768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4"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799465" cy="175260"/>
                      <wp:effectExtent l="0" t="0" r="0" b="0"/>
                      <wp:wrapNone/>
                      <wp:docPr id="25" name="Frame25"/>
                      <a:graphic xmlns:a="http://schemas.openxmlformats.org/drawingml/2006/main">
                        <a:graphicData uri="http://schemas.microsoft.com/office/word/2010/wordprocessingShape">
                          <wps:wsp>
                            <wps:cNvSpPr txBox="1"/>
                            <wps:spPr>
                              <a:xfrm>
                                <a:off x="0" y="0"/>
                                <a:ext cx="799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11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c>
          <w:tcPr>
            <w:tcW w:w="266" w:type="dxa"/>
            <w:tcBorders/>
            <w:vAlign w:val="center"/>
          </w:tcPr>
          <w:p>
            <w:pPr>
              <w:pStyle w:val="TableContents"/>
              <w:bidi w:val="0"/>
              <w:spacing w:before="0" w:after="0"/>
              <w:ind w:left="0" w:right="0" w:hanging="0"/>
              <w:jc w:val="left"/>
              <w:rPr/>
            </w:pPr>
            <w:r>
              <w:rPr/>
              <w:t>​</w:t>
            </w:r>
          </w:p>
        </w:tc>
        <w:tc>
          <w:tcPr>
            <w:tcW w:w="322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Fiscal Quarters Ended</w:t>
            </w:r>
          </w:p>
        </w:tc>
      </w:tr>
      <w:tr>
        <w:trPr/>
        <w:tc>
          <w:tcPr>
            <w:tcW w:w="32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4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 2022</w:t>
            </w:r>
          </w:p>
        </w:tc>
        <w:tc>
          <w:tcPr>
            <w:tcW w:w="266" w:type="dxa"/>
            <w:tcBorders/>
            <w:vAlign w:val="center"/>
          </w:tcPr>
          <w:p>
            <w:pPr>
              <w:pStyle w:val="TableContents"/>
              <w:bidi w:val="0"/>
              <w:spacing w:before="0" w:after="0"/>
              <w:ind w:left="0" w:right="0" w:hanging="0"/>
              <w:jc w:val="left"/>
              <w:rPr/>
            </w:pPr>
            <w:r>
              <w:rPr/>
              <w:t>   </w:t>
            </w:r>
          </w:p>
        </w:tc>
        <w:tc>
          <w:tcPr>
            <w:tcW w:w="14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left"/>
              <w:rPr/>
            </w:pPr>
            <w:r>
              <w:rPr/>
              <w:t>    </w:t>
            </w:r>
          </w:p>
        </w:tc>
        <w:tc>
          <w:tcPr>
            <w:tcW w:w="1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 2022</w:t>
            </w:r>
          </w:p>
        </w:tc>
      </w:tr>
      <w:tr>
        <w:trPr/>
        <w:tc>
          <w:tcPr>
            <w:tcW w:w="3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189,398</w:t>
            </w:r>
          </w:p>
        </w:tc>
        <w:tc>
          <w:tcPr>
            <w:tcW w:w="26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475,625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587,812</w:t>
            </w:r>
          </w:p>
        </w:tc>
      </w:tr>
      <w:tr>
        <w:trPr/>
        <w:tc>
          <w:tcPr>
            <w:tcW w:w="3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112,633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130,521</w:t>
            </w:r>
          </w:p>
        </w:tc>
        <w:tc>
          <w:tcPr>
            <w:tcW w:w="26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343,877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390,674</w:t>
            </w:r>
          </w:p>
        </w:tc>
      </w:tr>
      <w:tr>
        <w:trPr/>
        <w:tc>
          <w:tcPr>
            <w:tcW w:w="3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58,877</w:t>
            </w:r>
          </w:p>
        </w:tc>
        <w:tc>
          <w:tcPr>
            <w:tcW w:w="26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197,138</w:t>
            </w:r>
          </w:p>
        </w:tc>
      </w:tr>
      <w:tr>
        <w:trPr/>
        <w:tc>
          <w:tcPr>
            <w:tcW w:w="3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26,749</w:t>
            </w:r>
          </w:p>
        </w:tc>
        <w:tc>
          <w:tcPr>
            <w:tcW w:w="2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86,697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113,778</w:t>
            </w:r>
          </w:p>
        </w:tc>
      </w:tr>
      <w:tr>
        <w:trPr/>
        <w:tc>
          <w:tcPr>
            <w:tcW w:w="3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Underwriting fees related to offering of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12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12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11,437</w:t>
            </w:r>
          </w:p>
        </w:tc>
      </w:tr>
      <w:tr>
        <w:trPr/>
        <w:tc>
          <w:tcPr>
            <w:tcW w:w="3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7,156</w:t>
            </w:r>
          </w:p>
        </w:tc>
        <w:tc>
          <w:tcPr>
            <w:tcW w:w="26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21,504</w:t>
            </w:r>
          </w:p>
        </w:tc>
      </w:tr>
      <w:tr>
        <w:trPr/>
        <w:tc>
          <w:tcPr>
            <w:tcW w:w="3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24,972</w:t>
            </w:r>
          </w:p>
        </w:tc>
        <w:tc>
          <w:tcPr>
            <w:tcW w:w="26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50,419</w:t>
            </w:r>
          </w:p>
        </w:tc>
      </w:tr>
      <w:tr>
        <w:trPr/>
        <w:tc>
          <w:tcPr>
            <w:tcW w:w="3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59" w:type="dxa"/>
            <w:tcBorders/>
            <w:vAlign w:val="center"/>
          </w:tcPr>
          <w:p>
            <w:pPr>
              <w:pStyle w:val="TableContents"/>
              <w:bidi w:val="0"/>
              <w:spacing w:before="0" w:after="0"/>
              <w:ind w:left="0" w:right="0" w:hanging="0"/>
              <w:jc w:val="right"/>
              <w:rPr/>
            </w:pPr>
            <w:r>
              <w:rPr/>
              <w:t>  </w:t>
            </w:r>
          </w:p>
        </w:tc>
      </w:tr>
      <w:tr>
        <w:trPr/>
        <w:tc>
          <w:tcPr>
            <w:tcW w:w="3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12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4,264</w:t>
            </w:r>
          </w:p>
        </w:tc>
        <w:tc>
          <w:tcPr>
            <w:tcW w:w="26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12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9,193</w:t>
            </w:r>
          </w:p>
        </w:tc>
      </w:tr>
      <w:tr>
        <w:trPr/>
        <w:tc>
          <w:tcPr>
            <w:tcW w:w="3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12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12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3,465</w:t>
            </w:r>
          </w:p>
        </w:tc>
      </w:tr>
      <w:tr>
        <w:trPr/>
        <w:tc>
          <w:tcPr>
            <w:tcW w:w="3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w:t>
            </w:r>
          </w:p>
        </w:tc>
        <w:tc>
          <w:tcPr>
            <w:tcW w:w="26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1,614</w:t>
            </w:r>
          </w:p>
        </w:tc>
      </w:tr>
      <w:tr>
        <w:trPr/>
        <w:tc>
          <w:tcPr>
            <w:tcW w:w="3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5,316</w:t>
            </w:r>
          </w:p>
        </w:tc>
        <w:tc>
          <w:tcPr>
            <w:tcW w:w="2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21,475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14,272</w:t>
            </w:r>
          </w:p>
        </w:tc>
      </w:tr>
      <w:tr>
        <w:trPr/>
        <w:tc>
          <w:tcPr>
            <w:tcW w:w="3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from equity method investment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1,329</w:t>
            </w:r>
          </w:p>
        </w:tc>
        <w:tc>
          <w:tcPr>
            <w:tcW w:w="26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2,591</w:t>
            </w:r>
          </w:p>
        </w:tc>
      </w:tr>
      <w:tr>
        <w:trPr/>
        <w:tc>
          <w:tcPr>
            <w:tcW w:w="3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12,839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20,985</w:t>
            </w:r>
          </w:p>
        </w:tc>
        <w:tc>
          <w:tcPr>
            <w:tcW w:w="2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38,738</w:t>
            </w:r>
          </w:p>
        </w:tc>
      </w:tr>
      <w:tr>
        <w:trPr/>
        <w:tc>
          <w:tcPr>
            <w:tcW w:w="3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9,109</w:t>
            </w:r>
          </w:p>
        </w:tc>
        <w:tc>
          <w:tcPr>
            <w:tcW w:w="26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25,399</w:t>
            </w:r>
          </w:p>
        </w:tc>
      </w:tr>
      <w:tr>
        <w:trPr/>
        <w:tc>
          <w:tcPr>
            <w:tcW w:w="3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11,876</w:t>
            </w:r>
          </w:p>
        </w:tc>
        <w:tc>
          <w:tcPr>
            <w:tcW w:w="266"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13,339</w:t>
            </w:r>
          </w:p>
        </w:tc>
      </w:tr>
      <w:tr>
        <w:trPr/>
        <w:tc>
          <w:tcPr>
            <w:tcW w:w="3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 attributable to common stockholders:</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121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26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121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59" w:type="dxa"/>
            <w:tcBorders/>
            <w:shd w:fill="CCEEFF" w:val="clear"/>
            <w:vAlign w:val="center"/>
          </w:tcPr>
          <w:p>
            <w:pPr>
              <w:pStyle w:val="TableContents"/>
              <w:bidi w:val="0"/>
              <w:spacing w:before="0" w:after="0"/>
              <w:ind w:left="0" w:right="0" w:hanging="0"/>
              <w:jc w:val="right"/>
              <w:rPr/>
            </w:pPr>
            <w:r>
              <w:rPr/>
              <w:t>  </w:t>
            </w:r>
          </w:p>
        </w:tc>
      </w:tr>
      <w:tr>
        <w:trPr/>
        <w:tc>
          <w:tcPr>
            <w:tcW w:w="3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0.10</w:t>
            </w:r>
          </w:p>
        </w:tc>
        <w:tc>
          <w:tcPr>
            <w:tcW w:w="2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0.12</w:t>
            </w:r>
          </w:p>
        </w:tc>
      </w:tr>
      <w:tr>
        <w:trPr/>
        <w:tc>
          <w:tcPr>
            <w:tcW w:w="3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0.10</w:t>
            </w:r>
          </w:p>
        </w:tc>
        <w:tc>
          <w:tcPr>
            <w:tcW w:w="26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0.12</w:t>
            </w:r>
          </w:p>
        </w:tc>
      </w:tr>
      <w:tr>
        <w:trPr/>
        <w:tc>
          <w:tcPr>
            <w:tcW w:w="3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 – basic and diluted</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59" w:type="dxa"/>
            <w:tcBorders/>
            <w:vAlign w:val="center"/>
          </w:tcPr>
          <w:p>
            <w:pPr>
              <w:pStyle w:val="TableContents"/>
              <w:bidi w:val="0"/>
              <w:spacing w:before="0" w:after="0"/>
              <w:ind w:left="0" w:right="0" w:hanging="0"/>
              <w:jc w:val="right"/>
              <w:rPr/>
            </w:pPr>
            <w:r>
              <w:rPr/>
              <w:t>  </w:t>
            </w:r>
          </w:p>
        </w:tc>
      </w:tr>
      <w:tr>
        <w:trPr/>
        <w:tc>
          <w:tcPr>
            <w:tcW w:w="3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12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113,538,533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113,171,655</w:t>
            </w:r>
          </w:p>
        </w:tc>
        <w:tc>
          <w:tcPr>
            <w:tcW w:w="26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12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112,629,851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113,521,425</w:t>
            </w:r>
          </w:p>
        </w:tc>
      </w:tr>
      <w:tr>
        <w:trPr/>
        <w:tc>
          <w:tcPr>
            <w:tcW w:w="3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114,656,761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113,202,846</w:t>
            </w:r>
          </w:p>
        </w:tc>
        <w:tc>
          <w:tcPr>
            <w:tcW w:w="2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12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112,629,851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59"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114,867,164</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74" w:name="_b0e4e9e3_3fb9_4545_9a12_8a6adef1fab1"/>
      <w:bookmarkEnd w:id="274"/>
      <w:r>
        <w:rPr>
          <w:rFonts w:ascii="Times New Roman;Times;serif" w:hAnsi="Times New Roman;Times;serif"/>
          <w:b/>
          <w:sz w:val="20"/>
        </w:rPr>
        <w:t>Latham Group, Inc.</w:t>
      </w:r>
    </w:p>
    <w:p>
      <w:pPr>
        <w:pStyle w:val="TextBody"/>
        <w:bidi w:val="0"/>
        <w:spacing w:before="0" w:after="0"/>
        <w:ind w:left="0" w:right="0" w:hanging="0"/>
        <w:jc w:val="center"/>
        <w:rPr>
          <w:rFonts w:ascii="Times New Roman;Times;serif" w:hAnsi="Times New Roman;Times;serif"/>
          <w:b/>
          <w:sz w:val="20"/>
        </w:rPr>
      </w:pPr>
      <w:bookmarkStart w:id="275" w:name="CondensedConsolidatedStatementsofCompreh"/>
      <w:bookmarkEnd w:id="275"/>
      <w:r>
        <w:rPr>
          <w:rFonts w:ascii="Times New Roman;Times;serif" w:hAnsi="Times New Roman;Times;serif"/>
          <w:b/>
          <w:sz w:val="20"/>
        </w:rPr>
        <w:t xml:space="preserve">Condensed Consolidated Statements of Comprehensive Income (Loss)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76" w:name="Tc_kimVEGAwm0StfVbzs0uVww_7_11"/>
      <w:bookmarkStart w:id="277" w:name="Tc_46N8TKGl-0-S64l2EromjA_7_8"/>
      <w:bookmarkStart w:id="278" w:name="Tc_wwN1YwgPlEe7G8PVd4UKFg_7_5"/>
      <w:bookmarkStart w:id="279" w:name="Tc_mGy7GDfl8EK0cnEwiEAkLQ_7_2"/>
      <w:bookmarkStart w:id="280" w:name="Tc_JVaJEz3pR0emX6orpJgRFw_7_0"/>
      <w:bookmarkStart w:id="281" w:name="Tc_PWY713Fnv0q1oSxdRw3Pew_6_0"/>
      <w:bookmarkStart w:id="282" w:name="Tc_-_c3NmP1WUO3KH4P_z93PA_5_0"/>
      <w:bookmarkStart w:id="283" w:name="Tc_FA_Qx7YHp02INz5_U9KPmA_4_0"/>
      <w:bookmarkStart w:id="284" w:name="Tc_EK9AIeLp5Ei76PqQ858zsA_3_11"/>
      <w:bookmarkStart w:id="285" w:name="Tc_Xc-D58Cse0GsljnswTskMA_3_8"/>
      <w:bookmarkStart w:id="286" w:name="Tc_RWDrTj1sl0-FYMlGxueeXw_3_5"/>
      <w:bookmarkStart w:id="287" w:name="Tc_Spqhwkv36kC2gld7RnkF3w_3_2"/>
      <w:bookmarkStart w:id="288" w:name="Tc_Z0dV8Z5l9UyXTpmZF4Kb9A_3_0"/>
      <w:bookmarkStart w:id="289" w:name="Tc_fkOlgYkwmES_eU_0Hg8udw_2_11"/>
      <w:bookmarkStart w:id="290" w:name="Tc__O3FKRHRsUqHE1qNufq7kw_2_8"/>
      <w:bookmarkStart w:id="291" w:name="Tc_7HKXeXYHpUa_4ONlbnKjZg_2_5"/>
      <w:bookmarkStart w:id="292" w:name="Tc_kz2HAQ3vx06V5gtZzZH4hA_2_2"/>
      <w:bookmarkStart w:id="293" w:name="Tc_R2GuqbW40U-85UvDon4V-Q_1_8"/>
      <w:bookmarkStart w:id="294" w:name="Tc_MlA-y_F-VUWakXU9YPVOQA_1_2"/>
      <w:bookmarkStart w:id="295" w:name="_feb9a36b_3dd2_4abb_b7cd_3b3bcca9646c"/>
      <w:bookmarkStart w:id="296" w:name="Tc_kimVEGAwm0StfVbzs0uVww_7_11"/>
      <w:bookmarkStart w:id="297" w:name="Tc_46N8TKGl-0-S64l2EromjA_7_8"/>
      <w:bookmarkStart w:id="298" w:name="Tc_wwN1YwgPlEe7G8PVd4UKFg_7_5"/>
      <w:bookmarkStart w:id="299" w:name="Tc_mGy7GDfl8EK0cnEwiEAkLQ_7_2"/>
      <w:bookmarkStart w:id="300" w:name="Tc_JVaJEz3pR0emX6orpJgRFw_7_0"/>
      <w:bookmarkStart w:id="301" w:name="Tc_PWY713Fnv0q1oSxdRw3Pew_6_0"/>
      <w:bookmarkStart w:id="302" w:name="Tc_-_c3NmP1WUO3KH4P_z93PA_5_0"/>
      <w:bookmarkStart w:id="303" w:name="Tc_FA_Qx7YHp02INz5_U9KPmA_4_0"/>
      <w:bookmarkStart w:id="304" w:name="Tc_EK9AIeLp5Ei76PqQ858zsA_3_11"/>
      <w:bookmarkStart w:id="305" w:name="Tc_Xc-D58Cse0GsljnswTskMA_3_8"/>
      <w:bookmarkStart w:id="306" w:name="Tc_RWDrTj1sl0-FYMlGxueeXw_3_5"/>
      <w:bookmarkStart w:id="307" w:name="Tc_Spqhwkv36kC2gld7RnkF3w_3_2"/>
      <w:bookmarkStart w:id="308" w:name="Tc_Z0dV8Z5l9UyXTpmZF4Kb9A_3_0"/>
      <w:bookmarkStart w:id="309" w:name="Tc_fkOlgYkwmES_eU_0Hg8udw_2_11"/>
      <w:bookmarkStart w:id="310" w:name="Tc__O3FKRHRsUqHE1qNufq7kw_2_8"/>
      <w:bookmarkStart w:id="311" w:name="Tc_7HKXeXYHpUa_4ONlbnKjZg_2_5"/>
      <w:bookmarkStart w:id="312" w:name="Tc_kz2HAQ3vx06V5gtZzZH4hA_2_2"/>
      <w:bookmarkStart w:id="313" w:name="Tc_R2GuqbW40U-85UvDon4V-Q_1_8"/>
      <w:bookmarkStart w:id="314" w:name="Tc_MlA-y_F-VUWakXU9YPVOQA_1_2"/>
      <w:bookmarkStart w:id="315" w:name="_feb9a36b_3dd2_4abb_b7cd_3b3bcca9646c"/>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tbl>
      <w:tblPr>
        <w:tblW w:w="10205" w:type="dxa"/>
        <w:jc w:val="left"/>
        <w:tblInd w:w="0" w:type="dxa"/>
        <w:tblLayout w:type="fixed"/>
        <w:tblCellMar>
          <w:top w:w="0" w:type="dxa"/>
          <w:left w:w="0" w:type="dxa"/>
          <w:bottom w:w="0" w:type="dxa"/>
          <w:right w:w="0" w:type="dxa"/>
        </w:tblCellMar>
      </w:tblPr>
      <w:tblGrid>
        <w:gridCol w:w="3375"/>
        <w:gridCol w:w="326"/>
        <w:gridCol w:w="351"/>
        <w:gridCol w:w="1150"/>
        <w:gridCol w:w="326"/>
        <w:gridCol w:w="295"/>
        <w:gridCol w:w="968"/>
        <w:gridCol w:w="266"/>
        <w:gridCol w:w="350"/>
        <w:gridCol w:w="1151"/>
        <w:gridCol w:w="334"/>
        <w:gridCol w:w="290"/>
        <w:gridCol w:w="1023"/>
      </w:tblGrid>
      <w:tr>
        <w:trPr/>
        <w:tc>
          <w:tcPr>
            <w:tcW w:w="3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43125" cy="175260"/>
                      <wp:effectExtent l="0" t="0" r="0" b="0"/>
                      <wp:wrapNone/>
                      <wp:docPr id="26" name="Frame26"/>
                      <a:graphic xmlns:a="http://schemas.openxmlformats.org/drawingml/2006/main">
                        <a:graphicData uri="http://schemas.microsoft.com/office/word/2010/wordprocessingShape">
                          <wps:wsp>
                            <wps:cNvSpPr txBox="1"/>
                            <wps:spPr>
                              <a:xfrm>
                                <a:off x="0" y="0"/>
                                <a:ext cx="2143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22885" cy="175260"/>
                      <wp:effectExtent l="0" t="0" r="0" b="0"/>
                      <wp:wrapNone/>
                      <wp:docPr id="28" name="Frame28"/>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730250" cy="175260"/>
                      <wp:effectExtent l="0" t="0" r="0" b="0"/>
                      <wp:wrapNone/>
                      <wp:docPr id="29" name="Frame29"/>
                      <a:graphic xmlns:a="http://schemas.openxmlformats.org/drawingml/2006/main">
                        <a:graphicData uri="http://schemas.microsoft.com/office/word/2010/wordprocessingShape">
                          <wps:wsp>
                            <wps:cNvSpPr txBox="1"/>
                            <wps:spPr>
                              <a:xfrm>
                                <a:off x="0" y="0"/>
                                <a:ext cx="730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87325" cy="175260"/>
                      <wp:effectExtent l="0" t="0" r="0" b="0"/>
                      <wp:wrapNone/>
                      <wp:docPr id="31" name="Frame31"/>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14680" cy="175260"/>
                      <wp:effectExtent l="0" t="0" r="0" b="0"/>
                      <wp:wrapNone/>
                      <wp:docPr id="32" name="Frame32"/>
                      <a:graphic xmlns:a="http://schemas.openxmlformats.org/drawingml/2006/main">
                        <a:graphicData uri="http://schemas.microsoft.com/office/word/2010/wordprocessingShape">
                          <wps:wsp>
                            <wps:cNvSpPr txBox="1"/>
                            <wps:spPr>
                              <a:xfrm>
                                <a:off x="0" y="0"/>
                                <a:ext cx="614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68910" cy="175260"/>
                      <wp:effectExtent l="0" t="0" r="0" b="0"/>
                      <wp:wrapNone/>
                      <wp:docPr id="33" name="Frame3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22250" cy="175260"/>
                      <wp:effectExtent l="0" t="0" r="0" b="0"/>
                      <wp:wrapNone/>
                      <wp:docPr id="34" name="Frame34"/>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730885" cy="175260"/>
                      <wp:effectExtent l="0" t="0" r="0" b="0"/>
                      <wp:wrapNone/>
                      <wp:docPr id="35" name="Frame35"/>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2090" cy="175260"/>
                      <wp:effectExtent l="0" t="0" r="0" b="0"/>
                      <wp:wrapNone/>
                      <wp:docPr id="36" name="Frame36"/>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84150" cy="175260"/>
                      <wp:effectExtent l="0" t="0" r="0" b="0"/>
                      <wp:wrapNone/>
                      <wp:docPr id="37" name="Frame37"/>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9605" cy="175260"/>
                      <wp:effectExtent l="0" t="0" r="0" b="0"/>
                      <wp:wrapNone/>
                      <wp:docPr id="38" name="Frame38"/>
                      <a:graphic xmlns:a="http://schemas.openxmlformats.org/drawingml/2006/main">
                        <a:graphicData uri="http://schemas.microsoft.com/office/word/2010/wordprocessingShape">
                          <wps:wsp>
                            <wps:cNvSpPr txBox="1"/>
                            <wps:spPr>
                              <a:xfrm>
                                <a:off x="0" y="0"/>
                                <a:ext cx="649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0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c>
          <w:tcPr>
            <w:tcW w:w="266" w:type="dxa"/>
            <w:tcBorders/>
            <w:vAlign w:val="center"/>
          </w:tcPr>
          <w:p>
            <w:pPr>
              <w:pStyle w:val="TableContents"/>
              <w:bidi w:val="0"/>
              <w:spacing w:before="0" w:after="0"/>
              <w:ind w:left="0" w:right="0" w:hanging="0"/>
              <w:jc w:val="left"/>
              <w:rPr/>
            </w:pPr>
            <w:r>
              <w:rPr/>
              <w:t>​</w:t>
            </w:r>
          </w:p>
        </w:tc>
        <w:tc>
          <w:tcPr>
            <w:tcW w:w="314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Fiscal Quarters Ended</w:t>
            </w:r>
          </w:p>
        </w:tc>
      </w:tr>
      <w:tr>
        <w:trPr/>
        <w:tc>
          <w:tcPr>
            <w:tcW w:w="33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left"/>
              <w:rPr/>
            </w:pPr>
            <w:r>
              <w:rPr/>
              <w:t>    </w:t>
            </w:r>
          </w:p>
        </w:tc>
        <w:tc>
          <w:tcPr>
            <w:tcW w:w="12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 2022</w:t>
            </w:r>
          </w:p>
        </w:tc>
        <w:tc>
          <w:tcPr>
            <w:tcW w:w="266" w:type="dxa"/>
            <w:tcBorders/>
            <w:vAlign w:val="center"/>
          </w:tcPr>
          <w:p>
            <w:pPr>
              <w:pStyle w:val="TableContents"/>
              <w:bidi w:val="0"/>
              <w:spacing w:before="0" w:after="0"/>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34" w:type="dxa"/>
            <w:tcBorders/>
            <w:vAlign w:val="center"/>
          </w:tcPr>
          <w:p>
            <w:pPr>
              <w:pStyle w:val="TableContents"/>
              <w:bidi w:val="0"/>
              <w:spacing w:before="0" w:after="0"/>
              <w:ind w:left="0" w:right="0" w:hanging="0"/>
              <w:jc w:val="left"/>
              <w:rPr/>
            </w:pPr>
            <w:r>
              <w:rPr/>
              <w:t>    </w:t>
            </w:r>
          </w:p>
        </w:tc>
        <w:tc>
          <w:tcPr>
            <w:tcW w:w="13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 2022</w:t>
            </w:r>
          </w:p>
        </w:tc>
      </w:tr>
      <w:tr>
        <w:trPr/>
        <w:tc>
          <w:tcPr>
            <w:tcW w:w="3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6,153</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11,876</w:t>
            </w:r>
          </w:p>
        </w:tc>
        <w:tc>
          <w:tcPr>
            <w:tcW w:w="26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334"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13,339</w:t>
            </w:r>
          </w:p>
        </w:tc>
      </w:tr>
      <w:tr>
        <w:trPr/>
        <w:tc>
          <w:tcPr>
            <w:tcW w:w="33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net of tax:</w:t>
            </w:r>
          </w:p>
        </w:tc>
        <w:tc>
          <w:tcPr>
            <w:tcW w:w="326"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pPr>
            <w:r>
              <w:rPr/>
              <w:t> </w:t>
            </w:r>
          </w:p>
        </w:tc>
        <w:tc>
          <w:tcPr>
            <w:tcW w:w="1150"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968"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pPr>
            <w:r>
              <w:rPr/>
              <w:t>  </w:t>
            </w:r>
          </w:p>
        </w:tc>
        <w:tc>
          <w:tcPr>
            <w:tcW w:w="334"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1023" w:type="dxa"/>
            <w:tcBorders/>
            <w:vAlign w:val="center"/>
          </w:tcPr>
          <w:p>
            <w:pPr>
              <w:pStyle w:val="TableContents"/>
              <w:bidi w:val="0"/>
              <w:spacing w:before="0" w:after="0"/>
              <w:ind w:left="0" w:right="0" w:hanging="0"/>
              <w:jc w:val="right"/>
              <w:rPr/>
            </w:pPr>
            <w:r>
              <w:rPr/>
              <w:t>  </w:t>
            </w:r>
          </w:p>
        </w:tc>
      </w:tr>
      <w:tr>
        <w:trPr/>
        <w:tc>
          <w:tcPr>
            <w:tcW w:w="3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3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(2,007)</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(2,813)</w:t>
            </w:r>
          </w:p>
        </w:tc>
        <w:tc>
          <w:tcPr>
            <w:tcW w:w="266" w:type="dxa"/>
            <w:tcBorders/>
            <w:shd w:fill="CCEEFF" w:val="clear"/>
            <w:vAlign w:val="center"/>
          </w:tcPr>
          <w:p>
            <w:pPr>
              <w:pStyle w:val="TableContents"/>
              <w:bidi w:val="0"/>
              <w:spacing w:before="0" w:after="0"/>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(2,480)</w:t>
            </w:r>
          </w:p>
        </w:tc>
        <w:tc>
          <w:tcPr>
            <w:tcW w:w="334" w:type="dxa"/>
            <w:tcBorders/>
            <w:shd w:fill="CCEEFF" w:val="clear"/>
            <w:vAlign w:val="center"/>
          </w:tcPr>
          <w:p>
            <w:pPr>
              <w:pStyle w:val="TableContents"/>
              <w:bidi w:val="0"/>
              <w:spacing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(5,510)</w:t>
            </w:r>
          </w:p>
        </w:tc>
      </w:tr>
      <w:tr>
        <w:trPr/>
        <w:tc>
          <w:tcPr>
            <w:tcW w:w="33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loss, net of tax</w:t>
            </w:r>
          </w:p>
        </w:tc>
        <w:tc>
          <w:tcPr>
            <w:tcW w:w="326" w:type="dxa"/>
            <w:tcBorders/>
            <w:vAlign w:val="center"/>
          </w:tcPr>
          <w:p>
            <w:pPr>
              <w:pStyle w:val="TableContents"/>
              <w:bidi w:val="0"/>
              <w:spacing w:before="0" w:after="0"/>
              <w:ind w:left="0" w:right="0" w:hanging="0"/>
              <w:jc w:val="left"/>
              <w:rPr/>
            </w:pPr>
            <w:r>
              <w:rPr/>
              <w:t>​</w:t>
            </w:r>
          </w:p>
        </w:tc>
        <w:tc>
          <w:tcPr>
            <w:tcW w:w="35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(2,007)</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(2,813)</w:t>
            </w:r>
          </w:p>
        </w:tc>
        <w:tc>
          <w:tcPr>
            <w:tcW w:w="266" w:type="dxa"/>
            <w:tcBorders/>
            <w:vAlign w:val="center"/>
          </w:tcPr>
          <w:p>
            <w:pPr>
              <w:pStyle w:val="TableContents"/>
              <w:bidi w:val="0"/>
              <w:spacing w:before="0" w:after="0"/>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(2,480)</w:t>
            </w:r>
          </w:p>
        </w:tc>
        <w:tc>
          <w:tcPr>
            <w:tcW w:w="334" w:type="dxa"/>
            <w:tcBorders/>
            <w:vAlign w:val="center"/>
          </w:tcPr>
          <w:p>
            <w:pPr>
              <w:pStyle w:val="TableContents"/>
              <w:bidi w:val="0"/>
              <w:spacing w:before="0" w:after="0"/>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(5,510)</w:t>
            </w:r>
          </w:p>
        </w:tc>
      </w:tr>
      <w:tr>
        <w:trPr/>
        <w:tc>
          <w:tcPr>
            <w:tcW w:w="3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3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4,146</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9,063</w:t>
            </w:r>
          </w:p>
        </w:tc>
        <w:tc>
          <w:tcPr>
            <w:tcW w:w="266" w:type="dxa"/>
            <w:tcBorders/>
            <w:shd w:fill="CCEEFF" w:val="clear"/>
            <w:vAlign w:val="center"/>
          </w:tcPr>
          <w:p>
            <w:pPr>
              <w:pStyle w:val="TableContents"/>
              <w:bidi w:val="0"/>
              <w:spacing w:before="0" w:after="0"/>
              <w:ind w:left="0" w:right="0" w:hanging="0"/>
              <w:jc w:val="left"/>
              <w:rPr/>
            </w:pPr>
            <w:r>
              <w:rPr/>
              <w:t>​</w:t>
            </w:r>
          </w:p>
        </w:tc>
        <w:tc>
          <w:tcPr>
            <w:tcW w:w="3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(4,980)</w:t>
            </w:r>
          </w:p>
        </w:tc>
        <w:tc>
          <w:tcPr>
            <w:tcW w:w="334" w:type="dxa"/>
            <w:tcBorders/>
            <w:shd w:fill="CCEEFF" w:val="clear"/>
            <w:vAlign w:val="center"/>
          </w:tcPr>
          <w:p>
            <w:pPr>
              <w:pStyle w:val="TableContents"/>
              <w:bidi w:val="0"/>
              <w:spacing w:before="0" w:after="0"/>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7,829</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16" w:name="_88196e25_f53e_4b2a_b22b_b46dd2fb826b"/>
      <w:bookmarkEnd w:id="316"/>
      <w:r>
        <w:rPr>
          <w:rFonts w:ascii="Times New Roman;Times;serif" w:hAnsi="Times New Roman;Times;serif"/>
          <w:b/>
          <w:sz w:val="20"/>
        </w:rPr>
        <w:t>Latham Group, Inc.</w:t>
      </w:r>
    </w:p>
    <w:p>
      <w:pPr>
        <w:pStyle w:val="TextBody"/>
        <w:bidi w:val="0"/>
        <w:spacing w:before="0" w:after="0"/>
        <w:ind w:left="0" w:right="0" w:hanging="0"/>
        <w:jc w:val="center"/>
        <w:rPr>
          <w:rFonts w:ascii="Times New Roman;Times;serif" w:hAnsi="Times New Roman;Times;serif"/>
          <w:b/>
          <w:sz w:val="20"/>
        </w:rPr>
      </w:pPr>
      <w:bookmarkStart w:id="317" w:name="CondensedConsolidatedStatementsofStockho"/>
      <w:bookmarkEnd w:id="317"/>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18" w:name="Tc_TC4j2XRpyEylt4zRdNRI5w_27_16"/>
      <w:bookmarkStart w:id="319" w:name="Tc_RyB-4f2GzUSCsm8wOTcXAw_27_13"/>
      <w:bookmarkStart w:id="320" w:name="Tc_2NrWilHrFkS5gTRQzQvNSQ_27_10"/>
      <w:bookmarkStart w:id="321" w:name="Tc_5HeXpBFhTU2JQTqQkWcbfw_27_7"/>
      <w:bookmarkStart w:id="322" w:name="Tc_wd7ZTpt2WEqBF0_zkpUH0g_27_4"/>
      <w:bookmarkStart w:id="323" w:name="Tc_kf2yGxtXyU6YvJgh3mMH1Q_27_0"/>
      <w:bookmarkStart w:id="324" w:name="Tc_xONoN5wsp0uGQTkcKeWARQ_26_14"/>
      <w:bookmarkStart w:id="325" w:name="Tc_4FEe6ZsCdU65NbT6hoOo4Q_26_11"/>
      <w:bookmarkStart w:id="326" w:name="Tc_Z17lvqrCXEqd0tHEGFJEJw_26_5"/>
      <w:bookmarkStart w:id="327" w:name="Tc_gbYC-yiDfUytP8tGSuWcSA_26_2"/>
      <w:bookmarkStart w:id="328" w:name="Tc_-oDwEJ3Uzk6NmWnKQYRyqw_26_0"/>
      <w:bookmarkStart w:id="329" w:name="Tc_qIvDvg_6wkuW1zBc34ODFQ_25_17"/>
      <w:bookmarkStart w:id="330" w:name="Tc_MdH2SqDfM0ePiHko_a1kdg_25_14"/>
      <w:bookmarkStart w:id="331" w:name="Tc_6p5FJSApYkinWJ7s22ZWpA_25_11"/>
      <w:bookmarkStart w:id="332" w:name="Tc_XX4dr2SB8kOdJn67YI89Ng_25_8"/>
      <w:bookmarkStart w:id="333" w:name="Tc_NCwUqD0dIkaBLoWPZ6B85A_25_5"/>
      <w:bookmarkStart w:id="334" w:name="Tc_4Ls-K3rQ_U-q4t-d3oo_wg_25_0"/>
      <w:bookmarkStart w:id="335" w:name="Tc_YTUx4bpv6kuDSXwqbuVnQA_24_11"/>
      <w:bookmarkStart w:id="336" w:name="Tc_3SOTLe_V1UmIpEkGrA7Aqw_24_8"/>
      <w:bookmarkStart w:id="337" w:name="Tc_12giC1VwFkuaHW1dHwOqWw_24_5"/>
      <w:bookmarkStart w:id="338" w:name="Tc_Vh6Vai-zHk-lkFRJ7-22bw_24_2"/>
      <w:bookmarkStart w:id="339" w:name="Tc_Vngx0RuBRESRyww3EYU6NQ_24_0"/>
      <w:bookmarkStart w:id="340" w:name="Tc_Y5sQmhJZFkW3c58VfH9wJg_23_14"/>
      <w:bookmarkStart w:id="341" w:name="Tc_bms3FDBHVka5rqRQLrEO0w_23_8"/>
      <w:bookmarkStart w:id="342" w:name="Tc_EWIwNlpmM0SLXbRX5x5qSg_23_5"/>
      <w:bookmarkStart w:id="343" w:name="Tc_q4Rj3FqQfkGpMbAs0fP5hw_23_2"/>
      <w:bookmarkStart w:id="344" w:name="Tc_ix3xscujwkmIOlKos_G8Yg_23_0"/>
      <w:bookmarkStart w:id="345" w:name="Tc_sDDOGEtikEaZWvPlQgRBCg_21_16"/>
      <w:bookmarkStart w:id="346" w:name="Tc_eRBA89msz0SdUrRCyjwoNQ_21_13"/>
      <w:bookmarkStart w:id="347" w:name="Tc_OWHtkkvl00aPtua9k_02Vg_21_10"/>
      <w:bookmarkStart w:id="348" w:name="Tc_lw5XxuVAz06bNLGUc15z7A_21_7"/>
      <w:bookmarkStart w:id="349" w:name="Tc_zm-7YGtvDEy8fjmM4EaYDg_21_4"/>
      <w:bookmarkStart w:id="350" w:name="Tc_YITsjRC_WUqE_Rxmc0TY7Q_21_0"/>
      <w:bookmarkStart w:id="351" w:name="Tc_zsR-fFjiv0SJ5f18rPGJeQ_20_14"/>
      <w:bookmarkStart w:id="352" w:name="Tc_UZUKDWion0Kd-8muG-5L-g_20_11"/>
      <w:bookmarkStart w:id="353" w:name="Tc_egy3IlPoBk2q6zPnnZmDwg_20_5"/>
      <w:bookmarkStart w:id="354" w:name="Tc_PEunIlol8EGxs9SqFIMclQ_20_2"/>
      <w:bookmarkStart w:id="355" w:name="Tc_pj_1_XfMt0-lFpw2B46TUA_20_0"/>
      <w:bookmarkStart w:id="356" w:name="Tc_wye_d8BUtUGtI63RFWoATw_19_17"/>
      <w:bookmarkStart w:id="357" w:name="Tc_qnPn_HXoYkCw6J0EaBqU5A_19_14"/>
      <w:bookmarkStart w:id="358" w:name="Tc_bYBs4EEoV0Sj8qwTvwZ_pQ_19_11"/>
      <w:bookmarkStart w:id="359" w:name="Tc_7Y6PiOMaJEK79JS22pJQQw_19_8"/>
      <w:bookmarkStart w:id="360" w:name="Tc_S1oe1ujH3ke2iQsuWwHRLQ_19_5"/>
      <w:bookmarkStart w:id="361" w:name="Tc_JvoyZRYvHkK1oS5FzByRKQ_19_0"/>
      <w:bookmarkStart w:id="362" w:name="Tc_EZhds3Jbf0eXlMSUvCeg4Q_18_14"/>
      <w:bookmarkStart w:id="363" w:name="Tc_0YGbq4yYb0aZygzdO3ty7w_18_11"/>
      <w:bookmarkStart w:id="364" w:name="Tc_q9bZf_w3okyx-BjlWR4X4A_18_5"/>
      <w:bookmarkStart w:id="365" w:name="Tc_ElJj-oG-30qoOavBKfifww_18_0"/>
      <w:bookmarkStart w:id="366" w:name="Tc_7aUVXa-D60O_PEAkgXHZLA_17_11"/>
      <w:bookmarkStart w:id="367" w:name="Tc_Z1b_sD92VEa044ubUaZBGw_17_8"/>
      <w:bookmarkStart w:id="368" w:name="Tc_1C1adKMM-UeJ8tiBm9DBgg_17_5"/>
      <w:bookmarkStart w:id="369" w:name="Tc_RppCbn_lFUaL15hByUijOw_17_2"/>
      <w:bookmarkStart w:id="370" w:name="Tc_h1f0Ba94okmhtz45fl1H2w_17_0"/>
      <w:bookmarkStart w:id="371" w:name="Tc_-uXxptVXZkKpIhLHnkO6xg_16_14"/>
      <w:bookmarkStart w:id="372" w:name="Tc_2jRElqVIeU6SGZ7nkhqL7w_16_8"/>
      <w:bookmarkStart w:id="373" w:name="Tc_S6K4sxtWGk--UoixIOt_bQ_16_5"/>
      <w:bookmarkStart w:id="374" w:name="Tc_9lraOIZ5SkqhWkhZto0y7Q_16_2"/>
      <w:bookmarkStart w:id="375" w:name="Tc_d4HZyRCP7UqwcfHqAyWpYQ_16_0"/>
      <w:bookmarkStart w:id="376" w:name="Tc_yGb_hZ9YJkSyZCtmGxYaJA_14_16"/>
      <w:bookmarkStart w:id="377" w:name="Tc_2s0V98DEAEqZjIeEiHQueQ_14_13"/>
      <w:bookmarkStart w:id="378" w:name="Tc_QxFLNEG0LEGedUnLdRXYdg_14_10"/>
      <w:bookmarkStart w:id="379" w:name="Tc_OHdl8D9e3E-TMV8m0qO2qg_14_7"/>
      <w:bookmarkStart w:id="380" w:name="Tc_ZtpbZTyC0kSDgIGIA9xZPA_14_4"/>
      <w:bookmarkStart w:id="381" w:name="Tc_Q2TPHiG7fk6yTdkJ91nQ6w_14_0"/>
      <w:bookmarkStart w:id="382" w:name="Tc_xMTVmxxY_U6vqAAqhLSz0A_13_14"/>
      <w:bookmarkStart w:id="383" w:name="Tc__Ne1fxpGAkmPmCBebzrMzQ_13_11"/>
      <w:bookmarkStart w:id="384" w:name="Tc_JZAMsMwYgE66S_dHbyeALg_13_5"/>
      <w:bookmarkStart w:id="385" w:name="Tc_Gk21XiMIPEqtP7zw9HAEbA_13_2"/>
      <w:bookmarkStart w:id="386" w:name="Tc_vfVRwLvqI0i6JtenpkLfZQ_13_0"/>
      <w:bookmarkStart w:id="387" w:name="Tc_wneZrfy1U0aFW4K5QnRxqg_12_17"/>
      <w:bookmarkStart w:id="388" w:name="Tc_ULz4Tute202A9oibrRyz-w_12_14"/>
      <w:bookmarkStart w:id="389" w:name="Tc_kKVdx3UHrE25tbUcBO8o7w_12_11"/>
      <w:bookmarkStart w:id="390" w:name="Tc_wC3aFWfDjEC7lW6n8hvVpQ_12_8"/>
      <w:bookmarkStart w:id="391" w:name="Tc_bJyXiy86bkSdO4ud7ItS5A_12_5"/>
      <w:bookmarkStart w:id="392" w:name="Tc_T_aVa3K-SUa1BZNIZEJrJA_12_0"/>
      <w:bookmarkStart w:id="393" w:name="Tc_MMj8Aozd_U2SMxqkbpOLcw_11_17"/>
      <w:bookmarkStart w:id="394" w:name="Tc_uPMSXm8kykqiBPJfeT_nqQ_11_14"/>
      <w:bookmarkStart w:id="395" w:name="Tc_oKfCYYB9zkWRESPT6JPwrA_11_11"/>
      <w:bookmarkStart w:id="396" w:name="Tc_CSIYhBggkkeIv8l9RaMm6g_11_8"/>
      <w:bookmarkStart w:id="397" w:name="Tc_5Gz94wdSgUSueaOVl82g7w_11_5"/>
      <w:bookmarkStart w:id="398" w:name="Tc_FrJK0idIkE6C8v-m16TjCA_11_0"/>
      <w:bookmarkStart w:id="399" w:name="Tc_1YFbZxNICUOJT5cy-o7zhw_10_14"/>
      <w:bookmarkStart w:id="400" w:name="Tc_htrtNN9z0Emp4K4TF_itOw_10_11"/>
      <w:bookmarkStart w:id="401" w:name="Tc_60178udopEa4RzQqhandzw_10_0"/>
      <w:bookmarkStart w:id="402" w:name="Tc_YGHA6lHFjU-OYB2rq0as-w_9_14"/>
      <w:bookmarkStart w:id="403" w:name="Tc_ZO-Iom5eqUy6KRrlMfCMwg_9_11"/>
      <w:bookmarkStart w:id="404" w:name="Tc_W67upD1IJUyI5HQ6_nGR0w_9_0"/>
      <w:bookmarkStart w:id="405" w:name="Tc_oulUAsereUKK7AdEBmP9_w_8_11"/>
      <w:bookmarkStart w:id="406" w:name="Tc_gQg2g0zVBk-KYtztrlzgTQ_8_8"/>
      <w:bookmarkStart w:id="407" w:name="Tc_79BP1DqHfk-Qqich2cZB_w_8_5"/>
      <w:bookmarkStart w:id="408" w:name="Tc_eTEV5gr-FkabvULyJZZsUA_8_2"/>
      <w:bookmarkStart w:id="409" w:name="Tc_xb6T4zxdckWczIl-5MoFfw_8_0"/>
      <w:bookmarkStart w:id="410" w:name="Tc_LtbMYGrVO0mjiNO0lGloTw_7_14"/>
      <w:bookmarkStart w:id="411" w:name="Tc_Esb_yswMB0CDM6ilYG5QYA_7_8"/>
      <w:bookmarkStart w:id="412" w:name="Tc_FkyfX7j7XkKjuAY8vXTg1A_7_5"/>
      <w:bookmarkStart w:id="413" w:name="Tc_JZPz9po6HUyVQ9lIsfQcXg_7_2"/>
      <w:bookmarkStart w:id="414" w:name="Tc__5BFtpz6CEG4UxtZmRjlZg_7_0"/>
      <w:bookmarkStart w:id="415" w:name="Tc_2tlFUr0sfkCPZsTKERg81Q_6_14"/>
      <w:bookmarkStart w:id="416" w:name="Tc_DwDpE1SQfUK38eii-1aHXA_6_8"/>
      <w:bookmarkStart w:id="417" w:name="Tc_deiU0R9v8EqfsIS1iQVQpQ_6_5"/>
      <w:bookmarkStart w:id="418" w:name="Tc_QqG0wnwF8kCGskOFPWeO0Q_6_2"/>
      <w:bookmarkStart w:id="419" w:name="Tc_YZsaSNjbnEuU6O56zxtYbw_6_0"/>
      <w:bookmarkStart w:id="420" w:name="Tc_SsJn9nzNGE-pXOTiLDO4mg_5_16"/>
      <w:bookmarkStart w:id="421" w:name="Tc_hlyGwMuVsUm2pRBz9TP84g_5_13"/>
      <w:bookmarkStart w:id="422" w:name="Tc_akG9fCsp20uGzWGcGT3KZQ_5_10"/>
      <w:bookmarkStart w:id="423" w:name="Tc_-t1HV4jRT0CpLGqtUAYX9A_5_7"/>
      <w:bookmarkStart w:id="424" w:name="Tc_cM7CBkELykKUQy9lQdpdXg_5_4"/>
      <w:bookmarkStart w:id="425" w:name="Tc_J2aiTuyfm0OUHMrAsgRnBA_5_0"/>
      <w:bookmarkStart w:id="426" w:name="Tc_cdyR8RRQRE-YaH3xc50txA_4_16"/>
      <w:bookmarkStart w:id="427" w:name="Tc_UWNPZR0zDEKmjqLb1IX1wQ_4_13"/>
      <w:bookmarkStart w:id="428" w:name="Tc_jD7ON3Oydk6daRdRFTwvVg_4_10"/>
      <w:bookmarkStart w:id="429" w:name="Tc_wfqz3A4dUkeYFTL42Y2BIA_4_7"/>
      <w:bookmarkStart w:id="430" w:name="Tc_RaEnzAfs_UORjdW9TcTcUg_4_4"/>
      <w:bookmarkStart w:id="431" w:name="Tc_jze9OhuodE-6AMw5j-mEDg_4_2"/>
      <w:bookmarkStart w:id="432" w:name="Tc_DEpWJ8yTR0C8VRQntYmGMQ_3_16"/>
      <w:bookmarkStart w:id="433" w:name="Tc_rCNtFBHbSEmxPbY3Hcbrjg_3_13"/>
      <w:bookmarkStart w:id="434" w:name="Tc_fQtAy1DirkGlZXn-XAecLA_3_10"/>
      <w:bookmarkStart w:id="435" w:name="Tc_wVbvPh9kPEqQ-ErjPJvb2Q_3_7"/>
      <w:bookmarkStart w:id="436" w:name="Tc_kT6mcxk3TkebC36kVRso8A_2_16"/>
      <w:bookmarkStart w:id="437" w:name="Tc_oE-PDH8jkUep4BYZQBKgKA_2_13"/>
      <w:bookmarkStart w:id="438" w:name="Tc_ApeqcG6gWkeRBNti8aj5kg_2_7"/>
      <w:bookmarkStart w:id="439" w:name="Tc_AzHoBczNcUeZrYqJgSHzYA_1_13"/>
      <w:bookmarkStart w:id="440" w:name="_b74ba71a_e334_4fb5_8edc_93db30df97ed"/>
      <w:bookmarkStart w:id="441" w:name="Tc_TC4j2XRpyEylt4zRdNRI5w_27_16"/>
      <w:bookmarkStart w:id="442" w:name="Tc_RyB-4f2GzUSCsm8wOTcXAw_27_13"/>
      <w:bookmarkStart w:id="443" w:name="Tc_2NrWilHrFkS5gTRQzQvNSQ_27_10"/>
      <w:bookmarkStart w:id="444" w:name="Tc_5HeXpBFhTU2JQTqQkWcbfw_27_7"/>
      <w:bookmarkStart w:id="445" w:name="Tc_wd7ZTpt2WEqBF0_zkpUH0g_27_4"/>
      <w:bookmarkStart w:id="446" w:name="Tc_kf2yGxtXyU6YvJgh3mMH1Q_27_0"/>
      <w:bookmarkStart w:id="447" w:name="Tc_xONoN5wsp0uGQTkcKeWARQ_26_14"/>
      <w:bookmarkStart w:id="448" w:name="Tc_4FEe6ZsCdU65NbT6hoOo4Q_26_11"/>
      <w:bookmarkStart w:id="449" w:name="Tc_Z17lvqrCXEqd0tHEGFJEJw_26_5"/>
      <w:bookmarkStart w:id="450" w:name="Tc_gbYC-yiDfUytP8tGSuWcSA_26_2"/>
      <w:bookmarkStart w:id="451" w:name="Tc_-oDwEJ3Uzk6NmWnKQYRyqw_26_0"/>
      <w:bookmarkStart w:id="452" w:name="Tc_qIvDvg_6wkuW1zBc34ODFQ_25_17"/>
      <w:bookmarkStart w:id="453" w:name="Tc_MdH2SqDfM0ePiHko_a1kdg_25_14"/>
      <w:bookmarkStart w:id="454" w:name="Tc_6p5FJSApYkinWJ7s22ZWpA_25_11"/>
      <w:bookmarkStart w:id="455" w:name="Tc_XX4dr2SB8kOdJn67YI89Ng_25_8"/>
      <w:bookmarkStart w:id="456" w:name="Tc_NCwUqD0dIkaBLoWPZ6B85A_25_5"/>
      <w:bookmarkStart w:id="457" w:name="Tc_4Ls-K3rQ_U-q4t-d3oo_wg_25_0"/>
      <w:bookmarkStart w:id="458" w:name="Tc_YTUx4bpv6kuDSXwqbuVnQA_24_11"/>
      <w:bookmarkStart w:id="459" w:name="Tc_3SOTLe_V1UmIpEkGrA7Aqw_24_8"/>
      <w:bookmarkStart w:id="460" w:name="Tc_12giC1VwFkuaHW1dHwOqWw_24_5"/>
      <w:bookmarkStart w:id="461" w:name="Tc_Vh6Vai-zHk-lkFRJ7-22bw_24_2"/>
      <w:bookmarkStart w:id="462" w:name="Tc_Vngx0RuBRESRyww3EYU6NQ_24_0"/>
      <w:bookmarkStart w:id="463" w:name="Tc_Y5sQmhJZFkW3c58VfH9wJg_23_14"/>
      <w:bookmarkStart w:id="464" w:name="Tc_bms3FDBHVka5rqRQLrEO0w_23_8"/>
      <w:bookmarkStart w:id="465" w:name="Tc_EWIwNlpmM0SLXbRX5x5qSg_23_5"/>
      <w:bookmarkStart w:id="466" w:name="Tc_q4Rj3FqQfkGpMbAs0fP5hw_23_2"/>
      <w:bookmarkStart w:id="467" w:name="Tc_ix3xscujwkmIOlKos_G8Yg_23_0"/>
      <w:bookmarkStart w:id="468" w:name="Tc_sDDOGEtikEaZWvPlQgRBCg_21_16"/>
      <w:bookmarkStart w:id="469" w:name="Tc_eRBA89msz0SdUrRCyjwoNQ_21_13"/>
      <w:bookmarkStart w:id="470" w:name="Tc_OWHtkkvl00aPtua9k_02Vg_21_10"/>
      <w:bookmarkStart w:id="471" w:name="Tc_lw5XxuVAz06bNLGUc15z7A_21_7"/>
      <w:bookmarkStart w:id="472" w:name="Tc_zm-7YGtvDEy8fjmM4EaYDg_21_4"/>
      <w:bookmarkStart w:id="473" w:name="Tc_YITsjRC_WUqE_Rxmc0TY7Q_21_0"/>
      <w:bookmarkStart w:id="474" w:name="Tc_zsR-fFjiv0SJ5f18rPGJeQ_20_14"/>
      <w:bookmarkStart w:id="475" w:name="Tc_UZUKDWion0Kd-8muG-5L-g_20_11"/>
      <w:bookmarkStart w:id="476" w:name="Tc_egy3IlPoBk2q6zPnnZmDwg_20_5"/>
      <w:bookmarkStart w:id="477" w:name="Tc_PEunIlol8EGxs9SqFIMclQ_20_2"/>
      <w:bookmarkStart w:id="478" w:name="Tc_pj_1_XfMt0-lFpw2B46TUA_20_0"/>
      <w:bookmarkStart w:id="479" w:name="Tc_wye_d8BUtUGtI63RFWoATw_19_17"/>
      <w:bookmarkStart w:id="480" w:name="Tc_qnPn_HXoYkCw6J0EaBqU5A_19_14"/>
      <w:bookmarkStart w:id="481" w:name="Tc_bYBs4EEoV0Sj8qwTvwZ_pQ_19_11"/>
      <w:bookmarkStart w:id="482" w:name="Tc_7Y6PiOMaJEK79JS22pJQQw_19_8"/>
      <w:bookmarkStart w:id="483" w:name="Tc_S1oe1ujH3ke2iQsuWwHRLQ_19_5"/>
      <w:bookmarkStart w:id="484" w:name="Tc_JvoyZRYvHkK1oS5FzByRKQ_19_0"/>
      <w:bookmarkStart w:id="485" w:name="Tc_EZhds3Jbf0eXlMSUvCeg4Q_18_14"/>
      <w:bookmarkStart w:id="486" w:name="Tc_0YGbq4yYb0aZygzdO3ty7w_18_11"/>
      <w:bookmarkStart w:id="487" w:name="Tc_q9bZf_w3okyx-BjlWR4X4A_18_5"/>
      <w:bookmarkStart w:id="488" w:name="Tc_ElJj-oG-30qoOavBKfifww_18_0"/>
      <w:bookmarkStart w:id="489" w:name="Tc_7aUVXa-D60O_PEAkgXHZLA_17_11"/>
      <w:bookmarkStart w:id="490" w:name="Tc_Z1b_sD92VEa044ubUaZBGw_17_8"/>
      <w:bookmarkStart w:id="491" w:name="Tc_1C1adKMM-UeJ8tiBm9DBgg_17_5"/>
      <w:bookmarkStart w:id="492" w:name="Tc_RppCbn_lFUaL15hByUijOw_17_2"/>
      <w:bookmarkStart w:id="493" w:name="Tc_h1f0Ba94okmhtz45fl1H2w_17_0"/>
      <w:bookmarkStart w:id="494" w:name="Tc_-uXxptVXZkKpIhLHnkO6xg_16_14"/>
      <w:bookmarkStart w:id="495" w:name="Tc_2jRElqVIeU6SGZ7nkhqL7w_16_8"/>
      <w:bookmarkStart w:id="496" w:name="Tc_S6K4sxtWGk--UoixIOt_bQ_16_5"/>
      <w:bookmarkStart w:id="497" w:name="Tc_9lraOIZ5SkqhWkhZto0y7Q_16_2"/>
      <w:bookmarkStart w:id="498" w:name="Tc_d4HZyRCP7UqwcfHqAyWpYQ_16_0"/>
      <w:bookmarkStart w:id="499" w:name="Tc_yGb_hZ9YJkSyZCtmGxYaJA_14_16"/>
      <w:bookmarkStart w:id="500" w:name="Tc_2s0V98DEAEqZjIeEiHQueQ_14_13"/>
      <w:bookmarkStart w:id="501" w:name="Tc_QxFLNEG0LEGedUnLdRXYdg_14_10"/>
      <w:bookmarkStart w:id="502" w:name="Tc_OHdl8D9e3E-TMV8m0qO2qg_14_7"/>
      <w:bookmarkStart w:id="503" w:name="Tc_ZtpbZTyC0kSDgIGIA9xZPA_14_4"/>
      <w:bookmarkStart w:id="504" w:name="Tc_Q2TPHiG7fk6yTdkJ91nQ6w_14_0"/>
      <w:bookmarkStart w:id="505" w:name="Tc_xMTVmxxY_U6vqAAqhLSz0A_13_14"/>
      <w:bookmarkStart w:id="506" w:name="Tc__Ne1fxpGAkmPmCBebzrMzQ_13_11"/>
      <w:bookmarkStart w:id="507" w:name="Tc_JZAMsMwYgE66S_dHbyeALg_13_5"/>
      <w:bookmarkStart w:id="508" w:name="Tc_Gk21XiMIPEqtP7zw9HAEbA_13_2"/>
      <w:bookmarkStart w:id="509" w:name="Tc_vfVRwLvqI0i6JtenpkLfZQ_13_0"/>
      <w:bookmarkStart w:id="510" w:name="Tc_wneZrfy1U0aFW4K5QnRxqg_12_17"/>
      <w:bookmarkStart w:id="511" w:name="Tc_ULz4Tute202A9oibrRyz-w_12_14"/>
      <w:bookmarkStart w:id="512" w:name="Tc_kKVdx3UHrE25tbUcBO8o7w_12_11"/>
      <w:bookmarkStart w:id="513" w:name="Tc_wC3aFWfDjEC7lW6n8hvVpQ_12_8"/>
      <w:bookmarkStart w:id="514" w:name="Tc_bJyXiy86bkSdO4ud7ItS5A_12_5"/>
      <w:bookmarkStart w:id="515" w:name="Tc_T_aVa3K-SUa1BZNIZEJrJA_12_0"/>
      <w:bookmarkStart w:id="516" w:name="Tc_MMj8Aozd_U2SMxqkbpOLcw_11_17"/>
      <w:bookmarkStart w:id="517" w:name="Tc_uPMSXm8kykqiBPJfeT_nqQ_11_14"/>
      <w:bookmarkStart w:id="518" w:name="Tc_oKfCYYB9zkWRESPT6JPwrA_11_11"/>
      <w:bookmarkStart w:id="519" w:name="Tc_CSIYhBggkkeIv8l9RaMm6g_11_8"/>
      <w:bookmarkStart w:id="520" w:name="Tc_5Gz94wdSgUSueaOVl82g7w_11_5"/>
      <w:bookmarkStart w:id="521" w:name="Tc_FrJK0idIkE6C8v-m16TjCA_11_0"/>
      <w:bookmarkStart w:id="522" w:name="Tc_1YFbZxNICUOJT5cy-o7zhw_10_14"/>
      <w:bookmarkStart w:id="523" w:name="Tc_htrtNN9z0Emp4K4TF_itOw_10_11"/>
      <w:bookmarkStart w:id="524" w:name="Tc_60178udopEa4RzQqhandzw_10_0"/>
      <w:bookmarkStart w:id="525" w:name="Tc_YGHA6lHFjU-OYB2rq0as-w_9_14"/>
      <w:bookmarkStart w:id="526" w:name="Tc_ZO-Iom5eqUy6KRrlMfCMwg_9_11"/>
      <w:bookmarkStart w:id="527" w:name="Tc_W67upD1IJUyI5HQ6_nGR0w_9_0"/>
      <w:bookmarkStart w:id="528" w:name="Tc_oulUAsereUKK7AdEBmP9_w_8_11"/>
      <w:bookmarkStart w:id="529" w:name="Tc_gQg2g0zVBk-KYtztrlzgTQ_8_8"/>
      <w:bookmarkStart w:id="530" w:name="Tc_79BP1DqHfk-Qqich2cZB_w_8_5"/>
      <w:bookmarkStart w:id="531" w:name="Tc_eTEV5gr-FkabvULyJZZsUA_8_2"/>
      <w:bookmarkStart w:id="532" w:name="Tc_xb6T4zxdckWczIl-5MoFfw_8_0"/>
      <w:bookmarkStart w:id="533" w:name="Tc_LtbMYGrVO0mjiNO0lGloTw_7_14"/>
      <w:bookmarkStart w:id="534" w:name="Tc_Esb_yswMB0CDM6ilYG5QYA_7_8"/>
      <w:bookmarkStart w:id="535" w:name="Tc_FkyfX7j7XkKjuAY8vXTg1A_7_5"/>
      <w:bookmarkStart w:id="536" w:name="Tc_JZPz9po6HUyVQ9lIsfQcXg_7_2"/>
      <w:bookmarkStart w:id="537" w:name="Tc__5BFtpz6CEG4UxtZmRjlZg_7_0"/>
      <w:bookmarkStart w:id="538" w:name="Tc_2tlFUr0sfkCPZsTKERg81Q_6_14"/>
      <w:bookmarkStart w:id="539" w:name="Tc_DwDpE1SQfUK38eii-1aHXA_6_8"/>
      <w:bookmarkStart w:id="540" w:name="Tc_deiU0R9v8EqfsIS1iQVQpQ_6_5"/>
      <w:bookmarkStart w:id="541" w:name="Tc_QqG0wnwF8kCGskOFPWeO0Q_6_2"/>
      <w:bookmarkStart w:id="542" w:name="Tc_YZsaSNjbnEuU6O56zxtYbw_6_0"/>
      <w:bookmarkStart w:id="543" w:name="Tc_SsJn9nzNGE-pXOTiLDO4mg_5_16"/>
      <w:bookmarkStart w:id="544" w:name="Tc_hlyGwMuVsUm2pRBz9TP84g_5_13"/>
      <w:bookmarkStart w:id="545" w:name="Tc_akG9fCsp20uGzWGcGT3KZQ_5_10"/>
      <w:bookmarkStart w:id="546" w:name="Tc_-t1HV4jRT0CpLGqtUAYX9A_5_7"/>
      <w:bookmarkStart w:id="547" w:name="Tc_cM7CBkELykKUQy9lQdpdXg_5_4"/>
      <w:bookmarkStart w:id="548" w:name="Tc_J2aiTuyfm0OUHMrAsgRnBA_5_0"/>
      <w:bookmarkStart w:id="549" w:name="Tc_cdyR8RRQRE-YaH3xc50txA_4_16"/>
      <w:bookmarkStart w:id="550" w:name="Tc_UWNPZR0zDEKmjqLb1IX1wQ_4_13"/>
      <w:bookmarkStart w:id="551" w:name="Tc_jD7ON3Oydk6daRdRFTwvVg_4_10"/>
      <w:bookmarkStart w:id="552" w:name="Tc_wfqz3A4dUkeYFTL42Y2BIA_4_7"/>
      <w:bookmarkStart w:id="553" w:name="Tc_RaEnzAfs_UORjdW9TcTcUg_4_4"/>
      <w:bookmarkStart w:id="554" w:name="Tc_jze9OhuodE-6AMw5j-mEDg_4_2"/>
      <w:bookmarkStart w:id="555" w:name="Tc_DEpWJ8yTR0C8VRQntYmGMQ_3_16"/>
      <w:bookmarkStart w:id="556" w:name="Tc_rCNtFBHbSEmxPbY3Hcbrjg_3_13"/>
      <w:bookmarkStart w:id="557" w:name="Tc_fQtAy1DirkGlZXn-XAecLA_3_10"/>
      <w:bookmarkStart w:id="558" w:name="Tc_wVbvPh9kPEqQ-ErjPJvb2Q_3_7"/>
      <w:bookmarkStart w:id="559" w:name="Tc_kT6mcxk3TkebC36kVRso8A_2_16"/>
      <w:bookmarkStart w:id="560" w:name="Tc_oE-PDH8jkUep4BYZQBKgKA_2_13"/>
      <w:bookmarkStart w:id="561" w:name="Tc_ApeqcG6gWkeRBNti8aj5kg_2_7"/>
      <w:bookmarkStart w:id="562" w:name="Tc_AzHoBczNcUeZrYqJgSHzYA_1_13"/>
      <w:bookmarkStart w:id="563" w:name="_b74ba71a_e334_4fb5_8edc_93db30df97ed"/>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tbl>
      <w:tblPr>
        <w:tblW w:w="10205" w:type="dxa"/>
        <w:jc w:val="left"/>
        <w:tblInd w:w="0" w:type="dxa"/>
        <w:tblLayout w:type="fixed"/>
        <w:tblCellMar>
          <w:top w:w="0" w:type="dxa"/>
          <w:left w:w="0" w:type="dxa"/>
          <w:bottom w:w="0" w:type="dxa"/>
          <w:right w:w="0" w:type="dxa"/>
        </w:tblCellMar>
      </w:tblPr>
      <w:tblGrid>
        <w:gridCol w:w="1822"/>
        <w:gridCol w:w="326"/>
        <w:gridCol w:w="1142"/>
        <w:gridCol w:w="326"/>
        <w:gridCol w:w="261"/>
        <w:gridCol w:w="430"/>
        <w:gridCol w:w="326"/>
        <w:gridCol w:w="211"/>
        <w:gridCol w:w="848"/>
        <w:gridCol w:w="326"/>
        <w:gridCol w:w="247"/>
        <w:gridCol w:w="864"/>
        <w:gridCol w:w="326"/>
        <w:gridCol w:w="319"/>
        <w:gridCol w:w="957"/>
        <w:gridCol w:w="326"/>
        <w:gridCol w:w="211"/>
        <w:gridCol w:w="937"/>
      </w:tblGrid>
      <w:tr>
        <w:trPr/>
        <w:tc>
          <w:tcPr>
            <w:tcW w:w="1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156970" cy="175260"/>
                      <wp:effectExtent l="0" t="0" r="0" b="0"/>
                      <wp:wrapNone/>
                      <wp:docPr id="39" name="Frame39"/>
                      <a:graphic xmlns:a="http://schemas.openxmlformats.org/drawingml/2006/main">
                        <a:graphicData uri="http://schemas.microsoft.com/office/word/2010/wordprocessingShape">
                          <wps:wsp>
                            <wps:cNvSpPr txBox="1"/>
                            <wps:spPr>
                              <a:xfrm>
                                <a:off x="0" y="0"/>
                                <a:ext cx="1156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725170" cy="175260"/>
                      <wp:effectExtent l="0" t="0" r="0" b="0"/>
                      <wp:wrapNone/>
                      <wp:docPr id="41" name="Frame41"/>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65735" cy="175260"/>
                      <wp:effectExtent l="0" t="0" r="0" b="0"/>
                      <wp:wrapNone/>
                      <wp:docPr id="43" name="Frame43"/>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73050" cy="175260"/>
                      <wp:effectExtent l="0" t="0" r="0" b="0"/>
                      <wp:wrapNone/>
                      <wp:docPr id="44" name="Frame44"/>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3985" cy="175260"/>
                      <wp:effectExtent l="0" t="0" r="0" b="0"/>
                      <wp:wrapNone/>
                      <wp:docPr id="46" name="Frame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38480" cy="175260"/>
                      <wp:effectExtent l="0" t="0" r="0" b="0"/>
                      <wp:wrapNone/>
                      <wp:docPr id="47" name="Frame47"/>
                      <a:graphic xmlns:a="http://schemas.openxmlformats.org/drawingml/2006/main">
                        <a:graphicData uri="http://schemas.microsoft.com/office/word/2010/wordprocessingShape">
                          <wps:wsp>
                            <wps:cNvSpPr txBox="1"/>
                            <wps:spPr>
                              <a:xfrm>
                                <a:off x="0" y="0"/>
                                <a:ext cx="538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56845" cy="175260"/>
                      <wp:effectExtent l="0" t="0" r="0" b="0"/>
                      <wp:wrapNone/>
                      <wp:docPr id="49" name="Frame49"/>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48640" cy="175260"/>
                      <wp:effectExtent l="0" t="0" r="0" b="0"/>
                      <wp:wrapNone/>
                      <wp:docPr id="50" name="Frame50"/>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2565" cy="175260"/>
                      <wp:effectExtent l="0" t="0" r="0" b="0"/>
                      <wp:wrapNone/>
                      <wp:docPr id="52" name="Frame52"/>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07695" cy="175260"/>
                      <wp:effectExtent l="0" t="0" r="0" b="0"/>
                      <wp:wrapNone/>
                      <wp:docPr id="53" name="Frame53"/>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55" name="Frame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94995" cy="175260"/>
                      <wp:effectExtent l="0" t="0" r="0" b="0"/>
                      <wp:wrapNone/>
                      <wp:docPr id="56" name="Frame56"/>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4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11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2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37" w:type="dxa"/>
            <w:tcBorders/>
            <w:vAlign w:val="center"/>
          </w:tcPr>
          <w:p>
            <w:pPr>
              <w:pStyle w:val="TableContents"/>
              <w:bidi w:val="0"/>
              <w:spacing w:before="0" w:after="1"/>
              <w:ind w:left="0" w:right="0" w:hanging="0"/>
              <w:jc w:val="center"/>
              <w:rPr/>
            </w:pPr>
            <w:r>
              <w:rPr/>
              <w:t>​</w:t>
            </w:r>
          </w:p>
        </w:tc>
      </w:tr>
      <w:tr>
        <w:trPr/>
        <w:tc>
          <w:tcPr>
            <w:tcW w:w="18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5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11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w:t>
            </w:r>
          </w:p>
        </w:tc>
        <w:tc>
          <w:tcPr>
            <w:tcW w:w="114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59"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Paid-in </w:t>
            </w:r>
          </w:p>
        </w:tc>
        <w:tc>
          <w:tcPr>
            <w:tcW w:w="326" w:type="dxa"/>
            <w:tcBorders/>
            <w:vAlign w:val="center"/>
          </w:tcPr>
          <w:p>
            <w:pPr>
              <w:pStyle w:val="TableContents"/>
              <w:bidi w:val="0"/>
              <w:spacing w:before="0" w:after="1"/>
              <w:ind w:left="0" w:right="0" w:hanging="0"/>
              <w:jc w:val="left"/>
              <w:rPr/>
            </w:pPr>
            <w:r>
              <w:rPr/>
              <w:t>​</w:t>
            </w:r>
          </w:p>
        </w:tc>
        <w:tc>
          <w:tcPr>
            <w:tcW w:w="1111"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276"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left"/>
              <w:rPr/>
            </w:pPr>
            <w:r>
              <w:rPr/>
              <w:t>​</w:t>
            </w:r>
          </w:p>
        </w:tc>
        <w:tc>
          <w:tcPr>
            <w:tcW w:w="1148"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Stockholders'</w:t>
            </w:r>
          </w:p>
        </w:tc>
      </w:tr>
      <w:tr>
        <w:trPr/>
        <w:tc>
          <w:tcPr>
            <w:tcW w:w="18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w:t>
            </w:r>
          </w:p>
        </w:tc>
        <w:tc>
          <w:tcPr>
            <w:tcW w:w="105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w:t>
            </w:r>
          </w:p>
        </w:tc>
        <w:tc>
          <w:tcPr>
            <w:tcW w:w="12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vAlign w:val="center"/>
          </w:tcPr>
          <w:p>
            <w:pPr>
              <w:pStyle w:val="TableContents"/>
              <w:bidi w:val="0"/>
              <w:spacing w:before="0" w:after="1"/>
              <w:ind w:left="0" w:right="0" w:hanging="0"/>
              <w:jc w:val="left"/>
              <w:rPr/>
            </w:pPr>
            <w:r>
              <w:rPr/>
              <w:t>​</w:t>
            </w:r>
          </w:p>
        </w:tc>
        <w:tc>
          <w:tcPr>
            <w:tcW w:w="1148"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Equity</w:t>
            </w:r>
          </w:p>
        </w:tc>
      </w:tr>
      <w:tr>
        <w:trPr/>
        <w:tc>
          <w:tcPr>
            <w:tcW w:w="182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Balances at December 31, 2021</w:t>
            </w:r>
          </w:p>
        </w:tc>
        <w:tc>
          <w:tcPr>
            <w:tcW w:w="326" w:type="dxa"/>
            <w:tcBorders/>
            <w:shd w:fill="CCEEFF" w:val="clear"/>
            <w:vAlign w:val="center"/>
          </w:tcPr>
          <w:p>
            <w:pPr>
              <w:pStyle w:val="TableContents"/>
              <w:bidi w:val="0"/>
              <w:spacing w:before="0" w:after="1"/>
              <w:ind w:left="0" w:right="0" w:hanging="0"/>
              <w:jc w:val="left"/>
              <w:rPr/>
            </w:pPr>
            <w:r>
              <w:rPr/>
              <w:t> </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119,445,611</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401,846</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(48,583)</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353,645</w:t>
            </w:r>
          </w:p>
        </w:tc>
      </w:tr>
      <w:tr>
        <w:trPr/>
        <w:tc>
          <w:tcPr>
            <w:tcW w:w="18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Cumulative effect of adoption of new accounting standard - leases</w:t>
            </w:r>
          </w:p>
        </w:tc>
        <w:tc>
          <w:tcPr>
            <w:tcW w:w="326"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w:t>
            </w:r>
          </w:p>
        </w:tc>
        <w:tc>
          <w:tcPr>
            <w:tcW w:w="32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9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w:t>
            </w:r>
          </w:p>
        </w:tc>
      </w:tr>
      <w:tr>
        <w:trPr/>
        <w:tc>
          <w:tcPr>
            <w:tcW w:w="18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11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4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 </w:t>
            </w:r>
          </w:p>
        </w:tc>
        <w:tc>
          <w:tcPr>
            <w:tcW w:w="8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(2,840)</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 </w:t>
            </w:r>
          </w:p>
        </w:tc>
        <w:tc>
          <w:tcPr>
            <w:tcW w:w="9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(2,840)</w:t>
            </w:r>
          </w:p>
        </w:tc>
      </w:tr>
      <w:tr>
        <w:trPr/>
        <w:tc>
          <w:tcPr>
            <w:tcW w:w="18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vAlign w:val="center"/>
          </w:tcPr>
          <w:p>
            <w:pPr>
              <w:pStyle w:val="TableContents"/>
              <w:bidi w:val="0"/>
              <w:spacing w:before="0" w:after="1"/>
              <w:ind w:left="0" w:right="0" w:hanging="0"/>
              <w:jc w:val="left"/>
              <w:rPr/>
            </w:pPr>
            <w:r>
              <w:rPr/>
              <w:t> </w:t>
            </w:r>
          </w:p>
        </w:tc>
        <w:tc>
          <w:tcPr>
            <w:tcW w:w="11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4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 </w:t>
            </w:r>
          </w:p>
        </w:tc>
        <w:tc>
          <w:tcPr>
            <w:tcW w:w="86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 </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1,220</w:t>
            </w:r>
          </w:p>
        </w:tc>
      </w:tr>
      <w:tr>
        <w:trPr/>
        <w:tc>
          <w:tcPr>
            <w:tcW w:w="18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13,800,000</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269,099</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86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9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269,100</w:t>
            </w:r>
          </w:p>
        </w:tc>
      </w:tr>
      <w:tr>
        <w:trPr/>
        <w:tc>
          <w:tcPr>
            <w:tcW w:w="18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and retirement of common stock</w:t>
            </w:r>
          </w:p>
        </w:tc>
        <w:tc>
          <w:tcPr>
            <w:tcW w:w="326"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(13,800,244)</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(257,662)</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9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(257,663)</w:t>
            </w:r>
          </w:p>
        </w:tc>
      </w:tr>
      <w:tr>
        <w:trPr/>
        <w:tc>
          <w:tcPr>
            <w:tcW w:w="18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Retirement of restricted stock</w:t>
            </w:r>
          </w:p>
        </w:tc>
        <w:tc>
          <w:tcPr>
            <w:tcW w:w="326" w:type="dxa"/>
            <w:tcBorders/>
            <w:shd w:fill="CCEEFF" w:val="clear"/>
            <w:vAlign w:val="center"/>
          </w:tcPr>
          <w:p>
            <w:pPr>
              <w:pStyle w:val="TableContents"/>
              <w:bidi w:val="0"/>
              <w:spacing w:before="0" w:after="1"/>
              <w:ind w:left="0" w:right="0" w:hanging="0"/>
              <w:jc w:val="left"/>
              <w:rPr/>
            </w:pPr>
            <w:r>
              <w:rPr/>
              <w:t>​</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(53,961)</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86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9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7" w:type="dxa"/>
            <w:tcBorders/>
            <w:shd w:fill="CCEEFF" w:val="clear"/>
            <w:vAlign w:val="center"/>
          </w:tcPr>
          <w:p>
            <w:pPr>
              <w:pStyle w:val="TableContents"/>
              <w:bidi w:val="0"/>
              <w:spacing w:before="0" w:after="1"/>
              <w:ind w:left="0" w:right="0" w:hanging="0"/>
              <w:jc w:val="right"/>
              <w:rPr/>
            </w:pPr>
            <w:r>
              <w:rPr/>
              <w:t>—</w:t>
            </w:r>
          </w:p>
        </w:tc>
      </w:tr>
      <w:tr>
        <w:trPr/>
        <w:tc>
          <w:tcPr>
            <w:tcW w:w="18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release of restricted stock units</w:t>
            </w:r>
          </w:p>
        </w:tc>
        <w:tc>
          <w:tcPr>
            <w:tcW w:w="326"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78,341</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9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7" w:type="dxa"/>
            <w:tcBorders/>
            <w:vAlign w:val="center"/>
          </w:tcPr>
          <w:p>
            <w:pPr>
              <w:pStyle w:val="TableContents"/>
              <w:bidi w:val="0"/>
              <w:spacing w:before="0" w:after="1"/>
              <w:ind w:left="0" w:right="0" w:hanging="0"/>
              <w:jc w:val="right"/>
              <w:rPr/>
            </w:pPr>
            <w:r>
              <w:rPr/>
              <w:t>—</w:t>
            </w:r>
          </w:p>
        </w:tc>
      </w:tr>
      <w:tr>
        <w:trPr/>
        <w:tc>
          <w:tcPr>
            <w:tcW w:w="18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11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16,925</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16,925</w:t>
            </w:r>
          </w:p>
        </w:tc>
      </w:tr>
      <w:tr>
        <w:trPr/>
        <w:tc>
          <w:tcPr>
            <w:tcW w:w="182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Balances at April 2, 2022</w:t>
            </w:r>
          </w:p>
        </w:tc>
        <w:tc>
          <w:tcPr>
            <w:tcW w:w="326" w:type="dxa"/>
            <w:tcBorders/>
            <w:vAlign w:val="center"/>
          </w:tcPr>
          <w:p>
            <w:pPr>
              <w:pStyle w:val="TableContents"/>
              <w:bidi w:val="0"/>
              <w:spacing w:before="0" w:after="1"/>
              <w:ind w:left="0" w:right="0" w:hanging="0"/>
              <w:jc w:val="left"/>
              <w:rPr/>
            </w:pPr>
            <w:r>
              <w:rPr/>
              <w:t> </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119,469,747</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430,208</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(51,714)</w:t>
            </w:r>
          </w:p>
        </w:tc>
        <w:tc>
          <w:tcPr>
            <w:tcW w:w="32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380,096</w:t>
            </w:r>
          </w:p>
        </w:tc>
      </w:tr>
      <w:tr>
        <w:trPr/>
        <w:tc>
          <w:tcPr>
            <w:tcW w:w="182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4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86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95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7" w:type="dxa"/>
            <w:tcBorders/>
            <w:shd w:fill="CCEEFF" w:val="clear"/>
            <w:vAlign w:val="center"/>
          </w:tcPr>
          <w:p>
            <w:pPr>
              <w:pStyle w:val="TableContents"/>
              <w:bidi w:val="0"/>
              <w:spacing w:before="0" w:after="1"/>
              <w:ind w:left="0" w:right="0" w:hanging="0"/>
              <w:jc w:val="left"/>
              <w:rPr/>
            </w:pPr>
            <w:r>
              <w:rPr/>
              <w:t>​</w:t>
            </w:r>
          </w:p>
        </w:tc>
      </w:tr>
      <w:tr>
        <w:trPr/>
        <w:tc>
          <w:tcPr>
            <w:tcW w:w="18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1"/>
              <w:ind w:left="0" w:right="0" w:hanging="0"/>
              <w:jc w:val="left"/>
              <w:rPr/>
            </w:pPr>
            <w:r>
              <w:rPr/>
              <w:t> </w:t>
            </w:r>
          </w:p>
        </w:tc>
        <w:tc>
          <w:tcPr>
            <w:tcW w:w="11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4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 </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4,303</w:t>
            </w:r>
          </w:p>
        </w:tc>
        <w:tc>
          <w:tcPr>
            <w:tcW w:w="32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 </w:t>
            </w:r>
          </w:p>
        </w:tc>
        <w:tc>
          <w:tcPr>
            <w:tcW w:w="9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4,303</w:t>
            </w:r>
          </w:p>
        </w:tc>
      </w:tr>
      <w:tr>
        <w:trPr/>
        <w:tc>
          <w:tcPr>
            <w:tcW w:w="18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bidi w:val="0"/>
              <w:spacing w:before="0" w:after="1"/>
              <w:ind w:left="0" w:right="0" w:hanging="0"/>
              <w:jc w:val="left"/>
              <w:rPr/>
            </w:pPr>
            <w:r>
              <w:rPr/>
              <w:t> </w:t>
            </w:r>
          </w:p>
        </w:tc>
        <w:tc>
          <w:tcPr>
            <w:tcW w:w="11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4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 </w:t>
            </w:r>
          </w:p>
        </w:tc>
        <w:tc>
          <w:tcPr>
            <w:tcW w:w="86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 </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(3,917)</w:t>
            </w:r>
          </w:p>
        </w:tc>
      </w:tr>
      <w:tr>
        <w:trPr/>
        <w:tc>
          <w:tcPr>
            <w:tcW w:w="18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and retirement of common stock under repurchase program</w:t>
            </w:r>
          </w:p>
        </w:tc>
        <w:tc>
          <w:tcPr>
            <w:tcW w:w="326" w:type="dxa"/>
            <w:tcBorders/>
            <w:vAlign w:val="center"/>
          </w:tcPr>
          <w:p>
            <w:pPr>
              <w:pStyle w:val="TableContents"/>
              <w:bidi w:val="0"/>
              <w:spacing w:before="0" w:after="1"/>
              <w:ind w:left="0" w:right="0" w:hanging="0"/>
              <w:jc w:val="left"/>
              <w:rPr/>
            </w:pPr>
            <w:r>
              <w:rPr/>
              <w:t> </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(2,026,231)</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4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 </w:t>
            </w:r>
          </w:p>
        </w:tc>
        <w:tc>
          <w:tcPr>
            <w:tcW w:w="86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 </w:t>
            </w:r>
          </w:p>
        </w:tc>
        <w:tc>
          <w:tcPr>
            <w:tcW w:w="9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18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release of restricted stock units</w:t>
            </w:r>
          </w:p>
        </w:tc>
        <w:tc>
          <w:tcPr>
            <w:tcW w:w="326" w:type="dxa"/>
            <w:tcBorders/>
            <w:shd w:fill="CCEEFF" w:val="clear"/>
            <w:vAlign w:val="center"/>
          </w:tcPr>
          <w:p>
            <w:pPr>
              <w:pStyle w:val="TableContents"/>
              <w:bidi w:val="0"/>
              <w:spacing w:before="0" w:after="1"/>
              <w:ind w:left="0" w:right="0" w:hanging="0"/>
              <w:jc w:val="left"/>
              <w:rPr/>
            </w:pPr>
            <w:r>
              <w:rPr/>
              <w:t>​</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104,042</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86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9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7" w:type="dxa"/>
            <w:tcBorders/>
            <w:shd w:fill="CCEEFF" w:val="clear"/>
            <w:vAlign w:val="center"/>
          </w:tcPr>
          <w:p>
            <w:pPr>
              <w:pStyle w:val="TableContents"/>
              <w:bidi w:val="0"/>
              <w:spacing w:before="0" w:after="1"/>
              <w:ind w:left="0" w:right="0" w:hanging="0"/>
              <w:jc w:val="right"/>
              <w:rPr/>
            </w:pPr>
            <w:r>
              <w:rPr/>
              <w:t>—</w:t>
            </w:r>
          </w:p>
        </w:tc>
      </w:tr>
      <w:tr>
        <w:trPr/>
        <w:tc>
          <w:tcPr>
            <w:tcW w:w="18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1"/>
              <w:ind w:left="0" w:right="0" w:hanging="0"/>
              <w:jc w:val="left"/>
              <w:rPr/>
            </w:pPr>
            <w:r>
              <w:rPr/>
              <w:t>​</w:t>
            </w:r>
          </w:p>
        </w:tc>
        <w:tc>
          <w:tcPr>
            <w:tcW w:w="11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16,429</w:t>
            </w:r>
          </w:p>
        </w:tc>
        <w:tc>
          <w:tcPr>
            <w:tcW w:w="326" w:type="dxa"/>
            <w:tcBorders/>
            <w:vAlign w:val="center"/>
          </w:tcPr>
          <w:p>
            <w:pPr>
              <w:pStyle w:val="TableContents"/>
              <w:bidi w:val="0"/>
              <w:spacing w:before="0" w:after="1"/>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16,429</w:t>
            </w:r>
          </w:p>
        </w:tc>
      </w:tr>
      <w:tr>
        <w:trPr/>
        <w:tc>
          <w:tcPr>
            <w:tcW w:w="182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Balances at July 2, 2022</w:t>
            </w:r>
          </w:p>
        </w:tc>
        <w:tc>
          <w:tcPr>
            <w:tcW w:w="326" w:type="dxa"/>
            <w:tcBorders/>
            <w:shd w:fill="CCEEFF" w:val="clear"/>
            <w:vAlign w:val="center"/>
          </w:tcPr>
          <w:p>
            <w:pPr>
              <w:pStyle w:val="TableContents"/>
              <w:bidi w:val="0"/>
              <w:spacing w:before="0" w:after="1"/>
              <w:ind w:left="0" w:right="0" w:hanging="0"/>
              <w:jc w:val="left"/>
              <w:rPr/>
            </w:pPr>
            <w:r>
              <w:rPr/>
              <w:t> </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117,547,558</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431,637</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(47,411)</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381,911</w:t>
            </w:r>
          </w:p>
        </w:tc>
      </w:tr>
      <w:tr>
        <w:trPr/>
        <w:tc>
          <w:tcPr>
            <w:tcW w:w="18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9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7" w:type="dxa"/>
            <w:tcBorders/>
            <w:vAlign w:val="center"/>
          </w:tcPr>
          <w:p>
            <w:pPr>
              <w:pStyle w:val="TableContents"/>
              <w:bidi w:val="0"/>
              <w:spacing w:before="0" w:after="1"/>
              <w:ind w:left="0" w:right="0" w:hanging="0"/>
              <w:jc w:val="left"/>
              <w:rPr/>
            </w:pPr>
            <w:r>
              <w:rPr/>
              <w:t>​</w:t>
            </w:r>
          </w:p>
        </w:tc>
      </w:tr>
      <w:tr>
        <w:trPr/>
        <w:tc>
          <w:tcPr>
            <w:tcW w:w="18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1"/>
              <w:ind w:left="0" w:right="0" w:hanging="0"/>
              <w:jc w:val="left"/>
              <w:rPr/>
            </w:pPr>
            <w:r>
              <w:rPr/>
              <w:t> </w:t>
            </w:r>
          </w:p>
        </w:tc>
        <w:tc>
          <w:tcPr>
            <w:tcW w:w="11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4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 </w:t>
            </w:r>
          </w:p>
        </w:tc>
        <w:tc>
          <w:tcPr>
            <w:tcW w:w="8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11,876</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 </w:t>
            </w:r>
          </w:p>
        </w:tc>
        <w:tc>
          <w:tcPr>
            <w:tcW w:w="9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11,876</w:t>
            </w:r>
          </w:p>
        </w:tc>
      </w:tr>
      <w:tr>
        <w:trPr/>
        <w:tc>
          <w:tcPr>
            <w:tcW w:w="18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vAlign w:val="center"/>
          </w:tcPr>
          <w:p>
            <w:pPr>
              <w:pStyle w:val="TableContents"/>
              <w:bidi w:val="0"/>
              <w:spacing w:before="0" w:after="1"/>
              <w:ind w:left="0" w:right="0" w:hanging="0"/>
              <w:jc w:val="left"/>
              <w:rPr/>
            </w:pPr>
            <w:r>
              <w:rPr/>
              <w:t> </w:t>
            </w:r>
          </w:p>
        </w:tc>
        <w:tc>
          <w:tcPr>
            <w:tcW w:w="11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4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 </w:t>
            </w:r>
          </w:p>
        </w:tc>
        <w:tc>
          <w:tcPr>
            <w:tcW w:w="86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 </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(2,813)</w:t>
            </w:r>
          </w:p>
        </w:tc>
      </w:tr>
      <w:tr>
        <w:trPr/>
        <w:tc>
          <w:tcPr>
            <w:tcW w:w="18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Retirement of restricted stock</w:t>
            </w:r>
          </w:p>
        </w:tc>
        <w:tc>
          <w:tcPr>
            <w:tcW w:w="326" w:type="dxa"/>
            <w:tcBorders/>
            <w:shd w:fill="CCEEFF" w:val="clear"/>
            <w:vAlign w:val="center"/>
          </w:tcPr>
          <w:p>
            <w:pPr>
              <w:pStyle w:val="TableContents"/>
              <w:bidi w:val="0"/>
              <w:spacing w:before="0" w:after="1"/>
              <w:ind w:left="0" w:right="0" w:hanging="0"/>
              <w:jc w:val="left"/>
              <w:rPr/>
            </w:pPr>
            <w:r>
              <w:rPr/>
              <w:t>​</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(426,424)</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86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9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7" w:type="dxa"/>
            <w:tcBorders/>
            <w:shd w:fill="CCEEFF" w:val="clear"/>
            <w:vAlign w:val="center"/>
          </w:tcPr>
          <w:p>
            <w:pPr>
              <w:pStyle w:val="TableContents"/>
              <w:bidi w:val="0"/>
              <w:spacing w:before="0" w:after="1"/>
              <w:ind w:left="0" w:right="0" w:hanging="0"/>
              <w:jc w:val="right"/>
              <w:rPr/>
            </w:pPr>
            <w:r>
              <w:rPr/>
              <w:t>—</w:t>
            </w:r>
          </w:p>
        </w:tc>
      </w:tr>
      <w:tr>
        <w:trPr/>
        <w:tc>
          <w:tcPr>
            <w:tcW w:w="18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1"/>
              <w:ind w:left="0" w:right="0" w:hanging="0"/>
              <w:jc w:val="left"/>
              <w:rPr/>
            </w:pPr>
            <w:r>
              <w:rPr/>
              <w:t>​</w:t>
            </w:r>
          </w:p>
        </w:tc>
        <w:tc>
          <w:tcPr>
            <w:tcW w:w="11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7,061</w:t>
            </w:r>
          </w:p>
        </w:tc>
        <w:tc>
          <w:tcPr>
            <w:tcW w:w="326" w:type="dxa"/>
            <w:tcBorders/>
            <w:vAlign w:val="center"/>
          </w:tcPr>
          <w:p>
            <w:pPr>
              <w:pStyle w:val="TableContents"/>
              <w:bidi w:val="0"/>
              <w:spacing w:before="0" w:after="1"/>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7,061</w:t>
            </w:r>
          </w:p>
        </w:tc>
      </w:tr>
      <w:tr>
        <w:trPr/>
        <w:tc>
          <w:tcPr>
            <w:tcW w:w="182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Balances at October 1, 2022</w:t>
            </w:r>
          </w:p>
        </w:tc>
        <w:tc>
          <w:tcPr>
            <w:tcW w:w="326" w:type="dxa"/>
            <w:tcBorders/>
            <w:shd w:fill="CCEEFF" w:val="clear"/>
            <w:vAlign w:val="center"/>
          </w:tcPr>
          <w:p>
            <w:pPr>
              <w:pStyle w:val="TableContents"/>
              <w:bidi w:val="0"/>
              <w:spacing w:before="0" w:after="1"/>
              <w:ind w:left="0" w:right="0" w:hanging="0"/>
              <w:jc w:val="left"/>
              <w:rPr/>
            </w:pPr>
            <w:r>
              <w:rPr/>
              <w:t> </w:t>
            </w:r>
          </w:p>
        </w:tc>
        <w:tc>
          <w:tcPr>
            <w:tcW w:w="11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117,121,134</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438,698</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(35,535)</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398,035</w:t>
            </w:r>
          </w:p>
        </w:tc>
      </w:tr>
    </w:tbl>
    <w:p>
      <w:pPr>
        <w:pStyle w:val="TextBody"/>
        <w:bidi w:val="0"/>
        <w:spacing w:before="0" w:after="240"/>
        <w:ind w:left="0" w:right="0" w:hanging="0"/>
        <w:jc w:val="center"/>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Latham Group,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shd w:fill="FFFF00" w:val="clear"/>
        </w:rPr>
      </w:pPr>
      <w:r>
        <w:rPr>
          <w:shd w:fill="FFFF00" w:val="clear"/>
        </w:rPr>
        <w:t>​</w:t>
      </w:r>
    </w:p>
    <w:p>
      <w:pPr>
        <w:pStyle w:val="Normal"/>
        <w:bidi w:val="0"/>
        <w:spacing w:before="0" w:after="0"/>
        <w:jc w:val="left"/>
        <w:rPr>
          <w:sz w:val="4"/>
          <w:szCs w:val="4"/>
        </w:rPr>
      </w:pPr>
      <w:r>
        <w:rPr>
          <w:sz w:val="4"/>
          <w:szCs w:val="4"/>
        </w:rPr>
      </w:r>
      <w:bookmarkStart w:id="564" w:name="Tc_DBNE3YWlOEyG4bHstl_hZQ_24_16"/>
      <w:bookmarkStart w:id="565" w:name="Tc_Pf27SRbd40aXjDRG0wnZ_Q_24_13"/>
      <w:bookmarkStart w:id="566" w:name="Tc_gZdXaho3BUSnXZDbSfEtxg_24_10"/>
      <w:bookmarkStart w:id="567" w:name="Tc_bTKFCkhDDU-3F9G6NcBbpQ_24_7"/>
      <w:bookmarkStart w:id="568" w:name="Tc_x8-ZwWDzwUe1xOnwaCSNcw_24_4"/>
      <w:bookmarkStart w:id="569" w:name="Tc_L7_RYR_r3ESIPjq69JFUeg_24_0"/>
      <w:bookmarkStart w:id="570" w:name="Tc_xeQkAWpAuE6Ta7dWaWPR1A_23_14"/>
      <w:bookmarkStart w:id="571" w:name="Tc_XQRx1bPrjkmicowPkXGbAw_23_11"/>
      <w:bookmarkStart w:id="572" w:name="Tc_24x59ox-HEevsQ8WFtXKlg_23_5"/>
      <w:bookmarkStart w:id="573" w:name="Tc_5PRdmoYXMECrIQpkDmq3Ow_23_2"/>
      <w:bookmarkStart w:id="574" w:name="Tc_Atde3vTfXEOmoGHinTo4UA_23_0"/>
      <w:bookmarkStart w:id="575" w:name="Tc_onwof2qlEEaBxokTS6-aEA_22_17"/>
      <w:bookmarkStart w:id="576" w:name="Tc_y8nxqJD34EuNDePFiIdcow_22_14"/>
      <w:bookmarkStart w:id="577" w:name="Tc_o3reHJrPx0abnVa3O5ASzQ_22_11"/>
      <w:bookmarkStart w:id="578" w:name="Tc_XJoAP95sZEy3aQC57jOCGg_22_8"/>
      <w:bookmarkStart w:id="579" w:name="Tc_OhjrDE_D5kqMY_LRksv_cQ_22_5"/>
      <w:bookmarkStart w:id="580" w:name="Tc_LgnEMunZ9EGTvCBCACyE0A_22_0"/>
      <w:bookmarkStart w:id="581" w:name="Tc_I7WeIsttC0So0TMXtFj9NA_21_17"/>
      <w:bookmarkStart w:id="582" w:name="Tc_dkEjTcQGwUCgj7ijPMJrvQ_21_14"/>
      <w:bookmarkStart w:id="583" w:name="Tc_pFe81bmd-0CStvYNMoyTDg_21_11"/>
      <w:bookmarkStart w:id="584" w:name="Tc_VNVDVRZec0O0w7siPEmnkw_21_8"/>
      <w:bookmarkStart w:id="585" w:name="Tc_BFpGydqpbUuZwjRIm7TFBQ_21_5"/>
      <w:bookmarkStart w:id="586" w:name="Tc_CGTc9Vg07kOF9q0KOTgeYg_21_0"/>
      <w:bookmarkStart w:id="587" w:name="Tc_qnpYBpjo_kCpeUyzzh9YPQ_20_11"/>
      <w:bookmarkStart w:id="588" w:name="Tc_tcFNKdr7AE6xD3sighGZWw_20_8"/>
      <w:bookmarkStart w:id="589" w:name="Tc_NIMSz6SrOkKcRiGFgpylWg_20_5"/>
      <w:bookmarkStart w:id="590" w:name="Tc_PDLUS9P2uku_cX6AjIWQ9g_20_2"/>
      <w:bookmarkStart w:id="591" w:name="Tc_dqSJ29K8QUakAendo2pKbA_20_0"/>
      <w:bookmarkStart w:id="592" w:name="Tc__9HN_2oMIEKdwqWn7HMQ7Q_19_14"/>
      <w:bookmarkStart w:id="593" w:name="Tc_VLp7cHyF6kKp1q9TnMRaWg_19_8"/>
      <w:bookmarkStart w:id="594" w:name="Tc_h_rBQHXxp0Oc8kY5_d3y9Q_19_5"/>
      <w:bookmarkStart w:id="595" w:name="Tc_oMEeoFh-TkiXIJajc3BE9A_19_2"/>
      <w:bookmarkStart w:id="596" w:name="Tc_-M5neKlTGEiInejgPFTpSw_19_0"/>
      <w:bookmarkStart w:id="597" w:name="Tc_u2jZ70DGp06bw2Nl6WUNMg_17_16"/>
      <w:bookmarkStart w:id="598" w:name="Tc_2vPiI6ap6UqvHXUoZZHHjA_17_13"/>
      <w:bookmarkStart w:id="599" w:name="Tc_VhwkjS0c00uUmLtcflPNGA_17_10"/>
      <w:bookmarkStart w:id="600" w:name="Tc_LsM7JB4CzUaUXuCV270Qfg_17_7"/>
      <w:bookmarkStart w:id="601" w:name="Tc_4WHd52GHmEWFi6ApPVDrZQ_17_4"/>
      <w:bookmarkStart w:id="602" w:name="Tc_D9ArBBK38U6bGaK8p-zOYw_17_0"/>
      <w:bookmarkStart w:id="603" w:name="Tc_4FHsYtCFWE6b6OTZE2zxXA_16_14"/>
      <w:bookmarkStart w:id="604" w:name="Tc_D8dpiMCTLkOGNum5XB9RYw_16_11"/>
      <w:bookmarkStart w:id="605" w:name="Tc_A0vHZPXZUEKJKGGBh3x5ww_16_5"/>
      <w:bookmarkStart w:id="606" w:name="Tc_bBA4ydmWckWb3ldjAki1dg_16_2"/>
      <w:bookmarkStart w:id="607" w:name="Tc_O2vCoZ7OpE2nGgkDh5m5dg_16_0"/>
      <w:bookmarkStart w:id="608" w:name="Tc_mBVM3lkM3kaPh_GqtDkhDg_15_17"/>
      <w:bookmarkStart w:id="609" w:name="Tc_lxE3jBeETEKhxQM8PrUFYw_15_14"/>
      <w:bookmarkStart w:id="610" w:name="Tc_a8FWXiVyGUmDGegFiQXMdw_15_11"/>
      <w:bookmarkStart w:id="611" w:name="Tc_uW64fK9cxk-i_PiE4Lmqdg_15_8"/>
      <w:bookmarkStart w:id="612" w:name="Tc_LozEx7Plz0GqecVnZAU5eg_15_5"/>
      <w:bookmarkStart w:id="613" w:name="Tc_NRFSPkq17USJqG5A2dpnCg_15_0"/>
      <w:bookmarkStart w:id="614" w:name="Tc_3AbyYABrrUubnxw_fiPAQw_14_17"/>
      <w:bookmarkStart w:id="615" w:name="Tc_Vh0CKPm2Sk2EFfIkDtfyVw_14_14"/>
      <w:bookmarkStart w:id="616" w:name="Tc_zQzIeROPsEKXsBLn3acFUw_14_11"/>
      <w:bookmarkStart w:id="617" w:name="Tc_4HUkG-blI0mFV3BxJimHkQ_14_8"/>
      <w:bookmarkStart w:id="618" w:name="Tc_3etFTjz6e0ipZ1QQ7K-FeA_14_5"/>
      <w:bookmarkStart w:id="619" w:name="Tc_fk22yD4P-kKQG2pK25Fk5Q_14_0"/>
      <w:bookmarkStart w:id="620" w:name="Tc_7I2pVfeaJUChZuD_MAQcEA_13_11"/>
      <w:bookmarkStart w:id="621" w:name="Tc_6NtXuiDwVEyCpur_waHI-A_13_8"/>
      <w:bookmarkStart w:id="622" w:name="Tc_sSRveOkFmUi3eLMDxRFKWA_13_5"/>
      <w:bookmarkStart w:id="623" w:name="Tc_vxGxBITOhU2rzw4E5owtug_13_2"/>
      <w:bookmarkStart w:id="624" w:name="Tc_GMUXueqOVkKoAnYnYDwOGg_13_0"/>
      <w:bookmarkStart w:id="625" w:name="Tc_bNNiPevIYUGeFc8OJ4HUjg_12_14"/>
      <w:bookmarkStart w:id="626" w:name="Tc_9Z6DVH1-7Uu0IPy_h6-Ikg_12_8"/>
      <w:bookmarkStart w:id="627" w:name="Tc_Ow3SbasYSkSPN-eBh_dY-w_12_5"/>
      <w:bookmarkStart w:id="628" w:name="Tc_G385Gy3KEEGAvU2rK54D3A_12_2"/>
      <w:bookmarkStart w:id="629" w:name="Tc_YJXu7MVWxU6GSrV9hdg_Ew_12_0"/>
      <w:bookmarkStart w:id="630" w:name="Tc_yMBzwZueykGIwjCpEl2fqQ_10_16"/>
      <w:bookmarkStart w:id="631" w:name="Tc_SALw_ceKU0SuouUeKg4vKQ_10_13"/>
      <w:bookmarkStart w:id="632" w:name="Tc_X5j9ioNLaE-8P1_ZhbnajA_10_10"/>
      <w:bookmarkStart w:id="633" w:name="Tc_hWO4TGRHP0e0N-zJNEF1Zw_10_7"/>
      <w:bookmarkStart w:id="634" w:name="Tc_vBl-BbLNn06To9Hq7t_rsw_10_4"/>
      <w:bookmarkStart w:id="635" w:name="Tc_RCdSjA5Hv0qXNvz3bKkxtg_10_0"/>
      <w:bookmarkStart w:id="636" w:name="Tc_qa4M34cL80-RRnfpXJmDBg_9_14"/>
      <w:bookmarkStart w:id="637" w:name="Tc_ql5FGjxDE0u8MmTW9hNtEg_9_11"/>
      <w:bookmarkStart w:id="638" w:name="Tc_q1-Oz0j82EGtIOTdLfwDMA_9_5"/>
      <w:bookmarkStart w:id="639" w:name="Tc_dmUj-wu9pkKNXE3gnv-HGw_9_2"/>
      <w:bookmarkStart w:id="640" w:name="Tc_dJH14tI7Wk-ONZ4TGawMGA_9_0"/>
      <w:bookmarkStart w:id="641" w:name="Tc_YcyUct-sCEGgsUXMMKBUZA_8_17"/>
      <w:bookmarkStart w:id="642" w:name="Tc_OrwmE9QkBUGPrjurHO3xRg_8_14"/>
      <w:bookmarkStart w:id="643" w:name="Tc_BMEmtXwuHUmA_mw0xhohUg_8_11"/>
      <w:bookmarkStart w:id="644" w:name="Tc_c5x5SV-NVU-InnTkM82Y7g_8_8"/>
      <w:bookmarkStart w:id="645" w:name="Tc_iIJS-DHLcEidZTvS5T4S3Q_8_5"/>
      <w:bookmarkStart w:id="646" w:name="Tc_L31maPeyX0ikWRRBJYG4wQ_8_0"/>
      <w:bookmarkStart w:id="647" w:name="Tc_wtYljVAUOUy84j4sCsWqOw_7_11"/>
      <w:bookmarkStart w:id="648" w:name="Tc_K2It1jzKvUSJ44Io0-96aw_7_8"/>
      <w:bookmarkStart w:id="649" w:name="Tc_D_aG8Go5wEmnE9DSZ03Sxw_7_5"/>
      <w:bookmarkStart w:id="650" w:name="Tc_mzUEOBILlUSgc88hDwPSpw_7_2"/>
      <w:bookmarkStart w:id="651" w:name="Tc_RiALcv4TKUGLoWgBExEYdA_7_0"/>
      <w:bookmarkStart w:id="652" w:name="Tc_7Ug-rJn5iESFLl3kwcLkFA_6_14"/>
      <w:bookmarkStart w:id="653" w:name="Tc_SOwSBrzFJkiyIffZQ39Rww_6_8"/>
      <w:bookmarkStart w:id="654" w:name="Tc_Cz4tfGcW5EK2EJfjKS6f7A_6_5"/>
      <w:bookmarkStart w:id="655" w:name="Tc_5TtPEKy9hUuHNek_ZY_g-w_6_2"/>
      <w:bookmarkStart w:id="656" w:name="Tc_tFDDsihEP0KCNBkToT5vpQ_6_0"/>
      <w:bookmarkStart w:id="657" w:name="Tc_pRSTjnb6-0SIMPHettae1w_5_16"/>
      <w:bookmarkStart w:id="658" w:name="Tc_gl2iIUMQEEOZT_UkbJiqQA_5_13"/>
      <w:bookmarkStart w:id="659" w:name="Tc_ajPvr480cUmuQ7lr0XaikQ_5_10"/>
      <w:bookmarkStart w:id="660" w:name="Tc_xyjlwAZE4UmVdcUzxR0LpA_5_7"/>
      <w:bookmarkStart w:id="661" w:name="Tc_E6ZzXFQPCU6U_0BDyWER-g_5_4"/>
      <w:bookmarkStart w:id="662" w:name="Tc_-9dusH-IrEG9UXZkMDHLqw_5_0"/>
      <w:bookmarkStart w:id="663" w:name="Tc_qno_lfWKo0aLqMs2RU5o7A_4_16"/>
      <w:bookmarkStart w:id="664" w:name="Tc_1_1lXPP5rUmqBsokNKK-MA_4_13"/>
      <w:bookmarkStart w:id="665" w:name="Tc_RYIUPBEcbEmq-Ei_w1_ZsQ_4_10"/>
      <w:bookmarkStart w:id="666" w:name="Tc_CcQlktzkZkuHrYyDHKW4TA_4_7"/>
      <w:bookmarkStart w:id="667" w:name="Tc_7gr2HLl67kiACnyrm2VSTA_4_4"/>
      <w:bookmarkStart w:id="668" w:name="Tc_pLNXWxU5pEG2UcZ_7kopcQ_4_2"/>
      <w:bookmarkStart w:id="669" w:name="Tc_l8L_972TLkSjgQ2XUSuxtA_3_16"/>
      <w:bookmarkStart w:id="670" w:name="Tc_7ToKphj_5U6aNN4wPoBjyA_3_13"/>
      <w:bookmarkStart w:id="671" w:name="Tc_eOK5NmZ7_Ei7ZObinEphww_3_10"/>
      <w:bookmarkStart w:id="672" w:name="Tc_rZlh0jWEakCPFoENGsjeAQ_3_7"/>
      <w:bookmarkStart w:id="673" w:name="Tc__6Kimf1kbEagmNkK_a455Q_2_16"/>
      <w:bookmarkStart w:id="674" w:name="Tc_ZvL7SMZo8kGs1Kt9QHfgrQ_2_13"/>
      <w:bookmarkStart w:id="675" w:name="Tc_eY8fgAFdHE-HdJqXYwT6kg_2_7"/>
      <w:bookmarkStart w:id="676" w:name="Tc_rSOsf3FH70W06j94UzvUXQ_1_13"/>
      <w:bookmarkStart w:id="677" w:name="_690a4902_aa90_47d6_a1a3_607c22610712"/>
      <w:bookmarkStart w:id="678" w:name="Tc_DBNE3YWlOEyG4bHstl_hZQ_24_16"/>
      <w:bookmarkStart w:id="679" w:name="Tc_Pf27SRbd40aXjDRG0wnZ_Q_24_13"/>
      <w:bookmarkStart w:id="680" w:name="Tc_gZdXaho3BUSnXZDbSfEtxg_24_10"/>
      <w:bookmarkStart w:id="681" w:name="Tc_bTKFCkhDDU-3F9G6NcBbpQ_24_7"/>
      <w:bookmarkStart w:id="682" w:name="Tc_x8-ZwWDzwUe1xOnwaCSNcw_24_4"/>
      <w:bookmarkStart w:id="683" w:name="Tc_L7_RYR_r3ESIPjq69JFUeg_24_0"/>
      <w:bookmarkStart w:id="684" w:name="Tc_xeQkAWpAuE6Ta7dWaWPR1A_23_14"/>
      <w:bookmarkStart w:id="685" w:name="Tc_XQRx1bPrjkmicowPkXGbAw_23_11"/>
      <w:bookmarkStart w:id="686" w:name="Tc_24x59ox-HEevsQ8WFtXKlg_23_5"/>
      <w:bookmarkStart w:id="687" w:name="Tc_5PRdmoYXMECrIQpkDmq3Ow_23_2"/>
      <w:bookmarkStart w:id="688" w:name="Tc_Atde3vTfXEOmoGHinTo4UA_23_0"/>
      <w:bookmarkStart w:id="689" w:name="Tc_onwof2qlEEaBxokTS6-aEA_22_17"/>
      <w:bookmarkStart w:id="690" w:name="Tc_y8nxqJD34EuNDePFiIdcow_22_14"/>
      <w:bookmarkStart w:id="691" w:name="Tc_o3reHJrPx0abnVa3O5ASzQ_22_11"/>
      <w:bookmarkStart w:id="692" w:name="Tc_XJoAP95sZEy3aQC57jOCGg_22_8"/>
      <w:bookmarkStart w:id="693" w:name="Tc_OhjrDE_D5kqMY_LRksv_cQ_22_5"/>
      <w:bookmarkStart w:id="694" w:name="Tc_LgnEMunZ9EGTvCBCACyE0A_22_0"/>
      <w:bookmarkStart w:id="695" w:name="Tc_I7WeIsttC0So0TMXtFj9NA_21_17"/>
      <w:bookmarkStart w:id="696" w:name="Tc_dkEjTcQGwUCgj7ijPMJrvQ_21_14"/>
      <w:bookmarkStart w:id="697" w:name="Tc_pFe81bmd-0CStvYNMoyTDg_21_11"/>
      <w:bookmarkStart w:id="698" w:name="Tc_VNVDVRZec0O0w7siPEmnkw_21_8"/>
      <w:bookmarkStart w:id="699" w:name="Tc_BFpGydqpbUuZwjRIm7TFBQ_21_5"/>
      <w:bookmarkStart w:id="700" w:name="Tc_CGTc9Vg07kOF9q0KOTgeYg_21_0"/>
      <w:bookmarkStart w:id="701" w:name="Tc_qnpYBpjo_kCpeUyzzh9YPQ_20_11"/>
      <w:bookmarkStart w:id="702" w:name="Tc_tcFNKdr7AE6xD3sighGZWw_20_8"/>
      <w:bookmarkStart w:id="703" w:name="Tc_NIMSz6SrOkKcRiGFgpylWg_20_5"/>
      <w:bookmarkStart w:id="704" w:name="Tc_PDLUS9P2uku_cX6AjIWQ9g_20_2"/>
      <w:bookmarkStart w:id="705" w:name="Tc_dqSJ29K8QUakAendo2pKbA_20_0"/>
      <w:bookmarkStart w:id="706" w:name="Tc__9HN_2oMIEKdwqWn7HMQ7Q_19_14"/>
      <w:bookmarkStart w:id="707" w:name="Tc_VLp7cHyF6kKp1q9TnMRaWg_19_8"/>
      <w:bookmarkStart w:id="708" w:name="Tc_h_rBQHXxp0Oc8kY5_d3y9Q_19_5"/>
      <w:bookmarkStart w:id="709" w:name="Tc_oMEeoFh-TkiXIJajc3BE9A_19_2"/>
      <w:bookmarkStart w:id="710" w:name="Tc_-M5neKlTGEiInejgPFTpSw_19_0"/>
      <w:bookmarkStart w:id="711" w:name="Tc_u2jZ70DGp06bw2Nl6WUNMg_17_16"/>
      <w:bookmarkStart w:id="712" w:name="Tc_2vPiI6ap6UqvHXUoZZHHjA_17_13"/>
      <w:bookmarkStart w:id="713" w:name="Tc_VhwkjS0c00uUmLtcflPNGA_17_10"/>
      <w:bookmarkStart w:id="714" w:name="Tc_LsM7JB4CzUaUXuCV270Qfg_17_7"/>
      <w:bookmarkStart w:id="715" w:name="Tc_4WHd52GHmEWFi6ApPVDrZQ_17_4"/>
      <w:bookmarkStart w:id="716" w:name="Tc_D9ArBBK38U6bGaK8p-zOYw_17_0"/>
      <w:bookmarkStart w:id="717" w:name="Tc_4FHsYtCFWE6b6OTZE2zxXA_16_14"/>
      <w:bookmarkStart w:id="718" w:name="Tc_D8dpiMCTLkOGNum5XB9RYw_16_11"/>
      <w:bookmarkStart w:id="719" w:name="Tc_A0vHZPXZUEKJKGGBh3x5ww_16_5"/>
      <w:bookmarkStart w:id="720" w:name="Tc_bBA4ydmWckWb3ldjAki1dg_16_2"/>
      <w:bookmarkStart w:id="721" w:name="Tc_O2vCoZ7OpE2nGgkDh5m5dg_16_0"/>
      <w:bookmarkStart w:id="722" w:name="Tc_mBVM3lkM3kaPh_GqtDkhDg_15_17"/>
      <w:bookmarkStart w:id="723" w:name="Tc_lxE3jBeETEKhxQM8PrUFYw_15_14"/>
      <w:bookmarkStart w:id="724" w:name="Tc_a8FWXiVyGUmDGegFiQXMdw_15_11"/>
      <w:bookmarkStart w:id="725" w:name="Tc_uW64fK9cxk-i_PiE4Lmqdg_15_8"/>
      <w:bookmarkStart w:id="726" w:name="Tc_LozEx7Plz0GqecVnZAU5eg_15_5"/>
      <w:bookmarkStart w:id="727" w:name="Tc_NRFSPkq17USJqG5A2dpnCg_15_0"/>
      <w:bookmarkStart w:id="728" w:name="Tc_3AbyYABrrUubnxw_fiPAQw_14_17"/>
      <w:bookmarkStart w:id="729" w:name="Tc_Vh0CKPm2Sk2EFfIkDtfyVw_14_14"/>
      <w:bookmarkStart w:id="730" w:name="Tc_zQzIeROPsEKXsBLn3acFUw_14_11"/>
      <w:bookmarkStart w:id="731" w:name="Tc_4HUkG-blI0mFV3BxJimHkQ_14_8"/>
      <w:bookmarkStart w:id="732" w:name="Tc_3etFTjz6e0ipZ1QQ7K-FeA_14_5"/>
      <w:bookmarkStart w:id="733" w:name="Tc_fk22yD4P-kKQG2pK25Fk5Q_14_0"/>
      <w:bookmarkStart w:id="734" w:name="Tc_7I2pVfeaJUChZuD_MAQcEA_13_11"/>
      <w:bookmarkStart w:id="735" w:name="Tc_6NtXuiDwVEyCpur_waHI-A_13_8"/>
      <w:bookmarkStart w:id="736" w:name="Tc_sSRveOkFmUi3eLMDxRFKWA_13_5"/>
      <w:bookmarkStart w:id="737" w:name="Tc_vxGxBITOhU2rzw4E5owtug_13_2"/>
      <w:bookmarkStart w:id="738" w:name="Tc_GMUXueqOVkKoAnYnYDwOGg_13_0"/>
      <w:bookmarkStart w:id="739" w:name="Tc_bNNiPevIYUGeFc8OJ4HUjg_12_14"/>
      <w:bookmarkStart w:id="740" w:name="Tc_9Z6DVH1-7Uu0IPy_h6-Ikg_12_8"/>
      <w:bookmarkStart w:id="741" w:name="Tc_Ow3SbasYSkSPN-eBh_dY-w_12_5"/>
      <w:bookmarkStart w:id="742" w:name="Tc_G385Gy3KEEGAvU2rK54D3A_12_2"/>
      <w:bookmarkStart w:id="743" w:name="Tc_YJXu7MVWxU6GSrV9hdg_Ew_12_0"/>
      <w:bookmarkStart w:id="744" w:name="Tc_yMBzwZueykGIwjCpEl2fqQ_10_16"/>
      <w:bookmarkStart w:id="745" w:name="Tc_SALw_ceKU0SuouUeKg4vKQ_10_13"/>
      <w:bookmarkStart w:id="746" w:name="Tc_X5j9ioNLaE-8P1_ZhbnajA_10_10"/>
      <w:bookmarkStart w:id="747" w:name="Tc_hWO4TGRHP0e0N-zJNEF1Zw_10_7"/>
      <w:bookmarkStart w:id="748" w:name="Tc_vBl-BbLNn06To9Hq7t_rsw_10_4"/>
      <w:bookmarkStart w:id="749" w:name="Tc_RCdSjA5Hv0qXNvz3bKkxtg_10_0"/>
      <w:bookmarkStart w:id="750" w:name="Tc_qa4M34cL80-RRnfpXJmDBg_9_14"/>
      <w:bookmarkStart w:id="751" w:name="Tc_ql5FGjxDE0u8MmTW9hNtEg_9_11"/>
      <w:bookmarkStart w:id="752" w:name="Tc_q1-Oz0j82EGtIOTdLfwDMA_9_5"/>
      <w:bookmarkStart w:id="753" w:name="Tc_dmUj-wu9pkKNXE3gnv-HGw_9_2"/>
      <w:bookmarkStart w:id="754" w:name="Tc_dJH14tI7Wk-ONZ4TGawMGA_9_0"/>
      <w:bookmarkStart w:id="755" w:name="Tc_YcyUct-sCEGgsUXMMKBUZA_8_17"/>
      <w:bookmarkStart w:id="756" w:name="Tc_OrwmE9QkBUGPrjurHO3xRg_8_14"/>
      <w:bookmarkStart w:id="757" w:name="Tc_BMEmtXwuHUmA_mw0xhohUg_8_11"/>
      <w:bookmarkStart w:id="758" w:name="Tc_c5x5SV-NVU-InnTkM82Y7g_8_8"/>
      <w:bookmarkStart w:id="759" w:name="Tc_iIJS-DHLcEidZTvS5T4S3Q_8_5"/>
      <w:bookmarkStart w:id="760" w:name="Tc_L31maPeyX0ikWRRBJYG4wQ_8_0"/>
      <w:bookmarkStart w:id="761" w:name="Tc_wtYljVAUOUy84j4sCsWqOw_7_11"/>
      <w:bookmarkStart w:id="762" w:name="Tc_K2It1jzKvUSJ44Io0-96aw_7_8"/>
      <w:bookmarkStart w:id="763" w:name="Tc_D_aG8Go5wEmnE9DSZ03Sxw_7_5"/>
      <w:bookmarkStart w:id="764" w:name="Tc_mzUEOBILlUSgc88hDwPSpw_7_2"/>
      <w:bookmarkStart w:id="765" w:name="Tc_RiALcv4TKUGLoWgBExEYdA_7_0"/>
      <w:bookmarkStart w:id="766" w:name="Tc_7Ug-rJn5iESFLl3kwcLkFA_6_14"/>
      <w:bookmarkStart w:id="767" w:name="Tc_SOwSBrzFJkiyIffZQ39Rww_6_8"/>
      <w:bookmarkStart w:id="768" w:name="Tc_Cz4tfGcW5EK2EJfjKS6f7A_6_5"/>
      <w:bookmarkStart w:id="769" w:name="Tc_5TtPEKy9hUuHNek_ZY_g-w_6_2"/>
      <w:bookmarkStart w:id="770" w:name="Tc_tFDDsihEP0KCNBkToT5vpQ_6_0"/>
      <w:bookmarkStart w:id="771" w:name="Tc_pRSTjnb6-0SIMPHettae1w_5_16"/>
      <w:bookmarkStart w:id="772" w:name="Tc_gl2iIUMQEEOZT_UkbJiqQA_5_13"/>
      <w:bookmarkStart w:id="773" w:name="Tc_ajPvr480cUmuQ7lr0XaikQ_5_10"/>
      <w:bookmarkStart w:id="774" w:name="Tc_xyjlwAZE4UmVdcUzxR0LpA_5_7"/>
      <w:bookmarkStart w:id="775" w:name="Tc_E6ZzXFQPCU6U_0BDyWER-g_5_4"/>
      <w:bookmarkStart w:id="776" w:name="Tc_-9dusH-IrEG9UXZkMDHLqw_5_0"/>
      <w:bookmarkStart w:id="777" w:name="Tc_qno_lfWKo0aLqMs2RU5o7A_4_16"/>
      <w:bookmarkStart w:id="778" w:name="Tc_1_1lXPP5rUmqBsokNKK-MA_4_13"/>
      <w:bookmarkStart w:id="779" w:name="Tc_RYIUPBEcbEmq-Ei_w1_ZsQ_4_10"/>
      <w:bookmarkStart w:id="780" w:name="Tc_CcQlktzkZkuHrYyDHKW4TA_4_7"/>
      <w:bookmarkStart w:id="781" w:name="Tc_7gr2HLl67kiACnyrm2VSTA_4_4"/>
      <w:bookmarkStart w:id="782" w:name="Tc_pLNXWxU5pEG2UcZ_7kopcQ_4_2"/>
      <w:bookmarkStart w:id="783" w:name="Tc_l8L_972TLkSjgQ2XUSuxtA_3_16"/>
      <w:bookmarkStart w:id="784" w:name="Tc_7ToKphj_5U6aNN4wPoBjyA_3_13"/>
      <w:bookmarkStart w:id="785" w:name="Tc_eOK5NmZ7_Ei7ZObinEphww_3_10"/>
      <w:bookmarkStart w:id="786" w:name="Tc_rZlh0jWEakCPFoENGsjeAQ_3_7"/>
      <w:bookmarkStart w:id="787" w:name="Tc__6Kimf1kbEagmNkK_a455Q_2_16"/>
      <w:bookmarkStart w:id="788" w:name="Tc_ZvL7SMZo8kGs1Kt9QHfgrQ_2_13"/>
      <w:bookmarkStart w:id="789" w:name="Tc_eY8fgAFdHE-HdJqXYwT6kg_2_7"/>
      <w:bookmarkStart w:id="790" w:name="Tc_rSOsf3FH70W06j94UzvUXQ_1_13"/>
      <w:bookmarkStart w:id="791" w:name="_690a4902_aa90_47d6_a1a3_607c22610712"/>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p>
    <w:tbl>
      <w:tblPr>
        <w:tblW w:w="10205" w:type="dxa"/>
        <w:jc w:val="left"/>
        <w:tblInd w:w="0" w:type="dxa"/>
        <w:tblLayout w:type="fixed"/>
        <w:tblCellMar>
          <w:top w:w="0" w:type="dxa"/>
          <w:left w:w="0" w:type="dxa"/>
          <w:bottom w:w="0" w:type="dxa"/>
          <w:right w:w="0" w:type="dxa"/>
        </w:tblCellMar>
      </w:tblPr>
      <w:tblGrid>
        <w:gridCol w:w="1890"/>
        <w:gridCol w:w="326"/>
        <w:gridCol w:w="1141"/>
        <w:gridCol w:w="326"/>
        <w:gridCol w:w="261"/>
        <w:gridCol w:w="430"/>
        <w:gridCol w:w="326"/>
        <w:gridCol w:w="211"/>
        <w:gridCol w:w="781"/>
        <w:gridCol w:w="326"/>
        <w:gridCol w:w="247"/>
        <w:gridCol w:w="864"/>
        <w:gridCol w:w="326"/>
        <w:gridCol w:w="319"/>
        <w:gridCol w:w="957"/>
        <w:gridCol w:w="326"/>
        <w:gridCol w:w="218"/>
        <w:gridCol w:w="930"/>
      </w:tblGrid>
      <w:tr>
        <w:trPr/>
        <w:tc>
          <w:tcPr>
            <w:tcW w:w="1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00150" cy="175260"/>
                      <wp:effectExtent l="0" t="0" r="0" b="0"/>
                      <wp:wrapNone/>
                      <wp:docPr id="57" name="Frame57"/>
                      <a:graphic xmlns:a="http://schemas.openxmlformats.org/drawingml/2006/main">
                        <a:graphicData uri="http://schemas.microsoft.com/office/word/2010/wordprocessingShape">
                          <wps:wsp>
                            <wps:cNvSpPr txBox="1"/>
                            <wps:spPr>
                              <a:xfrm>
                                <a:off x="0" y="0"/>
                                <a:ext cx="1200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724535" cy="175260"/>
                      <wp:effectExtent l="0" t="0" r="0" b="0"/>
                      <wp:wrapNone/>
                      <wp:docPr id="59" name="Frame5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65735" cy="175260"/>
                      <wp:effectExtent l="0" t="0" r="0" b="0"/>
                      <wp:wrapNone/>
                      <wp:docPr id="61" name="Frame61"/>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73050" cy="175260"/>
                      <wp:effectExtent l="0" t="0" r="0" b="0"/>
                      <wp:wrapNone/>
                      <wp:docPr id="62" name="Frame62"/>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95935" cy="175260"/>
                      <wp:effectExtent l="0" t="0" r="0" b="0"/>
                      <wp:wrapNone/>
                      <wp:docPr id="65" name="Frame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56845" cy="175260"/>
                      <wp:effectExtent l="0" t="0" r="0" b="0"/>
                      <wp:wrapNone/>
                      <wp:docPr id="67" name="Frame67"/>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48640" cy="175260"/>
                      <wp:effectExtent l="0" t="0" r="0" b="0"/>
                      <wp:wrapNone/>
                      <wp:docPr id="68" name="Frame68"/>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2565" cy="175260"/>
                      <wp:effectExtent l="0" t="0" r="0" b="0"/>
                      <wp:wrapNone/>
                      <wp:docPr id="70" name="Frame70"/>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07695" cy="175260"/>
                      <wp:effectExtent l="0" t="0" r="0" b="0"/>
                      <wp:wrapNone/>
                      <wp:docPr id="71" name="Frame71"/>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8430" cy="175260"/>
                      <wp:effectExtent l="0" t="0" r="0" b="0"/>
                      <wp:wrapNone/>
                      <wp:docPr id="73" name="Frame73"/>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90550" cy="175260"/>
                      <wp:effectExtent l="0" t="0" r="0" b="0"/>
                      <wp:wrapNone/>
                      <wp:docPr id="74" name="Frame74"/>
                      <a:graphic xmlns:a="http://schemas.openxmlformats.org/drawingml/2006/main">
                        <a:graphicData uri="http://schemas.microsoft.com/office/word/2010/wordprocessingShape">
                          <wps:wsp>
                            <wps:cNvSpPr txBox="1"/>
                            <wps:spPr>
                              <a:xfrm>
                                <a:off x="0" y="0"/>
                                <a:ext cx="590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1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center"/>
              <w:rPr/>
            </w:pPr>
            <w:r>
              <w:rPr/>
              <w:t>​</w:t>
            </w:r>
          </w:p>
        </w:tc>
      </w:tr>
      <w:tr>
        <w:trPr/>
        <w:tc>
          <w:tcPr>
            <w:tcW w:w="18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11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114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Paid-in </w:t>
            </w:r>
          </w:p>
        </w:tc>
        <w:tc>
          <w:tcPr>
            <w:tcW w:w="326" w:type="dxa"/>
            <w:tcBorders/>
            <w:vAlign w:val="center"/>
          </w:tcPr>
          <w:p>
            <w:pPr>
              <w:pStyle w:val="TableContents"/>
              <w:bidi w:val="0"/>
              <w:spacing w:before="0" w:after="0"/>
              <w:ind w:left="0" w:right="0" w:hanging="0"/>
              <w:jc w:val="left"/>
              <w:rPr/>
            </w:pPr>
            <w:r>
              <w:rPr/>
              <w:t>​</w:t>
            </w:r>
          </w:p>
        </w:tc>
        <w:tc>
          <w:tcPr>
            <w:tcW w:w="1111"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276"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1148"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Stockholders'</w:t>
            </w:r>
          </w:p>
        </w:tc>
      </w:tr>
      <w:tr>
        <w:trPr/>
        <w:tc>
          <w:tcPr>
            <w:tcW w:w="18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26" w:type="dxa"/>
            <w:tcBorders/>
            <w:vAlign w:val="center"/>
          </w:tcPr>
          <w:p>
            <w:pPr>
              <w:pStyle w:val="TableContents"/>
              <w:bidi w:val="0"/>
              <w:spacing w:before="0" w:after="0"/>
              <w:ind w:left="0" w:right="0" w:hanging="0"/>
              <w:jc w:val="left"/>
              <w:rPr/>
            </w:pPr>
            <w:r>
              <w:rPr/>
              <w:t>​</w:t>
            </w:r>
          </w:p>
        </w:tc>
        <w:tc>
          <w:tcPr>
            <w:tcW w:w="114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Equity</w:t>
            </w:r>
          </w:p>
        </w:tc>
      </w:tr>
      <w:tr>
        <w:trPr/>
        <w:tc>
          <w:tcPr>
            <w:tcW w:w="189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Balances at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114,667,975</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440,880</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(54,568)</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(3,533)</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382,790</w:t>
            </w:r>
          </w:p>
        </w:tc>
      </w:tr>
      <w:tr>
        <w:trPr/>
        <w:tc>
          <w:tcPr>
            <w:tcW w:w="18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(14,368)</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(14,368)</w:t>
            </w:r>
          </w:p>
        </w:tc>
      </w:tr>
      <w:tr>
        <w:trPr/>
        <w:tc>
          <w:tcPr>
            <w:tcW w:w="1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r>
      <w:tr>
        <w:trPr/>
        <w:tc>
          <w:tcPr>
            <w:tcW w:w="18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release of restricted stock units</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22,078</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w:t>
            </w:r>
          </w:p>
        </w:tc>
      </w:tr>
      <w:tr>
        <w:trPr/>
        <w:tc>
          <w:tcPr>
            <w:tcW w:w="1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6,769</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6,769</w:t>
            </w:r>
          </w:p>
        </w:tc>
      </w:tr>
      <w:tr>
        <w:trPr/>
        <w:tc>
          <w:tcPr>
            <w:tcW w:w="18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Balances at April 1, 2023</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114,690,053</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447,649</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(68,936)</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(3,677)</w:t>
            </w:r>
          </w:p>
        </w:tc>
        <w:tc>
          <w:tcPr>
            <w:tcW w:w="32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375,047</w:t>
            </w:r>
          </w:p>
        </w:tc>
      </w:tr>
      <w:tr>
        <w:trPr/>
        <w:tc>
          <w:tcPr>
            <w:tcW w:w="189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pPr>
            <w:r>
              <w:rPr/>
              <w:t>​</w:t>
            </w:r>
          </w:p>
        </w:tc>
      </w:tr>
      <w:tr>
        <w:trPr/>
        <w:tc>
          <w:tcPr>
            <w:tcW w:w="18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5,715</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5,715</w:t>
            </w:r>
          </w:p>
        </w:tc>
      </w:tr>
      <w:tr>
        <w:trPr/>
        <w:tc>
          <w:tcPr>
            <w:tcW w:w="1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r>
      <w:tr>
        <w:trPr/>
        <w:tc>
          <w:tcPr>
            <w:tcW w:w="18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Retirement of restricted stock</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(54,271)</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w:t>
            </w:r>
          </w:p>
        </w:tc>
      </w:tr>
      <w:tr>
        <w:trPr/>
        <w:tc>
          <w:tcPr>
            <w:tcW w:w="1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release of restricted stock units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98,974</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pPr>
            <w:r>
              <w:rPr/>
              <w:t>—</w:t>
            </w:r>
          </w:p>
        </w:tc>
      </w:tr>
      <w:tr>
        <w:trPr/>
        <w:tc>
          <w:tcPr>
            <w:tcW w:w="18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5,764</w:t>
            </w:r>
          </w:p>
        </w:tc>
        <w:tc>
          <w:tcPr>
            <w:tcW w:w="326"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5,764</w:t>
            </w:r>
          </w:p>
        </w:tc>
      </w:tr>
      <w:tr>
        <w:trPr/>
        <w:tc>
          <w:tcPr>
            <w:tcW w:w="189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Balances at July 1, 2023</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114,734,756</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453,413</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(63,221)</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(4,006)</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386,197</w:t>
            </w:r>
          </w:p>
        </w:tc>
      </w:tr>
      <w:tr>
        <w:trPr/>
        <w:tc>
          <w:tcPr>
            <w:tcW w:w="18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w:t>
            </w:r>
          </w:p>
        </w:tc>
      </w:tr>
      <w:tr>
        <w:trPr/>
        <w:tc>
          <w:tcPr>
            <w:tcW w:w="1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6,153</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6,153</w:t>
            </w:r>
          </w:p>
        </w:tc>
      </w:tr>
      <w:tr>
        <w:trPr/>
        <w:tc>
          <w:tcPr>
            <w:tcW w:w="18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(2,007)</w:t>
            </w:r>
          </w:p>
        </w:tc>
        <w:tc>
          <w:tcPr>
            <w:tcW w:w="32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(2,007)</w:t>
            </w:r>
          </w:p>
        </w:tc>
      </w:tr>
      <w:tr>
        <w:trPr/>
        <w:tc>
          <w:tcPr>
            <w:tcW w:w="1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Retirement of restricted stock</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(101,179)</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pPr>
            <w:r>
              <w:rPr/>
              <w:t>—</w:t>
            </w:r>
          </w:p>
        </w:tc>
      </w:tr>
      <w:tr>
        <w:trPr/>
        <w:tc>
          <w:tcPr>
            <w:tcW w:w="18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release of restricted stock units</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122,368</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pPr>
            <w:r>
              <w:rPr/>
              <w:t>—</w:t>
            </w:r>
          </w:p>
        </w:tc>
      </w:tr>
      <w:tr>
        <w:trPr/>
        <w:tc>
          <w:tcPr>
            <w:tcW w:w="1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2,354</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2,354</w:t>
            </w:r>
          </w:p>
        </w:tc>
      </w:tr>
      <w:tr>
        <w:trPr/>
        <w:tc>
          <w:tcPr>
            <w:tcW w:w="18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Balances at September 30, 2023</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114,755,945</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455,767</w:t>
            </w:r>
          </w:p>
        </w:tc>
        <w:tc>
          <w:tcPr>
            <w:tcW w:w="326" w:type="dxa"/>
            <w:tcBorders/>
            <w:vAlign w:val="center"/>
          </w:tcPr>
          <w:p>
            <w:pPr>
              <w:pStyle w:val="TableContents"/>
              <w:bidi w:val="0"/>
              <w:spacing w:before="0" w:after="0"/>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(57,068)</w:t>
            </w:r>
          </w:p>
        </w:tc>
        <w:tc>
          <w:tcPr>
            <w:tcW w:w="326"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(6,013)</w:t>
            </w:r>
          </w:p>
        </w:tc>
        <w:tc>
          <w:tcPr>
            <w:tcW w:w="326"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392,697</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92" w:name="_ec0dfbcd_d02c_4c92_b021_7beb5d8fdcb2"/>
      <w:bookmarkEnd w:id="792"/>
      <w:r>
        <w:rPr>
          <w:rFonts w:ascii="Times New Roman;Times;serif" w:hAnsi="Times New Roman;Times;serif"/>
          <w:b/>
          <w:sz w:val="20"/>
        </w:rPr>
        <w:t>Latham Group, Inc.</w:t>
      </w:r>
    </w:p>
    <w:p>
      <w:pPr>
        <w:pStyle w:val="TextBody"/>
        <w:bidi w:val="0"/>
        <w:spacing w:before="0" w:after="0"/>
        <w:ind w:left="0" w:right="0" w:hanging="0"/>
        <w:jc w:val="center"/>
        <w:rPr>
          <w:rFonts w:ascii="Times New Roman;Times;serif" w:hAnsi="Times New Roman;Times;serif"/>
          <w:b/>
          <w:sz w:val="20"/>
        </w:rPr>
      </w:pPr>
      <w:bookmarkStart w:id="793" w:name="CondensedConsolidatedStatementsofCashFlo"/>
      <w:bookmarkEnd w:id="793"/>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794" w:name="Tc_MShyfGV4FkuU8-wBJ5aR7Q_53_0"/>
      <w:bookmarkStart w:id="795" w:name="Tc_XOEX9DRXCkavWvwR_h7oJw_52_3"/>
      <w:bookmarkStart w:id="796" w:name="Tc_1lSLeFdTTEybropltz4I9g_52_0"/>
      <w:bookmarkStart w:id="797" w:name="Tc_k7CLCM6gAUCiT3TGPWG4Xw_51_5"/>
      <w:bookmarkStart w:id="798" w:name="Tc_zNCdqU4OD0GRGsI-s576eQ_51_2"/>
      <w:bookmarkStart w:id="799" w:name="Tc_iYc8i1M7Q0ODGT2EwDVQzQ_51_0"/>
      <w:bookmarkStart w:id="800" w:name="Tc_Ax_3A20qXEKRqp_klf3Cww_50_0"/>
      <w:bookmarkStart w:id="801" w:name="Tc_HY1YrkivNkOBQQG6vs3maA_49_0"/>
      <w:bookmarkStart w:id="802" w:name="Tc_TLQutSebcEy5S-R_mcU5Kw_48_5"/>
      <w:bookmarkStart w:id="803" w:name="Tc_2bq44LUFfEuGwC-VMwc-_A_48_2"/>
      <w:bookmarkStart w:id="804" w:name="Tc_UOZ6hytHQkmP_aZeNTrBhA_48_0"/>
      <w:bookmarkStart w:id="805" w:name="Tc_FBy7Z6T-AkaS6jkyk_NM0w_47_0"/>
      <w:bookmarkStart w:id="806" w:name="Tc_Om2uZWkKoEK2A5rRYuO1iw_46_5"/>
      <w:bookmarkStart w:id="807" w:name="Tc_hWecFFT2U0q5AT__2uwMxw_46_2"/>
      <w:bookmarkStart w:id="808" w:name="Tc_rg62Cs9I70eYT2CvUmH7Wg_46_0"/>
      <w:bookmarkStart w:id="809" w:name="Tc_QjbRNgmcCEC0TrUypjAlIA_45_0"/>
      <w:bookmarkStart w:id="810" w:name="Tc_tiGJL-5yNUOsbVHdaXXKEg_44_0"/>
      <w:bookmarkStart w:id="811" w:name="Tc_eAJgou9NAEySer2cx7sd_g_43_0"/>
      <w:bookmarkStart w:id="812" w:name="Tc_Of_AGIDLK0ewfpS4yWK3Mg_42_0"/>
      <w:bookmarkStart w:id="813" w:name="Tc_zDEd3c_ZV0KDMctLjyGhQw_41_3"/>
      <w:bookmarkStart w:id="814" w:name="Tc_yx0JXiIGjE2JPzeilJk48Q_41_0"/>
      <w:bookmarkStart w:id="815" w:name="Tc__7ZQ6M8l_kW4yv4SZiJw_A_40_6"/>
      <w:bookmarkStart w:id="816" w:name="Tc_aMQlV4_evEizteFg5WPgrw_40_0"/>
      <w:bookmarkStart w:id="817" w:name="Tc_lLCr8GQTLke5IKejnQCxbg_39_3"/>
      <w:bookmarkStart w:id="818" w:name="Tc_Lasn8vL74EWJ48O0rP23SA_39_0"/>
      <w:bookmarkStart w:id="819" w:name="Tc_Kz3nXPUqFEKjOCVGlabcpQ_38_3"/>
      <w:bookmarkStart w:id="820" w:name="Tc_S7zHQiI0FEKlDbukzsqyoA_38_0"/>
      <w:bookmarkStart w:id="821" w:name="Tc_lL1BlYv9_UaxtpSB3s2Scw_37_0"/>
      <w:bookmarkStart w:id="822" w:name="Tc_LYZVBxPtBEePBW56q2fgHA_36_0"/>
      <w:bookmarkStart w:id="823" w:name="Tc_jsgRBMAdsUSuMRxowWlnpQ_35_0"/>
      <w:bookmarkStart w:id="824" w:name="Tc_U8qEWLYS7kaWPkF1WzxjbA_34_3"/>
      <w:bookmarkStart w:id="825" w:name="Tc_5WC_Agsop0a2uMcqhu4qWA_34_0"/>
      <w:bookmarkStart w:id="826" w:name="Tc_zqARc4sOEkip85xNgke2XA_33_0"/>
      <w:bookmarkStart w:id="827" w:name="Tc_Rdx9xJ03WkmsJ7cQ38MMlg_32_0"/>
      <w:bookmarkStart w:id="828" w:name="Tc_eRYhKS8BvEa_MztPnQ_83A_31_3"/>
      <w:bookmarkStart w:id="829" w:name="Tc_l_qFE3TQg023Hf2jw0iPRQ_31_0"/>
      <w:bookmarkStart w:id="830" w:name="Tc_UepB0sj6IU2qhsegwuglaA_30_3"/>
      <w:bookmarkStart w:id="831" w:name="Tc_LI06zwj48kGd5_FKHHMsbA_30_0"/>
      <w:bookmarkStart w:id="832" w:name="Tc_HnH3CMsVLUStw9hE6D_bwg_29_0"/>
      <w:bookmarkStart w:id="833" w:name="Tc_InMLYRUR4k2fQJXb1EyCuw_28_0"/>
      <w:bookmarkStart w:id="834" w:name="Tc_0QtBUkPt20G4AP3-c4Dxwg_27_0"/>
      <w:bookmarkStart w:id="835" w:name="Tc_T6KbYcgjpkCHhqsS3oeDIA_26_0"/>
      <w:bookmarkStart w:id="836" w:name="Tc_A_0E6wV510usgmvCCJcDrg_25_0"/>
      <w:bookmarkStart w:id="837" w:name="Tc_Bpr2zp8v8UCzw_yp9x1azA_24_0"/>
      <w:bookmarkStart w:id="838" w:name="Tc__1LMS6R2nEOXI6BJjp2hIg_23_0"/>
      <w:bookmarkStart w:id="839" w:name="Tc_ALStRRVPZk6TJawmUC2OWw_22_0"/>
      <w:bookmarkStart w:id="840" w:name="Tc_IGR3M2HSRkytk7XI_B5TmQ_21_0"/>
      <w:bookmarkStart w:id="841" w:name="Tc_nLyNBDjAhEiK5Lf9x1txiQ_20_0"/>
      <w:bookmarkStart w:id="842" w:name="Tc_OvTKgNLTZEWjDUq2fBi_rw_19_0"/>
      <w:bookmarkStart w:id="843" w:name="Tc_yeBIWsy24EO0wpsCxkyt1g_18_0"/>
      <w:bookmarkStart w:id="844" w:name="Tc_m41qvvyfVUa3IPTf7-LkqA_17_6"/>
      <w:bookmarkStart w:id="845" w:name="Tc_ppzMvtjq3EGU0id8SusItQ_17_0"/>
      <w:bookmarkStart w:id="846" w:name="Tc_JNkFBgOTHUuK7pQLgialXw_16_0"/>
      <w:bookmarkStart w:id="847" w:name="Tc_jOEtsXS540aM0AzLGExiSw_15_0"/>
      <w:bookmarkStart w:id="848" w:name="Tc_cpOruDunhU-xEbmAiMR2_A_14_0"/>
      <w:bookmarkStart w:id="849" w:name="Tc_9W0GwW_a70OT5MbT-dXo7w_13_3"/>
      <w:bookmarkStart w:id="850" w:name="Tc_-yU9f2-210-GXIIXSfXVzA_13_0"/>
      <w:bookmarkStart w:id="851" w:name="Tc_PuZN9ryug0SO6_49Q3Wz0g_12_3"/>
      <w:bookmarkStart w:id="852" w:name="Tc_hHAL1i0fHk2sX-2N09wrtA_12_0"/>
      <w:bookmarkStart w:id="853" w:name="Tc_P84BH1QLj0mBLEx7RxMi-A_11_0"/>
      <w:bookmarkStart w:id="854" w:name="Tc_n_0l8NTgOkyK08eyTtqe2g_10_0"/>
      <w:bookmarkStart w:id="855" w:name="Tc_7E9FOeksP0WoVZU9g1oKlg_9_0"/>
      <w:bookmarkStart w:id="856" w:name="Tc_y5kBwauofE23gMLD1rOHvw_8_0"/>
      <w:bookmarkStart w:id="857" w:name="Tc_-h7qXjxHC0KoMYkfkgJlxg_7_0"/>
      <w:bookmarkStart w:id="858" w:name="Tc_Tp0ma9fxQUWv7i7sPscaWA_6_0"/>
      <w:bookmarkStart w:id="859" w:name="Tc_hv7MkVy-wkynPIX1LVDEZQ_5_5"/>
      <w:bookmarkStart w:id="860" w:name="Tc_eOEvMBCKLkev2_B7WxYcsg_5_2"/>
      <w:bookmarkStart w:id="861" w:name="Tc_ZN8re94FaUOOOKDDt7pyIQ_5_0"/>
      <w:bookmarkStart w:id="862" w:name="Tc_4cTVp4DfZkGOXZ-Kw4Uzaw_4_0"/>
      <w:bookmarkStart w:id="863" w:name="Tc_A95Y5nWg_U6_FkG0SETEag_3_5"/>
      <w:bookmarkStart w:id="864" w:name="Tc_EfwLtT8Ou0GQrXM5T_1Mow_3_2"/>
      <w:bookmarkStart w:id="865" w:name="Tc_U0omtMq6VkGIcKhH19iPPw_2_5"/>
      <w:bookmarkStart w:id="866" w:name="Tc_n3Wz9IbuY0Sa9p9kv9rxmw_2_2"/>
      <w:bookmarkStart w:id="867" w:name="Tc_TN2xBWRvu0qsX_nhU1OFgQ_1_2"/>
      <w:bookmarkStart w:id="868" w:name="_bf78064e_a2f5_487b_969f_4aebe318963f"/>
      <w:bookmarkStart w:id="869" w:name="Tc_MShyfGV4FkuU8-wBJ5aR7Q_53_0"/>
      <w:bookmarkStart w:id="870" w:name="Tc_XOEX9DRXCkavWvwR_h7oJw_52_3"/>
      <w:bookmarkStart w:id="871" w:name="Tc_1lSLeFdTTEybropltz4I9g_52_0"/>
      <w:bookmarkStart w:id="872" w:name="Tc_k7CLCM6gAUCiT3TGPWG4Xw_51_5"/>
      <w:bookmarkStart w:id="873" w:name="Tc_zNCdqU4OD0GRGsI-s576eQ_51_2"/>
      <w:bookmarkStart w:id="874" w:name="Tc_iYc8i1M7Q0ODGT2EwDVQzQ_51_0"/>
      <w:bookmarkStart w:id="875" w:name="Tc_Ax_3A20qXEKRqp_klf3Cww_50_0"/>
      <w:bookmarkStart w:id="876" w:name="Tc_HY1YrkivNkOBQQG6vs3maA_49_0"/>
      <w:bookmarkStart w:id="877" w:name="Tc_TLQutSebcEy5S-R_mcU5Kw_48_5"/>
      <w:bookmarkStart w:id="878" w:name="Tc_2bq44LUFfEuGwC-VMwc-_A_48_2"/>
      <w:bookmarkStart w:id="879" w:name="Tc_UOZ6hytHQkmP_aZeNTrBhA_48_0"/>
      <w:bookmarkStart w:id="880" w:name="Tc_FBy7Z6T-AkaS6jkyk_NM0w_47_0"/>
      <w:bookmarkStart w:id="881" w:name="Tc_Om2uZWkKoEK2A5rRYuO1iw_46_5"/>
      <w:bookmarkStart w:id="882" w:name="Tc_hWecFFT2U0q5AT__2uwMxw_46_2"/>
      <w:bookmarkStart w:id="883" w:name="Tc_rg62Cs9I70eYT2CvUmH7Wg_46_0"/>
      <w:bookmarkStart w:id="884" w:name="Tc_QjbRNgmcCEC0TrUypjAlIA_45_0"/>
      <w:bookmarkStart w:id="885" w:name="Tc_tiGJL-5yNUOsbVHdaXXKEg_44_0"/>
      <w:bookmarkStart w:id="886" w:name="Tc_eAJgou9NAEySer2cx7sd_g_43_0"/>
      <w:bookmarkStart w:id="887" w:name="Tc_Of_AGIDLK0ewfpS4yWK3Mg_42_0"/>
      <w:bookmarkStart w:id="888" w:name="Tc_zDEd3c_ZV0KDMctLjyGhQw_41_3"/>
      <w:bookmarkStart w:id="889" w:name="Tc_yx0JXiIGjE2JPzeilJk48Q_41_0"/>
      <w:bookmarkStart w:id="890" w:name="Tc__7ZQ6M8l_kW4yv4SZiJw_A_40_6"/>
      <w:bookmarkStart w:id="891" w:name="Tc_aMQlV4_evEizteFg5WPgrw_40_0"/>
      <w:bookmarkStart w:id="892" w:name="Tc_lLCr8GQTLke5IKejnQCxbg_39_3"/>
      <w:bookmarkStart w:id="893" w:name="Tc_Lasn8vL74EWJ48O0rP23SA_39_0"/>
      <w:bookmarkStart w:id="894" w:name="Tc_Kz3nXPUqFEKjOCVGlabcpQ_38_3"/>
      <w:bookmarkStart w:id="895" w:name="Tc_S7zHQiI0FEKlDbukzsqyoA_38_0"/>
      <w:bookmarkStart w:id="896" w:name="Tc_lL1BlYv9_UaxtpSB3s2Scw_37_0"/>
      <w:bookmarkStart w:id="897" w:name="Tc_LYZVBxPtBEePBW56q2fgHA_36_0"/>
      <w:bookmarkStart w:id="898" w:name="Tc_jsgRBMAdsUSuMRxowWlnpQ_35_0"/>
      <w:bookmarkStart w:id="899" w:name="Tc_U8qEWLYS7kaWPkF1WzxjbA_34_3"/>
      <w:bookmarkStart w:id="900" w:name="Tc_5WC_Agsop0a2uMcqhu4qWA_34_0"/>
      <w:bookmarkStart w:id="901" w:name="Tc_zqARc4sOEkip85xNgke2XA_33_0"/>
      <w:bookmarkStart w:id="902" w:name="Tc_Rdx9xJ03WkmsJ7cQ38MMlg_32_0"/>
      <w:bookmarkStart w:id="903" w:name="Tc_eRYhKS8BvEa_MztPnQ_83A_31_3"/>
      <w:bookmarkStart w:id="904" w:name="Tc_l_qFE3TQg023Hf2jw0iPRQ_31_0"/>
      <w:bookmarkStart w:id="905" w:name="Tc_UepB0sj6IU2qhsegwuglaA_30_3"/>
      <w:bookmarkStart w:id="906" w:name="Tc_LI06zwj48kGd5_FKHHMsbA_30_0"/>
      <w:bookmarkStart w:id="907" w:name="Tc_HnH3CMsVLUStw9hE6D_bwg_29_0"/>
      <w:bookmarkStart w:id="908" w:name="Tc_InMLYRUR4k2fQJXb1EyCuw_28_0"/>
      <w:bookmarkStart w:id="909" w:name="Tc_0QtBUkPt20G4AP3-c4Dxwg_27_0"/>
      <w:bookmarkStart w:id="910" w:name="Tc_T6KbYcgjpkCHhqsS3oeDIA_26_0"/>
      <w:bookmarkStart w:id="911" w:name="Tc_A_0E6wV510usgmvCCJcDrg_25_0"/>
      <w:bookmarkStart w:id="912" w:name="Tc_Bpr2zp8v8UCzw_yp9x1azA_24_0"/>
      <w:bookmarkStart w:id="913" w:name="Tc__1LMS6R2nEOXI6BJjp2hIg_23_0"/>
      <w:bookmarkStart w:id="914" w:name="Tc_ALStRRVPZk6TJawmUC2OWw_22_0"/>
      <w:bookmarkStart w:id="915" w:name="Tc_IGR3M2HSRkytk7XI_B5TmQ_21_0"/>
      <w:bookmarkStart w:id="916" w:name="Tc_nLyNBDjAhEiK5Lf9x1txiQ_20_0"/>
      <w:bookmarkStart w:id="917" w:name="Tc_OvTKgNLTZEWjDUq2fBi_rw_19_0"/>
      <w:bookmarkStart w:id="918" w:name="Tc_yeBIWsy24EO0wpsCxkyt1g_18_0"/>
      <w:bookmarkStart w:id="919" w:name="Tc_m41qvvyfVUa3IPTf7-LkqA_17_6"/>
      <w:bookmarkStart w:id="920" w:name="Tc_ppzMvtjq3EGU0id8SusItQ_17_0"/>
      <w:bookmarkStart w:id="921" w:name="Tc_JNkFBgOTHUuK7pQLgialXw_16_0"/>
      <w:bookmarkStart w:id="922" w:name="Tc_jOEtsXS540aM0AzLGExiSw_15_0"/>
      <w:bookmarkStart w:id="923" w:name="Tc_cpOruDunhU-xEbmAiMR2_A_14_0"/>
      <w:bookmarkStart w:id="924" w:name="Tc_9W0GwW_a70OT5MbT-dXo7w_13_3"/>
      <w:bookmarkStart w:id="925" w:name="Tc_-yU9f2-210-GXIIXSfXVzA_13_0"/>
      <w:bookmarkStart w:id="926" w:name="Tc_PuZN9ryug0SO6_49Q3Wz0g_12_3"/>
      <w:bookmarkStart w:id="927" w:name="Tc_hHAL1i0fHk2sX-2N09wrtA_12_0"/>
      <w:bookmarkStart w:id="928" w:name="Tc_P84BH1QLj0mBLEx7RxMi-A_11_0"/>
      <w:bookmarkStart w:id="929" w:name="Tc_n_0l8NTgOkyK08eyTtqe2g_10_0"/>
      <w:bookmarkStart w:id="930" w:name="Tc_7E9FOeksP0WoVZU9g1oKlg_9_0"/>
      <w:bookmarkStart w:id="931" w:name="Tc_y5kBwauofE23gMLD1rOHvw_8_0"/>
      <w:bookmarkStart w:id="932" w:name="Tc_-h7qXjxHC0KoMYkfkgJlxg_7_0"/>
      <w:bookmarkStart w:id="933" w:name="Tc_Tp0ma9fxQUWv7i7sPscaWA_6_0"/>
      <w:bookmarkStart w:id="934" w:name="Tc_hv7MkVy-wkynPIX1LVDEZQ_5_5"/>
      <w:bookmarkStart w:id="935" w:name="Tc_eOEvMBCKLkev2_B7WxYcsg_5_2"/>
      <w:bookmarkStart w:id="936" w:name="Tc_ZN8re94FaUOOOKDDt7pyIQ_5_0"/>
      <w:bookmarkStart w:id="937" w:name="Tc_4cTVp4DfZkGOXZ-Kw4Uzaw_4_0"/>
      <w:bookmarkStart w:id="938" w:name="Tc_A95Y5nWg_U6_FkG0SETEag_3_5"/>
      <w:bookmarkStart w:id="939" w:name="Tc_EfwLtT8Ou0GQrXM5T_1Mow_3_2"/>
      <w:bookmarkStart w:id="940" w:name="Tc_U0omtMq6VkGIcKhH19iPPw_2_5"/>
      <w:bookmarkStart w:id="941" w:name="Tc_n3Wz9IbuY0Sa9p9kv9rxmw_2_2"/>
      <w:bookmarkStart w:id="942" w:name="Tc_TN2xBWRvu0qsX_nhU1OFgQ_1_2"/>
      <w:bookmarkStart w:id="943" w:name="_bf78064e_a2f5_487b_969f_4aebe318963f"/>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p>
    <w:tbl>
      <w:tblPr>
        <w:tblW w:w="8189" w:type="dxa"/>
        <w:jc w:val="left"/>
        <w:tblInd w:w="0" w:type="dxa"/>
        <w:tblLayout w:type="fixed"/>
        <w:tblCellMar>
          <w:top w:w="0" w:type="dxa"/>
          <w:left w:w="0" w:type="dxa"/>
          <w:bottom w:w="0" w:type="dxa"/>
          <w:right w:w="0" w:type="dxa"/>
        </w:tblCellMar>
      </w:tblPr>
      <w:tblGrid>
        <w:gridCol w:w="5416"/>
        <w:gridCol w:w="146"/>
        <w:gridCol w:w="243"/>
        <w:gridCol w:w="897"/>
        <w:gridCol w:w="326"/>
        <w:gridCol w:w="196"/>
        <w:gridCol w:w="811"/>
        <w:gridCol w:w="154"/>
      </w:tblGrid>
      <w:tr>
        <w:trPr/>
        <w:tc>
          <w:tcPr>
            <w:tcW w:w="5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3439160" cy="175260"/>
                      <wp:effectExtent l="0" t="0" r="0" b="0"/>
                      <wp:wrapNone/>
                      <wp:docPr id="75" name="Frame75"/>
                      <a:graphic xmlns:a="http://schemas.openxmlformats.org/drawingml/2006/main">
                        <a:graphicData uri="http://schemas.microsoft.com/office/word/2010/wordprocessingShape">
                          <wps:wsp>
                            <wps:cNvSpPr txBox="1"/>
                            <wps:spPr>
                              <a:xfrm>
                                <a:off x="0" y="0"/>
                                <a:ext cx="3439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92710" cy="175260"/>
                      <wp:effectExtent l="0" t="0" r="0" b="0"/>
                      <wp:wrapNone/>
                      <wp:docPr id="76" name="Frame7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54305" cy="175260"/>
                      <wp:effectExtent l="0" t="0" r="0" b="0"/>
                      <wp:wrapNone/>
                      <wp:docPr id="77" name="Frame77"/>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69595" cy="175260"/>
                      <wp:effectExtent l="0" t="0" r="0" b="0"/>
                      <wp:wrapNone/>
                      <wp:docPr id="78" name="Frame78"/>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24460" cy="175260"/>
                      <wp:effectExtent l="0" t="0" r="0" b="0"/>
                      <wp:wrapNone/>
                      <wp:docPr id="80" name="Frame8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14985" cy="175260"/>
                      <wp:effectExtent l="0" t="0" r="0" b="0"/>
                      <wp:wrapNone/>
                      <wp:docPr id="81" name="Frame8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97790" cy="175260"/>
                      <wp:effectExtent l="0" t="0" r="0" b="0"/>
                      <wp:wrapNone/>
                      <wp:docPr id="82" name="Frame8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1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24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Fiscal Quarters Ended</w:t>
            </w:r>
          </w:p>
        </w:tc>
        <w:tc>
          <w:tcPr>
            <w:tcW w:w="154" w:type="dxa"/>
            <w:tcBorders/>
            <w:vAlign w:val="center"/>
          </w:tcPr>
          <w:p>
            <w:pPr>
              <w:pStyle w:val="TableContents"/>
              <w:bidi w:val="0"/>
              <w:spacing w:before="0" w:after="1"/>
              <w:ind w:left="0" w:right="0" w:hanging="0"/>
              <w:jc w:val="center"/>
              <w:rPr/>
            </w:pPr>
            <w:r>
              <w:rPr/>
              <w:t>​</w:t>
            </w:r>
          </w:p>
        </w:tc>
      </w:tr>
      <w:tr>
        <w:trPr/>
        <w:tc>
          <w:tcPr>
            <w:tcW w:w="541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October 1,</w:t>
            </w:r>
          </w:p>
        </w:tc>
        <w:tc>
          <w:tcPr>
            <w:tcW w:w="154" w:type="dxa"/>
            <w:tcBorders/>
            <w:vAlign w:val="center"/>
          </w:tcPr>
          <w:p>
            <w:pPr>
              <w:pStyle w:val="TableContents"/>
              <w:bidi w:val="0"/>
              <w:spacing w:before="0" w:after="1"/>
              <w:ind w:left="0" w:right="0" w:hanging="0"/>
              <w:jc w:val="center"/>
              <w:rPr/>
            </w:pPr>
            <w:r>
              <w:rPr/>
              <w:t>​</w:t>
            </w:r>
          </w:p>
        </w:tc>
      </w:tr>
      <w:tr>
        <w:trPr/>
        <w:tc>
          <w:tcPr>
            <w:tcW w:w="541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before="0" w:after="1"/>
              <w:ind w:left="0" w:right="0" w:hanging="0"/>
              <w:jc w:val="center"/>
              <w:rPr/>
            </w:pPr>
            <w:r>
              <w:rPr/>
              <w:t>​</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Cash flows from operating activities:</w:t>
            </w:r>
          </w:p>
        </w:tc>
        <w:tc>
          <w:tcPr>
            <w:tcW w:w="1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(loss) income</w:t>
            </w:r>
          </w:p>
        </w:tc>
        <w:tc>
          <w:tcPr>
            <w:tcW w:w="1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13,339</w:t>
            </w:r>
          </w:p>
        </w:tc>
        <w:tc>
          <w:tcPr>
            <w:tcW w:w="154" w:type="dxa"/>
            <w:tcBorders/>
            <w:vAlign w:val="center"/>
          </w:tcPr>
          <w:p>
            <w:pPr>
              <w:pStyle w:val="TableContents"/>
              <w:bidi w:val="0"/>
              <w:spacing w:before="0" w:after="1"/>
              <w:ind w:left="0" w:right="0" w:hanging="0"/>
              <w:jc w:val="right"/>
              <w:rPr/>
            </w:pPr>
            <w:r>
              <w:rPr/>
              <w:t>​</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Adjustments to reconcile net (loss) income to net cash provided by operating activities:</w:t>
            </w:r>
          </w:p>
        </w:tc>
        <w:tc>
          <w:tcPr>
            <w:tcW w:w="1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Depreciation and amortization</w:t>
            </w:r>
          </w:p>
        </w:tc>
        <w:tc>
          <w:tcPr>
            <w:tcW w:w="1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29,784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28,834</w:t>
            </w:r>
          </w:p>
        </w:tc>
        <w:tc>
          <w:tcPr>
            <w:tcW w:w="154" w:type="dxa"/>
            <w:tcBorders/>
            <w:vAlign w:val="center"/>
          </w:tcPr>
          <w:p>
            <w:pPr>
              <w:pStyle w:val="TableContents"/>
              <w:bidi w:val="0"/>
              <w:spacing w:before="0" w:after="1"/>
              <w:ind w:left="0" w:right="0" w:hanging="0"/>
              <w:jc w:val="right"/>
              <w:rPr/>
            </w:pPr>
            <w:r>
              <w:rPr/>
              <w:t>​</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Amortization of deferred financing costs and debt discount</w:t>
            </w:r>
          </w:p>
        </w:tc>
        <w:tc>
          <w:tcPr>
            <w:tcW w:w="1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1,140</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Non-cash lease expense</w:t>
            </w:r>
          </w:p>
        </w:tc>
        <w:tc>
          <w:tcPr>
            <w:tcW w:w="1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5,874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5,596</w:t>
            </w:r>
          </w:p>
        </w:tc>
        <w:tc>
          <w:tcPr>
            <w:tcW w:w="154" w:type="dxa"/>
            <w:tcBorders/>
            <w:vAlign w:val="center"/>
          </w:tcPr>
          <w:p>
            <w:pPr>
              <w:pStyle w:val="TableContents"/>
              <w:bidi w:val="0"/>
              <w:spacing w:before="0" w:after="1"/>
              <w:ind w:left="0" w:right="0" w:hanging="0"/>
              <w:jc w:val="right"/>
              <w:rPr/>
            </w:pPr>
            <w:r>
              <w:rPr/>
              <w:t>​</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Change in fair value of interest rate swaps</w:t>
            </w:r>
          </w:p>
        </w:tc>
        <w:tc>
          <w:tcPr>
            <w:tcW w:w="1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(4,203)</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Stock-based compensation expense</w:t>
            </w:r>
          </w:p>
        </w:tc>
        <w:tc>
          <w:tcPr>
            <w:tcW w:w="1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14,887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40,415</w:t>
            </w:r>
          </w:p>
        </w:tc>
        <w:tc>
          <w:tcPr>
            <w:tcW w:w="154" w:type="dxa"/>
            <w:tcBorders/>
            <w:vAlign w:val="center"/>
          </w:tcPr>
          <w:p>
            <w:pPr>
              <w:pStyle w:val="TableContents"/>
              <w:bidi w:val="0"/>
              <w:spacing w:before="0" w:after="1"/>
              <w:ind w:left="0" w:right="0" w:hanging="0"/>
              <w:jc w:val="right"/>
              <w:rPr/>
            </w:pPr>
            <w:r>
              <w:rPr/>
              <w:t>​</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Underwriting fees related to offering of common stock</w:t>
            </w:r>
          </w:p>
        </w:tc>
        <w:tc>
          <w:tcPr>
            <w:tcW w:w="1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11,437</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Loss on extinguishment of debt</w:t>
            </w:r>
          </w:p>
        </w:tc>
        <w:tc>
          <w:tcPr>
            <w:tcW w:w="1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3,465</w:t>
            </w:r>
          </w:p>
        </w:tc>
        <w:tc>
          <w:tcPr>
            <w:tcW w:w="154" w:type="dxa"/>
            <w:tcBorders/>
            <w:vAlign w:val="center"/>
          </w:tcPr>
          <w:p>
            <w:pPr>
              <w:pStyle w:val="TableContents"/>
              <w:bidi w:val="0"/>
              <w:spacing w:before="0" w:after="1"/>
              <w:ind w:left="0" w:right="0" w:hanging="0"/>
              <w:jc w:val="right"/>
              <w:rPr/>
            </w:pPr>
            <w:r>
              <w:rPr/>
              <w:t>​</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Bad debt expense</w:t>
            </w:r>
          </w:p>
        </w:tc>
        <w:tc>
          <w:tcPr>
            <w:tcW w:w="1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4,984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1,457</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non-cash, net</w:t>
            </w:r>
          </w:p>
        </w:tc>
        <w:tc>
          <w:tcPr>
            <w:tcW w:w="1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6,496</w:t>
            </w:r>
          </w:p>
        </w:tc>
        <w:tc>
          <w:tcPr>
            <w:tcW w:w="154" w:type="dxa"/>
            <w:tcBorders/>
            <w:vAlign w:val="center"/>
          </w:tcPr>
          <w:p>
            <w:pPr>
              <w:pStyle w:val="TableContents"/>
              <w:bidi w:val="0"/>
              <w:spacing w:before="0" w:after="1"/>
              <w:ind w:left="0" w:right="0" w:hanging="0"/>
              <w:jc w:val="right"/>
              <w:rPr/>
            </w:pPr>
            <w:r>
              <w:rPr/>
              <w:t>​</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Earnings from equity method investment</w:t>
            </w:r>
          </w:p>
        </w:tc>
        <w:tc>
          <w:tcPr>
            <w:tcW w:w="1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(2,468)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(2,591)</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Distributions received from equity method investment</w:t>
            </w:r>
          </w:p>
        </w:tc>
        <w:tc>
          <w:tcPr>
            <w:tcW w:w="1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2,330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right"/>
              <w:rPr/>
            </w:pPr>
            <w:r>
              <w:rPr/>
              <w:t>​</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Changes in operating assets and liabilities:</w:t>
            </w:r>
          </w:p>
        </w:tc>
        <w:tc>
          <w:tcPr>
            <w:tcW w:w="1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Trade receivables</w:t>
            </w:r>
          </w:p>
        </w:tc>
        <w:tc>
          <w:tcPr>
            <w:tcW w:w="1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(28,652)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(44,875)</w:t>
            </w:r>
          </w:p>
        </w:tc>
        <w:tc>
          <w:tcPr>
            <w:tcW w:w="154" w:type="dxa"/>
            <w:tcBorders/>
            <w:vAlign w:val="center"/>
          </w:tcPr>
          <w:p>
            <w:pPr>
              <w:pStyle w:val="TableContents"/>
              <w:bidi w:val="0"/>
              <w:spacing w:before="0" w:after="1"/>
              <w:ind w:left="0" w:right="0" w:hanging="0"/>
              <w:jc w:val="right"/>
              <w:rPr/>
            </w:pPr>
            <w:r>
              <w:rPr/>
              <w:t>​</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Inventories</w:t>
            </w:r>
          </w:p>
        </w:tc>
        <w:tc>
          <w:tcPr>
            <w:tcW w:w="1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61,738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(59,139)</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Prepaid expenses and other current assets</w:t>
            </w:r>
          </w:p>
        </w:tc>
        <w:tc>
          <w:tcPr>
            <w:tcW w:w="1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2,458</w:t>
            </w:r>
          </w:p>
        </w:tc>
        <w:tc>
          <w:tcPr>
            <w:tcW w:w="154" w:type="dxa"/>
            <w:tcBorders/>
            <w:vAlign w:val="center"/>
          </w:tcPr>
          <w:p>
            <w:pPr>
              <w:pStyle w:val="TableContents"/>
              <w:bidi w:val="0"/>
              <w:spacing w:before="0" w:after="1"/>
              <w:ind w:left="0" w:right="0" w:hanging="0"/>
              <w:jc w:val="right"/>
              <w:rPr/>
            </w:pPr>
            <w:r>
              <w:rPr/>
              <w:t>​</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Income tax receivable</w:t>
            </w:r>
          </w:p>
        </w:tc>
        <w:tc>
          <w:tcPr>
            <w:tcW w:w="1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(2,051)</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assets</w:t>
            </w:r>
          </w:p>
        </w:tc>
        <w:tc>
          <w:tcPr>
            <w:tcW w:w="1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(4,289)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(442)</w:t>
            </w:r>
          </w:p>
        </w:tc>
        <w:tc>
          <w:tcPr>
            <w:tcW w:w="154" w:type="dxa"/>
            <w:tcBorders/>
            <w:vAlign w:val="center"/>
          </w:tcPr>
          <w:p>
            <w:pPr>
              <w:pStyle w:val="TableContents"/>
              <w:bidi w:val="0"/>
              <w:spacing w:before="0" w:after="1"/>
              <w:ind w:left="0" w:right="0" w:hanging="0"/>
              <w:jc w:val="right"/>
              <w:rPr/>
            </w:pPr>
            <w:r>
              <w:rPr/>
              <w:t>​</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Accounts payable</w:t>
            </w:r>
          </w:p>
        </w:tc>
        <w:tc>
          <w:tcPr>
            <w:tcW w:w="1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3,702</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Accrued expenses and other current liabilities</w:t>
            </w:r>
          </w:p>
        </w:tc>
        <w:tc>
          <w:tcPr>
            <w:tcW w:w="1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w:t>
            </w:r>
          </w:p>
        </w:tc>
        <w:tc>
          <w:tcPr>
            <w:tcW w:w="154" w:type="dxa"/>
            <w:tcBorders/>
            <w:vAlign w:val="center"/>
          </w:tcPr>
          <w:p>
            <w:pPr>
              <w:pStyle w:val="TableContents"/>
              <w:bidi w:val="0"/>
              <w:spacing w:before="0" w:after="1"/>
              <w:ind w:left="0" w:right="0" w:hanging="0"/>
              <w:jc w:val="right"/>
              <w:rPr/>
            </w:pPr>
            <w:r>
              <w:rPr/>
              <w:t>​</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long-term liabilities</w:t>
            </w:r>
          </w:p>
        </w:tc>
        <w:tc>
          <w:tcPr>
            <w:tcW w:w="146"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2,969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290</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cash provided by operating activities</w:t>
            </w:r>
          </w:p>
        </w:tc>
        <w:tc>
          <w:tcPr>
            <w:tcW w:w="146"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88,123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5,236</w:t>
            </w:r>
          </w:p>
        </w:tc>
        <w:tc>
          <w:tcPr>
            <w:tcW w:w="154" w:type="dxa"/>
            <w:tcBorders/>
            <w:vAlign w:val="center"/>
          </w:tcPr>
          <w:p>
            <w:pPr>
              <w:pStyle w:val="TableContents"/>
              <w:bidi w:val="0"/>
              <w:spacing w:before="0" w:after="1"/>
              <w:ind w:left="0" w:right="0" w:hanging="0"/>
              <w:jc w:val="right"/>
              <w:rPr/>
            </w:pPr>
            <w:r>
              <w:rPr/>
              <w:t>​</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b/>
                <w:sz w:val="15"/>
              </w:rPr>
              <w:t>Cash flows from investing activities</w:t>
            </w:r>
            <w:r>
              <w:rPr>
                <w:rFonts w:ascii="Times New Roman;Times;serif" w:hAnsi="Times New Roman;Times;serif"/>
                <w:sz w:val="15"/>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Purchases of property and equipment</w:t>
            </w:r>
          </w:p>
        </w:tc>
        <w:tc>
          <w:tcPr>
            <w:tcW w:w="1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(28,273)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(29,002)</w:t>
            </w:r>
          </w:p>
        </w:tc>
        <w:tc>
          <w:tcPr>
            <w:tcW w:w="154" w:type="dxa"/>
            <w:tcBorders/>
            <w:vAlign w:val="center"/>
          </w:tcPr>
          <w:p>
            <w:pPr>
              <w:pStyle w:val="TableContents"/>
              <w:bidi w:val="0"/>
              <w:spacing w:before="0" w:after="1"/>
              <w:ind w:left="0" w:right="0" w:hanging="0"/>
              <w:jc w:val="right"/>
              <w:rPr/>
            </w:pPr>
            <w:r>
              <w:rPr/>
              <w:t>​</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Proceeds from the sale of property and equipment</w:t>
            </w:r>
          </w:p>
        </w:tc>
        <w:tc>
          <w:tcPr>
            <w:tcW w:w="1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Acquisitions of businesses, net of cash acquired</w:t>
            </w:r>
          </w:p>
        </w:tc>
        <w:tc>
          <w:tcPr>
            <w:tcW w:w="146"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(384)</w:t>
            </w:r>
          </w:p>
        </w:tc>
        <w:tc>
          <w:tcPr>
            <w:tcW w:w="154" w:type="dxa"/>
            <w:tcBorders/>
            <w:vAlign w:val="center"/>
          </w:tcPr>
          <w:p>
            <w:pPr>
              <w:pStyle w:val="TableContents"/>
              <w:bidi w:val="0"/>
              <w:spacing w:before="0" w:after="1"/>
              <w:ind w:left="0" w:right="0" w:hanging="0"/>
              <w:jc w:val="right"/>
              <w:rPr/>
            </w:pPr>
            <w:r>
              <w:rPr/>
              <w:t>​</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cash used in investing activities</w:t>
            </w:r>
          </w:p>
        </w:tc>
        <w:tc>
          <w:tcPr>
            <w:tcW w:w="146"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(28,273)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(29,362)</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b/>
                <w:sz w:val="15"/>
              </w:rPr>
              <w:t>Cash flows from financing activities</w:t>
            </w:r>
            <w:r>
              <w:rPr>
                <w:rFonts w:ascii="Times New Roman;Times;serif" w:hAnsi="Times New Roman;Times;serif"/>
                <w:sz w:val="15"/>
              </w:rPr>
              <w:t>:</w:t>
            </w:r>
          </w:p>
        </w:tc>
        <w:tc>
          <w:tcPr>
            <w:tcW w:w="1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right"/>
              <w:rPr/>
            </w:pPr>
            <w:r>
              <w:rPr/>
              <w:t>​</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Proceeds from long-term debt borrowings</w:t>
            </w:r>
          </w:p>
        </w:tc>
        <w:tc>
          <w:tcPr>
            <w:tcW w:w="1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320,125</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Payments on long-term debt borrowings</w:t>
            </w:r>
          </w:p>
        </w:tc>
        <w:tc>
          <w:tcPr>
            <w:tcW w:w="1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(12,437)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(285,634)</w:t>
            </w:r>
          </w:p>
        </w:tc>
        <w:tc>
          <w:tcPr>
            <w:tcW w:w="154" w:type="dxa"/>
            <w:tcBorders/>
            <w:vAlign w:val="center"/>
          </w:tcPr>
          <w:p>
            <w:pPr>
              <w:pStyle w:val="TableContents"/>
              <w:bidi w:val="0"/>
              <w:spacing w:before="0" w:after="1"/>
              <w:ind w:left="0" w:right="0" w:hanging="0"/>
              <w:jc w:val="right"/>
              <w:rPr/>
            </w:pPr>
            <w:r>
              <w:rPr/>
              <w:t>​</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Proceeds from borrowings on revolving credit facilities</w:t>
            </w:r>
          </w:p>
        </w:tc>
        <w:tc>
          <w:tcPr>
            <w:tcW w:w="1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48,000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25,000</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Payments on revolving credit facilities</w:t>
            </w:r>
          </w:p>
        </w:tc>
        <w:tc>
          <w:tcPr>
            <w:tcW w:w="1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(48,000)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(25,000)</w:t>
            </w:r>
          </w:p>
        </w:tc>
        <w:tc>
          <w:tcPr>
            <w:tcW w:w="154" w:type="dxa"/>
            <w:tcBorders/>
            <w:vAlign w:val="center"/>
          </w:tcPr>
          <w:p>
            <w:pPr>
              <w:pStyle w:val="TableContents"/>
              <w:bidi w:val="0"/>
              <w:spacing w:before="0" w:after="1"/>
              <w:ind w:left="0" w:right="0" w:hanging="0"/>
              <w:jc w:val="right"/>
              <w:rPr/>
            </w:pPr>
            <w:r>
              <w:rPr/>
              <w:t>​</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Deferred financing fees paid</w:t>
            </w:r>
          </w:p>
        </w:tc>
        <w:tc>
          <w:tcPr>
            <w:tcW w:w="1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(6,865)</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Proceeds from the issuance of common stock</w:t>
            </w:r>
          </w:p>
        </w:tc>
        <w:tc>
          <w:tcPr>
            <w:tcW w:w="1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257,663</w:t>
            </w:r>
          </w:p>
        </w:tc>
        <w:tc>
          <w:tcPr>
            <w:tcW w:w="154" w:type="dxa"/>
            <w:tcBorders/>
            <w:vAlign w:val="center"/>
          </w:tcPr>
          <w:p>
            <w:pPr>
              <w:pStyle w:val="TableContents"/>
              <w:bidi w:val="0"/>
              <w:spacing w:before="0" w:after="1"/>
              <w:ind w:left="0" w:right="0" w:hanging="0"/>
              <w:jc w:val="right"/>
              <w:rPr/>
            </w:pPr>
            <w:r>
              <w:rPr/>
              <w:t>​</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Repayments of finance lease obligations</w:t>
            </w:r>
          </w:p>
        </w:tc>
        <w:tc>
          <w:tcPr>
            <w:tcW w:w="1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Repurchase and retirement of common stock</w:t>
            </w:r>
          </w:p>
        </w:tc>
        <w:tc>
          <w:tcPr>
            <w:tcW w:w="146"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(272,663)</w:t>
            </w:r>
          </w:p>
        </w:tc>
        <w:tc>
          <w:tcPr>
            <w:tcW w:w="154" w:type="dxa"/>
            <w:tcBorders/>
            <w:vAlign w:val="center"/>
          </w:tcPr>
          <w:p>
            <w:pPr>
              <w:pStyle w:val="TableContents"/>
              <w:bidi w:val="0"/>
              <w:spacing w:before="0" w:after="1"/>
              <w:ind w:left="0" w:right="0" w:hanging="0"/>
              <w:jc w:val="right"/>
              <w:rPr/>
            </w:pPr>
            <w:r>
              <w:rPr/>
              <w:t>​</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cash (used in) provided by financing activities</w:t>
            </w:r>
          </w:p>
        </w:tc>
        <w:tc>
          <w:tcPr>
            <w:tcW w:w="1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(12,874)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12,626</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Effect of exchange rate changes on cash</w:t>
            </w:r>
          </w:p>
        </w:tc>
        <w:tc>
          <w:tcPr>
            <w:tcW w:w="146" w:type="dxa"/>
            <w:tcBorders/>
            <w:vAlign w:val="center"/>
          </w:tcPr>
          <w:p>
            <w:pPr>
              <w:pStyle w:val="TableContents"/>
              <w:bidi w:val="0"/>
              <w:spacing w:before="0" w:after="1"/>
              <w:ind w:left="0" w:right="0" w:hanging="0"/>
              <w:jc w:val="left"/>
              <w:rPr/>
            </w:pPr>
            <w:r>
              <w:rPr/>
              <w:t> </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(1,489)</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(1,832)</w:t>
            </w:r>
          </w:p>
        </w:tc>
        <w:tc>
          <w:tcPr>
            <w:tcW w:w="154" w:type="dxa"/>
            <w:tcBorders/>
            <w:vAlign w:val="center"/>
          </w:tcPr>
          <w:p>
            <w:pPr>
              <w:pStyle w:val="TableContents"/>
              <w:bidi w:val="0"/>
              <w:spacing w:before="0" w:after="1"/>
              <w:ind w:left="0" w:right="0" w:hanging="0"/>
              <w:jc w:val="right"/>
              <w:rPr/>
            </w:pPr>
            <w:r>
              <w:rPr/>
              <w:t>​</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Net increase (decrease) in cash</w:t>
            </w:r>
          </w:p>
        </w:tc>
        <w:tc>
          <w:tcPr>
            <w:tcW w:w="146" w:type="dxa"/>
            <w:tcBorders/>
            <w:shd w:fill="CCEEFF" w:val="clear"/>
            <w:vAlign w:val="center"/>
          </w:tcPr>
          <w:p>
            <w:pPr>
              <w:pStyle w:val="TableContents"/>
              <w:bidi w:val="0"/>
              <w:spacing w:before="0" w:after="1"/>
              <w:ind w:left="0" w:right="0" w:hanging="0"/>
              <w:jc w:val="left"/>
              <w:rPr/>
            </w:pPr>
            <w:r>
              <w:rPr/>
              <w:t> </w:t>
            </w:r>
          </w:p>
        </w:tc>
        <w:tc>
          <w:tcPr>
            <w:tcW w:w="243"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45,487</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(13,332)</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at beginning of period</w:t>
            </w:r>
          </w:p>
        </w:tc>
        <w:tc>
          <w:tcPr>
            <w:tcW w:w="146" w:type="dxa"/>
            <w:tcBorders/>
            <w:vAlign w:val="center"/>
          </w:tcPr>
          <w:p>
            <w:pPr>
              <w:pStyle w:val="TableContents"/>
              <w:bidi w:val="0"/>
              <w:spacing w:before="0" w:after="1"/>
              <w:ind w:left="0" w:right="0" w:hanging="0"/>
              <w:jc w:val="left"/>
              <w:rPr/>
            </w:pPr>
            <w:r>
              <w:rPr/>
              <w:t> </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32,626</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43,952</w:t>
            </w:r>
          </w:p>
        </w:tc>
        <w:tc>
          <w:tcPr>
            <w:tcW w:w="154" w:type="dxa"/>
            <w:tcBorders/>
            <w:vAlign w:val="center"/>
          </w:tcPr>
          <w:p>
            <w:pPr>
              <w:pStyle w:val="TableContents"/>
              <w:bidi w:val="0"/>
              <w:spacing w:before="0" w:after="1"/>
              <w:ind w:left="0" w:right="0" w:hanging="0"/>
              <w:jc w:val="right"/>
              <w:rPr/>
            </w:pPr>
            <w:r>
              <w:rPr/>
              <w:t>​</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at end of period</w:t>
            </w:r>
          </w:p>
        </w:tc>
        <w:tc>
          <w:tcPr>
            <w:tcW w:w="146" w:type="dxa"/>
            <w:tcBorders/>
            <w:shd w:fill="CCEEFF" w:val="clear"/>
            <w:vAlign w:val="center"/>
          </w:tcPr>
          <w:p>
            <w:pPr>
              <w:pStyle w:val="TableContents"/>
              <w:bidi w:val="0"/>
              <w:spacing w:before="0" w:after="1"/>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78,113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30,620</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b/>
                <w:sz w:val="15"/>
              </w:rPr>
              <w:t>Supplemental cash flow information</w:t>
            </w:r>
            <w:r>
              <w:rPr>
                <w:rFonts w:ascii="Times New Roman;Times;serif" w:hAnsi="Times New Roman;Times;serif"/>
                <w:sz w:val="15"/>
              </w:rPr>
              <w:t>:</w:t>
            </w:r>
          </w:p>
        </w:tc>
        <w:tc>
          <w:tcPr>
            <w:tcW w:w="1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right"/>
              <w:rPr/>
            </w:pPr>
            <w:r>
              <w:rPr/>
              <w:t>​</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paid for interest</w:t>
            </w:r>
          </w:p>
        </w:tc>
        <w:tc>
          <w:tcPr>
            <w:tcW w:w="1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18,538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8,760</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Income taxes paid, net</w:t>
            </w:r>
          </w:p>
        </w:tc>
        <w:tc>
          <w:tcPr>
            <w:tcW w:w="1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2,990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20,000</w:t>
            </w:r>
          </w:p>
        </w:tc>
        <w:tc>
          <w:tcPr>
            <w:tcW w:w="154" w:type="dxa"/>
            <w:tcBorders/>
            <w:vAlign w:val="center"/>
          </w:tcPr>
          <w:p>
            <w:pPr>
              <w:pStyle w:val="TableContents"/>
              <w:bidi w:val="0"/>
              <w:spacing w:before="0" w:after="1"/>
              <w:ind w:left="0" w:right="0" w:hanging="0"/>
              <w:jc w:val="right"/>
              <w:rPr/>
            </w:pPr>
            <w:r>
              <w:rPr/>
              <w:t>​</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b/>
                <w:sz w:val="15"/>
              </w:rPr>
              <w:t>Supplemental disclosure of non-cash investing and financing activities</w:t>
            </w:r>
            <w:r>
              <w:rPr>
                <w:rFonts w:ascii="Times New Roman;Times;serif" w:hAnsi="Times New Roman;Times;serif"/>
                <w:sz w:val="15"/>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Purchases of property and equipment included in accounts payable and accrued expenses</w:t>
            </w:r>
          </w:p>
        </w:tc>
        <w:tc>
          <w:tcPr>
            <w:tcW w:w="1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2,202</w:t>
            </w:r>
          </w:p>
        </w:tc>
        <w:tc>
          <w:tcPr>
            <w:tcW w:w="154" w:type="dxa"/>
            <w:tcBorders/>
            <w:vAlign w:val="center"/>
          </w:tcPr>
          <w:p>
            <w:pPr>
              <w:pStyle w:val="TableContents"/>
              <w:bidi w:val="0"/>
              <w:spacing w:before="0" w:after="1"/>
              <w:ind w:left="0" w:right="0" w:hanging="0"/>
              <w:jc w:val="right"/>
              <w:rPr/>
            </w:pPr>
            <w:r>
              <w:rPr/>
              <w:t>​</w:t>
            </w:r>
          </w:p>
        </w:tc>
      </w:tr>
      <w:tr>
        <w:trPr/>
        <w:tc>
          <w:tcPr>
            <w:tcW w:w="54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Capitalized internal-use software included in accounts payable – related party</w:t>
            </w:r>
          </w:p>
        </w:tc>
        <w:tc>
          <w:tcPr>
            <w:tcW w:w="1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w:t>
            </w:r>
          </w:p>
        </w:tc>
        <w:tc>
          <w:tcPr>
            <w:tcW w:w="154" w:type="dxa"/>
            <w:tcBorders/>
            <w:shd w:fill="CCEEFF" w:val="clear"/>
            <w:vAlign w:val="center"/>
          </w:tcPr>
          <w:p>
            <w:pPr>
              <w:pStyle w:val="TableContents"/>
              <w:bidi w:val="0"/>
              <w:spacing w:before="0" w:after="1"/>
              <w:ind w:left="0" w:right="0" w:hanging="0"/>
              <w:jc w:val="right"/>
              <w:rPr/>
            </w:pPr>
            <w:r>
              <w:rPr/>
              <w:t>​</w:t>
            </w:r>
          </w:p>
        </w:tc>
      </w:tr>
      <w:tr>
        <w:trPr/>
        <w:tc>
          <w:tcPr>
            <w:tcW w:w="54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Right-of-use operating and finance lease assets obtained in exchange for lease liabilities</w:t>
            </w:r>
          </w:p>
        </w:tc>
        <w:tc>
          <w:tcPr>
            <w:tcW w:w="1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5,766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45,876</w:t>
            </w:r>
          </w:p>
        </w:tc>
        <w:tc>
          <w:tcPr>
            <w:tcW w:w="154"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center"/>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240"/>
        <w:ind w:left="0" w:right="0" w:hanging="0"/>
        <w:jc w:val="center"/>
        <w:rPr/>
      </w:pPr>
      <w:bookmarkStart w:id="944" w:name="_92340f10_d078_483c_9683_e4bf09f2b433"/>
      <w:bookmarkEnd w:id="944"/>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45" w:name="NotestoCondensedConsolidatedFinancialSta"/>
      <w:bookmarkEnd w:id="945"/>
      <w:r>
        <w:rPr>
          <w:rFonts w:ascii="Times New Roman;Times;serif" w:hAnsi="Times New Roman;Times;serif"/>
          <w:b/>
          <w:sz w:val="20"/>
        </w:rPr>
        <w:t>Notes to Condensed Consolidated Financial Statements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NATURE OF THE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Latham Group, Inc. (the “Company”) wholly owns Latham Pool Products, Inc. (“Latham Pool Products”) (together, “Latham”), a designer, manufacturer, and marketer of in-ground residential swimming pools in North America, Australia, and New Zealand. Latham offers a portfolio of pools and related products, including in-ground swimming pools, pool liners, and pool covers.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December 18, 2018, Latham Investment Holdings, LP, an investment fund managed by affiliates of Pamplona Capital Management (the “Sponsor”), Wynnchurch Capital, L.P. and management acquired all of the outstanding equity interests of Latham Topco., Inc., a newly incorporated entity in the State of Delaware. Latham Topco, Inc. changed its name to Latham Group, Inc. on March 3, 2021.</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and accompanying notes have been prepared in accordance with generally accepted accounting principles in the United States (“GAAP”). The Company’s unaudited condensed consolidated financial statements include the accounts of the Company and its subsidiaries. All intercompany balances and transactions have been eliminated in consolidation.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Unaudited Interim Financial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unaudited condensed consolidated balance sheet at December 31, 2022 was derived from audited financial statements but does not include all disclosures required by GAAP. The accompanying unaudited condensed consolidated financial statements as of September 30, 2023 and for the fiscal and three fiscal quarters ended September 30, 2023 and October 1, 2022 have been prepared by the Company pursuant to the rules and regulations of the Securities and Exchange Commission (“SEC”) for interim financial statements. Certain information and footnote disclosures normally included in the financial statements prepared in accordance with GAAP have been condensed or omitted pursuant to such rules and regulations. These condensed consolidated financial statements should be read in conjunction with Latham Group, Inc.’s audited consolidated financial statements and the notes thereto for the fiscal year ended December 31, 2022 included in the Company’s 2022 Annual Report on Form 10-K, filed with the SEC on March 7, 2023 (the “Annual Report”). In the opinion of management, all adjustments, consisting only of normal recurring adjustments necessary for a fair statement of these condensed consolidated financial statements, have been included. The Company’s results of operations for the fiscal quarter and three fiscal quarters ended September 30, 2023 are not necessarily indicative of the results of operations that may be expected for the fiscal year ending December 31,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from those estimates. The Company bases its estimates on historical experience, known trends, and other market-specific relevant factors that it believes to be reasonable under the circumstances. Estimates are evaluated on an ongoing basis and revised as there are changes in circumstances, facts, and experience. Changes in estimates are recorded in the period in which they become known.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Reclassifications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prior period balances have been reclassified to conform to the current period presentation in the condensed consolidated financial statements and the accompanying notes.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Seasonality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Although the Company generally has demand for its products throughout the fiscal year, its business is seasonal and weather is one of the principal external factors affecting the business. Historically, net sales and net income are highest during the second and third fiscal quarters, representing the peak months of swimming pool use, pool installation, and remodeling and repair activities. Severe weather may also affect net sales in all periods.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Refer to the Annual Report for a discussion of the Company’s significant accounting policies, as updated below.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private companies.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June 2016, the FASB issued ASU 2016-13, </w:t>
      </w:r>
      <w:r>
        <w:rPr>
          <w:rFonts w:ascii="Times New Roman;Times;serif" w:hAnsi="Times New Roman;Times;serif"/>
          <w:i/>
          <w:sz w:val="20"/>
        </w:rPr>
        <w:t>Financial Instruments — Credit Losses (Topic 326): Measurement of Credit Losses on Financial Instruments</w:t>
      </w:r>
      <w:r>
        <w:rPr>
          <w:rFonts w:ascii="Times New Roman;Times;serif" w:hAnsi="Times New Roman;Times;serif"/>
          <w:sz w:val="20"/>
        </w:rPr>
        <w:t xml:space="preserve"> (“ASU 2016-13”), which requires the measurement and recognition of expected credit losses for financial assets held at amortized cost. ASU 2016-13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earlier recognition of credit losses. In November 2018, the FASB issued ASU 2018-19, </w:t>
      </w:r>
      <w:r>
        <w:rPr>
          <w:rFonts w:ascii="Times New Roman;Times;serif" w:hAnsi="Times New Roman;Times;serif"/>
          <w:i/>
          <w:sz w:val="20"/>
        </w:rPr>
        <w:t>Codification Improvements to Topic 326, Financial Instruments — Credit Losses</w:t>
      </w:r>
      <w:r>
        <w:rPr>
          <w:rFonts w:ascii="Times New Roman;Times;serif" w:hAnsi="Times New Roman;Times;serif"/>
          <w:sz w:val="20"/>
        </w:rPr>
        <w:t xml:space="preserve">, which narrowed the scope and changed the effective date for nonpublic entities for ASU 2016-13. The FASB subsequently issued supplemental guidance within ASU 2019-05, </w:t>
      </w:r>
      <w:r>
        <w:rPr>
          <w:rFonts w:ascii="Times New Roman;Times;serif" w:hAnsi="Times New Roman;Times;serif"/>
          <w:i/>
          <w:sz w:val="20"/>
        </w:rPr>
        <w:t>Financial Instruments — Credit Losses (Topic 326): Targeted Transition Relief</w:t>
      </w:r>
      <w:r>
        <w:rPr>
          <w:rFonts w:ascii="Times New Roman;Times;serif" w:hAnsi="Times New Roman;Times;serif"/>
          <w:sz w:val="20"/>
        </w:rPr>
        <w:t xml:space="preserve"> (“ASU 2019-05”). ASU 2019-05 provides an option to irrevocably elect the fair value option for certain financial assets previously measured at amortized cost basis. For public entities that are SEC filers, excluding entities eligible to be smaller reporting companies, ASU 2016-13 was effective for annual periods beginning after December 15, 2019, including interim periods within those fiscal years. For all other entities, ASU 2016-13 was effective for annual periods beginning after December 15, 2022, including interim periods within those fiscal years. The adoption of this standard on January 1, 2023 did not have a material impact on the Company’s condensed consolidated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October 2021, the FASB issued ASU 2021-08, </w:t>
      </w:r>
      <w:r>
        <w:rPr>
          <w:rFonts w:ascii="Times New Roman;Times;serif" w:hAnsi="Times New Roman;Times;serif"/>
          <w:i/>
          <w:sz w:val="20"/>
        </w:rPr>
        <w:t>Business Combinations (Topic 805): Accounting for Contract Assets and Contract Liabilities from Contracts with Customers</w:t>
      </w:r>
      <w:r>
        <w:rPr>
          <w:rFonts w:ascii="Times New Roman;Times;serif" w:hAnsi="Times New Roman;Times;serif"/>
          <w:sz w:val="20"/>
        </w:rPr>
        <w:t xml:space="preserve"> (“ASU 2021-08”), which amends ASC 805 by requiring acquiring entities to apply ASC 606 to recognize and measure contract assets and contract liabilities in a business combination. For public entities, ASU 2021-08 was effective for fiscal years, including interim periods within those fiscal years, beginning after December 15, 2022. For all other entities, ASU 2021-08 is effective for fiscal years, including interim periods within those fiscal years, beginning after December 15, 2023. The amendments should be applied prospectively to business combinations occurring on or after the effective date of the amendments, with early adoption permitted. The Company adopted this standard early on January 1, 2023 and it did not have a material impact on the Company’s condensed consolidated financial statements.</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FAIR VALUE MEASUREMENTS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Level 1 — Quoted prices in active markets for identical assets or liabilities.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Level 2 — Inputs, other than quoted prices in active markets, that are observable either directly or indirectly.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946" w:name="Tc_KTHh7dGKFkSo39GN5MLV_Q_5_11"/>
      <w:bookmarkStart w:id="947" w:name="Tc_-c93E8VzPkK4bf7GD2yNdg_5_8"/>
      <w:bookmarkStart w:id="948" w:name="Tc_UoRWYHYS4ESBtuRg8LTWCA_5_5"/>
      <w:bookmarkStart w:id="949" w:name="Tc_MKREEEs1NEOa4Y-CT8NDxg_5_2"/>
      <w:bookmarkStart w:id="950" w:name="Tc_R825qY_xTkui6jncGb6gew_5_0"/>
      <w:bookmarkStart w:id="951" w:name="Tc_p2RjB5Fpz0i5Y0qRPa5cbw_4_11"/>
      <w:bookmarkStart w:id="952" w:name="Tc_M6stD71_MEiu-T0Vg2vk9g_4_8"/>
      <w:bookmarkStart w:id="953" w:name="Tc_YNZtBFo7Ok2oUDGGspOt1g_4_5"/>
      <w:bookmarkStart w:id="954" w:name="Tc_FXUkU08f00SeYD3Jrm0mYg_4_2"/>
      <w:bookmarkStart w:id="955" w:name="Tc_Cv-e41nOm0e39dFnxGwLgw_3_11"/>
      <w:bookmarkStart w:id="956" w:name="Tc_wmbsyuQJCEqAiyBp0rMMyQ_3_8"/>
      <w:bookmarkStart w:id="957" w:name="Tc_3JqTOGXGREmV7MOi_cSPHQ_3_5"/>
      <w:bookmarkStart w:id="958" w:name="Tc_kYDmy0YZTUq2kfaFgOKjFw_3_2"/>
      <w:bookmarkStart w:id="959" w:name="Tc_c8_dzyshfEiP16pLt2oO_w_2_8"/>
      <w:bookmarkStart w:id="960" w:name="Tc_BgWCL75yKUGxbdrVAWMqTA_2_2"/>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r>
        <w:rPr>
          <w:rFonts w:ascii="Times New Roman;Times;serif" w:hAnsi="Times New Roman;Times;serif"/>
          <w:sz w:val="20"/>
        </w:rPr>
        <w:t>Level 3 — Unobservable inputs that reflect the Company’s own assumptions incorporated into valuation techniques. These valuations require significant judgment.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certain cases, the inputs used to measure fair value may fall into different levels of the fair value hierarchy. When there is more than one input at different levels within the hierarchy, the fair value is determined based on the lowest level input that is significant to the fair value measurement in its entirety. Assessment of the significance of a particular input to the fair value measurement in its entirety requires substantial judgment and consideration of factors specific to the asset or liability. Level 3 inputs are inherently difficult to estimate. Changes to these inputs can have significant impact on fair value measurements. Assets and liabilities measured at fair value using Level 3 inputs are based on one or more of the following valuation techniques: market approach, income approach or cost approach. There were no transfers between fair value measurement levels during the three fiscal quarters ended September 30, 2023 or October 1,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Assets and liabilities measured at fair value on a nonrecurring basis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non-financial assets such as goodwill, intangible assets, and property and equipment are measured at fair value upon acquisition and remeasured to fair value when an impairment charge is recognized. Such fair value measurements are based predominantly on Level 2 and Level 3 inputs.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considers the carrying amounts of cash, trade receivables, prepaid expenses and other current assets, accounts payable, and accrued expenses and other current liabilities to approximate fair value because of the short-term maturities of these instruments.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Term loan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Company’s term loan (see Note 6) is carried at amortized cost; however, the Company estimates the fair value of the term loan for disclosure purposes. The fair value of the term loan is determined using inputs based on observable market data of a non-public exchange, which are classified as Level 2 inputs. The following table sets forth the carrying amount and fair value of its term loan (in thousands):</w:t>
        <w:br/>
        <w:t>​</w:t>
      </w:r>
    </w:p>
    <w:p>
      <w:pPr>
        <w:pStyle w:val="TextBody"/>
        <w:bidi w:val="0"/>
        <w:spacing w:before="0" w:after="240"/>
        <w:ind w:left="0" w:right="0" w:firstLine="360"/>
        <w:jc w:val="left"/>
        <w:rPr/>
      </w:pPr>
      <w:r>
        <w:rPr/>
        <w:t>​</w:t>
      </w:r>
    </w:p>
    <w:tbl>
      <w:tblPr>
        <w:tblW w:w="6432" w:type="dxa"/>
        <w:jc w:val="left"/>
        <w:tblInd w:w="0" w:type="dxa"/>
        <w:tblLayout w:type="fixed"/>
        <w:tblCellMar>
          <w:top w:w="0" w:type="dxa"/>
          <w:left w:w="0" w:type="dxa"/>
          <w:bottom w:w="0" w:type="dxa"/>
          <w:right w:w="0" w:type="dxa"/>
        </w:tblCellMar>
      </w:tblPr>
      <w:tblGrid>
        <w:gridCol w:w="1006"/>
        <w:gridCol w:w="326"/>
        <w:gridCol w:w="211"/>
        <w:gridCol w:w="781"/>
        <w:gridCol w:w="326"/>
        <w:gridCol w:w="211"/>
        <w:gridCol w:w="781"/>
        <w:gridCol w:w="326"/>
        <w:gridCol w:w="211"/>
        <w:gridCol w:w="781"/>
        <w:gridCol w:w="326"/>
        <w:gridCol w:w="211"/>
        <w:gridCol w:w="781"/>
        <w:gridCol w:w="154"/>
      </w:tblGrid>
      <w:tr>
        <w:trPr/>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38810" cy="175260"/>
                      <wp:effectExtent l="0" t="0" r="0" b="0"/>
                      <wp:wrapNone/>
                      <wp:docPr id="83" name="Frame83"/>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5"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95935" cy="175260"/>
                      <wp:effectExtent l="0" t="0" r="0" b="0"/>
                      <wp:wrapNone/>
                      <wp:docPr id="86" name="Frame8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95935" cy="175260"/>
                      <wp:effectExtent l="0" t="0" r="0" b="0"/>
                      <wp:wrapNone/>
                      <wp:docPr id="89" name="Frame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95935" cy="175260"/>
                      <wp:effectExtent l="0" t="0" r="0" b="0"/>
                      <wp:wrapNone/>
                      <wp:docPr id="92" name="Frame9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95935" cy="175260"/>
                      <wp:effectExtent l="0" t="0" r="0" b="0"/>
                      <wp:wrapNone/>
                      <wp:docPr id="95" name="Frame9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97790" cy="175260"/>
                      <wp:effectExtent l="0" t="0" r="0" b="0"/>
                      <wp:wrapNone/>
                      <wp:docPr id="96" name="Frame9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154" w:type="dxa"/>
            <w:tcBorders/>
            <w:vAlign w:val="center"/>
          </w:tcPr>
          <w:p>
            <w:pPr>
              <w:pStyle w:val="TableContents"/>
              <w:bidi w:val="0"/>
              <w:spacing w:before="0" w:after="0"/>
              <w:ind w:left="0" w:right="0" w:hanging="0"/>
              <w:jc w:val="center"/>
              <w:rPr/>
            </w:pPr>
            <w:r>
              <w:rPr/>
              <w:t>​</w:t>
            </w:r>
          </w:p>
        </w:tc>
      </w:tr>
      <w:tr>
        <w:trPr/>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154" w:type="dxa"/>
            <w:tcBorders/>
            <w:vAlign w:val="center"/>
          </w:tcPr>
          <w:p>
            <w:pPr>
              <w:pStyle w:val="TableContents"/>
              <w:bidi w:val="0"/>
              <w:spacing w:before="0" w:after="0"/>
              <w:ind w:left="0" w:right="0" w:hanging="0"/>
              <w:jc w:val="center"/>
              <w:rPr/>
            </w:pPr>
            <w:r>
              <w:rPr/>
              <w:t>​</w:t>
            </w:r>
          </w:p>
        </w:tc>
      </w:tr>
      <w:tr>
        <w:trPr/>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54" w:type="dxa"/>
            <w:tcBorders/>
            <w:vAlign w:val="center"/>
          </w:tcPr>
          <w:p>
            <w:pPr>
              <w:pStyle w:val="TableContents"/>
              <w:bidi w:val="0"/>
              <w:spacing w:before="0" w:after="0"/>
              <w:ind w:left="0" w:right="0" w:hanging="0"/>
              <w:jc w:val="center"/>
              <w:rPr/>
            </w:pPr>
            <w:r>
              <w:rPr/>
              <w:t>​</w:t>
            </w:r>
          </w:p>
        </w:tc>
      </w:tr>
      <w:tr>
        <w:trPr/>
        <w:tc>
          <w:tcPr>
            <w:tcW w:w="1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292,572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312,881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290,979</w:t>
            </w:r>
          </w:p>
        </w:tc>
        <w:tc>
          <w:tcPr>
            <w:tcW w:w="154"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rate swaps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estimates the fair value of interest rate swaps (see Note 6) on a fiscal quarterly basis using Level 2 inputs, including the forward SOFR curve. The fair value is estimated by comparing (i) the present value of all future monthly fixed rate payments versus (ii) the variable payments based on the forward SOFR curve. As of September 30, 2023 and December 31, 2022, the net fair value of the Company’s interest rate swaps was an asset balance of $1.7 million and $3.5 million, respectively, which were recorded within other assets on the condensed consolidated balance sheets.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4. GOODWILL AND INTANGIBLE ASSETS, NET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Goodwill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carrying amount of goodwill as of September 30, 2023 and as of December 31, 2022 was $130.9 million and $131.4 million, respectively. The change in the carrying value during the three fiscal quarters ended September 30, 2023 was solely because of fluctuations in foreign currency exchange rates.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bookmarkStart w:id="961" w:name="Tc_W7qxt9G7AEOSd_AbAT7Yvw_10_2"/>
      <w:bookmarkStart w:id="962" w:name="Tc_Ypeas1RFykmSjkd-Z2XGXQ_9_0"/>
      <w:bookmarkStart w:id="963" w:name="Tc_8dKZJhJn30WlKjJ2ohfk9Q_8_0"/>
      <w:bookmarkStart w:id="964" w:name="Tc_yoFA8dJ_3UyEa9aELimDvw_7_0"/>
      <w:bookmarkStart w:id="965" w:name="Tc_3UcK7rKkU0uJxFSVSlUXMw_6_0"/>
      <w:bookmarkStart w:id="966" w:name="Tc_xF_QbZSuvUObRTUueq8VtQ_5_0"/>
      <w:bookmarkStart w:id="967" w:name="Tc_9VTz4u7cZUSaKo6m_i_S-w_4_2"/>
      <w:bookmarkStart w:id="968" w:name="Tc_--opA7Ok9ke122tKg-CDNQ_4_0"/>
      <w:bookmarkStart w:id="969" w:name="Tc_DJBKByq_x0617iLEpfJ77Q_3_2"/>
      <w:bookmarkStart w:id="970" w:name="Tc_9PtiPUDw90W0jOOYste07w_3_0"/>
      <w:bookmarkStart w:id="971" w:name="Tc_SExJh7SBv0mp-Ii_lWEeYQ_2_2"/>
      <w:bookmarkStart w:id="972" w:name="Tc_nVAzrhjVSUGxfYoP35Ozvw_1_2"/>
      <w:bookmarkStart w:id="973" w:name="_2807f0f8_609e_4fc4_acbd_9bb59bf3d865"/>
      <w:bookmarkStart w:id="974" w:name="Tc_3uJbfbVw_UCqIgdBaoHJDQ_13_11"/>
      <w:bookmarkStart w:id="975" w:name="Tc_lTpTu8w4Nk67kYjizex2pw_13_8"/>
      <w:bookmarkStart w:id="976" w:name="Tc_ZFxroh9F0EygO3tyfWIhQg_13_5"/>
      <w:bookmarkStart w:id="977" w:name="Tc_F2ujPRwGoU2MfQdsR4hoAQ_13_2"/>
      <w:bookmarkStart w:id="978" w:name="Tc_NTfA43ppVEeZuQoE2aFtJA_12_6"/>
      <w:bookmarkStart w:id="979" w:name="Tc_dXZWi-pg_UWY-PLaThtXHA_12_0"/>
      <w:bookmarkStart w:id="980" w:name="Tc_oegjsDA5DEON9qoKJgWYtg_11_12"/>
      <w:bookmarkStart w:id="981" w:name="Tc_czXtk2IZKUCxswYGbQ167w_11_6"/>
      <w:bookmarkStart w:id="982" w:name="Tc_XPlxk1o2EkOu-DuSTOuTbg_11_0"/>
      <w:bookmarkStart w:id="983" w:name="Tc_ElUyCXdtEkuMEejiJwg_qA_10_0"/>
      <w:bookmarkStart w:id="984" w:name="Tc_5zCw6-iaVEKLGHVRwab10w_9_0"/>
      <w:bookmarkStart w:id="985" w:name="Tc_tZMy5HWfUE6d-cwvyAYIRg_8_0"/>
      <w:bookmarkStart w:id="986" w:name="Tc_ZkiftOBcNUChvgkivQWYaw_7_6"/>
      <w:bookmarkStart w:id="987" w:name="Tc_tgg7r2uJhkizJCCpgyhIEQ_7_0"/>
      <w:bookmarkStart w:id="988" w:name="Tc_DoRIFc1sn0-9TEraxiU8Jw_6_0"/>
      <w:bookmarkStart w:id="989" w:name="Tc_Uuf4x_z6QkqMFdha3qBT_w_5_11"/>
      <w:bookmarkStart w:id="990" w:name="Tc_ud6FlboDXk246wXczRMDng_5_8"/>
      <w:bookmarkStart w:id="991" w:name="Tc_xtXVuevTQECGMoneLqTUug_5_5"/>
      <w:bookmarkStart w:id="992" w:name="Tc_JWIP8Ed3eEicNcqy4AJRmA_5_2"/>
      <w:bookmarkStart w:id="993" w:name="Tc_IHGvEOtbpEW3ZD2fC_z-zw_5_0"/>
      <w:bookmarkStart w:id="994" w:name="Tc_CXxa66xA0UGNp14DTS7GWQ_4_11"/>
      <w:bookmarkStart w:id="995" w:name="Tc_inz7Kqh6VUCn1N4Wn-HI4A_4_8"/>
      <w:bookmarkStart w:id="996" w:name="Tc_D1EbrEtHf0i9X1PJi4wqmw_4_5"/>
      <w:bookmarkStart w:id="997" w:name="Tc_6GtiJSW83Uq7tdRV-9f9xg_4_2"/>
      <w:bookmarkStart w:id="998" w:name="Tc_Mx78yaZaXkGWy31hplWJ-Q_3_11"/>
      <w:bookmarkStart w:id="999" w:name="Tc_PyZlQWGfAkipqN72kd-tIg_3_8"/>
      <w:bookmarkStart w:id="1000" w:name="Tc_hYYUFmBOC06zrsMZGMfrUg_3_5"/>
      <w:bookmarkStart w:id="1001" w:name="Tc_eFeJYt0BH0a6XEuSIM9Z0Q_3_2"/>
      <w:bookmarkStart w:id="1002" w:name="Tc_DBrDayiPuU2lL736LxdqCg_2_5"/>
      <w:bookmarkStart w:id="1003" w:name="Tc_D_RUCT7rwEecGYAeI3r7rw_2_2"/>
      <w:bookmarkStart w:id="1004" w:name="Tc_XUT_JT9iIkW49oSICzFHXw_1_2"/>
      <w:bookmarkStart w:id="1005" w:name="_08b7223a_9c56_4b24_b3fa_04a63da90f4b"/>
      <w:bookmarkStart w:id="1006" w:name="Tc_eF1mHmkeRkSvNAPMmvOORQ_13_11"/>
      <w:bookmarkStart w:id="1007" w:name="Tc_kjQ-JDq57Em94lpHVXJ-iw_13_8"/>
      <w:bookmarkStart w:id="1008" w:name="Tc_f0Q0rU0kc0i10HvSztm7Nw_13_5"/>
      <w:bookmarkStart w:id="1009" w:name="Tc_N1bYPxjIx0C6h-a0-I2dQA_13_2"/>
      <w:bookmarkStart w:id="1010" w:name="Tc_Fppfs__Td0WKlDKFqKrptw_12_6"/>
      <w:bookmarkStart w:id="1011" w:name="Tc_bwlEcxndtkmD4474H0Y8SA_12_0"/>
      <w:bookmarkStart w:id="1012" w:name="Tc_8toEkvUqME2UGbeCQN64-w_11_12"/>
      <w:bookmarkStart w:id="1013" w:name="Tc_eXuUoaRpKEW3t5nEyBzRag_11_6"/>
      <w:bookmarkStart w:id="1014" w:name="Tc_sxfOQSoDlkefdCNweNyH-g_11_0"/>
      <w:bookmarkStart w:id="1015" w:name="Tc_w2UvQWIfJkCTuf8ELkCOpA_10_0"/>
      <w:bookmarkStart w:id="1016" w:name="Tc_W80duWUsuE-UwsoSJoQ4RA_9_0"/>
      <w:bookmarkStart w:id="1017" w:name="Tc_BCdgB84g_kSUBF05BU3vog_8_0"/>
      <w:bookmarkStart w:id="1018" w:name="Tc_x4iGtWrYg0eenVwyX4p3hg_7_6"/>
      <w:bookmarkStart w:id="1019" w:name="Tc_FWns5cuAi0SOfbNI520P5A_7_0"/>
      <w:bookmarkStart w:id="1020" w:name="Tc_kLAOiJJp1kC-vXUbhjeNHQ_6_0"/>
      <w:bookmarkStart w:id="1021" w:name="Tc_MecxU55ryEiTXBvjPbiULQ_5_11"/>
      <w:bookmarkStart w:id="1022" w:name="Tc_BWpTMzKX6ESK9tHy9uIjYg_5_8"/>
      <w:bookmarkStart w:id="1023" w:name="Tc_g162DCFs3UOgyTe16Kaxwg_5_5"/>
      <w:bookmarkStart w:id="1024" w:name="Tc_ZX2e2Vq66ESyFuJZ9q856Q_5_2"/>
      <w:bookmarkStart w:id="1025" w:name="Tc_Vz6-jUGYrUGIcRTRWXFE_A_5_0"/>
      <w:bookmarkStart w:id="1026" w:name="Tc_aBjswSG2uUmTWQXdavDAyQ_4_11"/>
      <w:bookmarkStart w:id="1027" w:name="Tc_ypn_YmDKDUakmKMRHkk5WA_4_8"/>
      <w:bookmarkStart w:id="1028" w:name="Tc_cHJ7qwkNyESutqda2SHeMg_4_5"/>
      <w:bookmarkStart w:id="1029" w:name="Tc_gOCA_krJ-ku2kbcPmA5iUQ_4_2"/>
      <w:bookmarkStart w:id="1030" w:name="Tc_vz0A8pFHPEqbzHPHeZUk_Q_3_11"/>
      <w:bookmarkStart w:id="1031" w:name="Tc_PSFStYobBkapiwatc2OiKA_3_8"/>
      <w:bookmarkStart w:id="1032" w:name="Tc_g7Pa-7CL5U-PX2pAhQf11A_3_5"/>
      <w:bookmarkStart w:id="1033" w:name="Tc_282GZehLP0ycbQloHw9hCg_3_2"/>
      <w:bookmarkStart w:id="1034" w:name="Tc_zCWgMAOsvkC_oVfrxLWq_Q_2_5"/>
      <w:bookmarkStart w:id="1035" w:name="Tc_HK20n4vNp0uOgO6-MXpa2A_2_2"/>
      <w:bookmarkStart w:id="1036" w:name="Tc_qQM6GUsKO0e8BLYYxW03Ig_1_2"/>
      <w:bookmarkStart w:id="1037" w:name="_829329e0_738a_493e_a7d1_d35a3174599b"/>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r>
        <w:rPr>
          <w:rFonts w:ascii="Times New Roman;Times;serif" w:hAnsi="Times New Roman;Times;serif"/>
          <w:sz w:val="20"/>
        </w:rPr>
        <w:t>Based on the results of the qualitative assessment performed for the Company’s one reporting unit, the Company determined that goodwill was not impaired at October 2, 2022. As a result of a decline in the Company’s stock price, the Company plans to perform a quantitative assessment for the 2023 annual test as of October 1, 2023, which may result in a non-cash impairment charge during the fiscal quarter ended December 31, 2023.</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Intangible Assets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Intangible assets, net as of September 30, 2023 consisted of the following (in thousands):</w:t>
      </w:r>
    </w:p>
    <w:p>
      <w:pPr>
        <w:pStyle w:val="TextBody"/>
        <w:bidi w:val="0"/>
        <w:spacing w:before="0" w:after="240"/>
        <w:ind w:left="0" w:right="0" w:firstLine="360"/>
        <w:jc w:val="left"/>
        <w:rPr/>
      </w:pPr>
      <w:r>
        <w:rPr/>
        <w:t>​</w:t>
      </w:r>
    </w:p>
    <w:tbl>
      <w:tblPr>
        <w:tblW w:w="7921" w:type="dxa"/>
        <w:jc w:val="left"/>
        <w:tblInd w:w="0" w:type="dxa"/>
        <w:tblLayout w:type="fixed"/>
        <w:tblCellMar>
          <w:top w:w="0" w:type="dxa"/>
          <w:left w:w="0" w:type="dxa"/>
          <w:bottom w:w="0" w:type="dxa"/>
          <w:right w:w="0" w:type="dxa"/>
        </w:tblCellMar>
      </w:tblPr>
      <w:tblGrid>
        <w:gridCol w:w="2476"/>
        <w:gridCol w:w="326"/>
        <w:gridCol w:w="211"/>
        <w:gridCol w:w="781"/>
        <w:gridCol w:w="326"/>
        <w:gridCol w:w="276"/>
        <w:gridCol w:w="670"/>
        <w:gridCol w:w="326"/>
        <w:gridCol w:w="233"/>
        <w:gridCol w:w="863"/>
        <w:gridCol w:w="326"/>
        <w:gridCol w:w="211"/>
        <w:gridCol w:w="896"/>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572260" cy="175260"/>
                      <wp:effectExtent l="0" t="0" r="0" b="0"/>
                      <wp:wrapNone/>
                      <wp:docPr id="97" name="Frame97"/>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95935" cy="175260"/>
                      <wp:effectExtent l="0" t="0" r="0" b="0"/>
                      <wp:wrapNone/>
                      <wp:docPr id="100" name="Frame10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75260" cy="175260"/>
                      <wp:effectExtent l="0" t="0" r="0" b="0"/>
                      <wp:wrapNone/>
                      <wp:docPr id="102" name="Frame102"/>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25450" cy="175260"/>
                      <wp:effectExtent l="0" t="0" r="0" b="0"/>
                      <wp:wrapNone/>
                      <wp:docPr id="103" name="Frame103"/>
                      <a:graphic xmlns:a="http://schemas.openxmlformats.org/drawingml/2006/main">
                        <a:graphicData uri="http://schemas.microsoft.com/office/word/2010/wordprocessingShape">
                          <wps:wsp>
                            <wps:cNvSpPr txBox="1"/>
                            <wps:spPr>
                              <a:xfrm>
                                <a:off x="0" y="0"/>
                                <a:ext cx="425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47955" cy="175260"/>
                      <wp:effectExtent l="0" t="0" r="0" b="0"/>
                      <wp:wrapNone/>
                      <wp:docPr id="105" name="Frame105"/>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48005" cy="175260"/>
                      <wp:effectExtent l="0" t="0" r="0" b="0"/>
                      <wp:wrapNone/>
                      <wp:docPr id="106" name="Frame106"/>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568960" cy="175260"/>
                      <wp:effectExtent l="0" t="0" r="0" b="0"/>
                      <wp:wrapNone/>
                      <wp:docPr id="109" name="Frame109"/>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11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w:t>
            </w:r>
          </w:p>
        </w:tc>
        <w:tc>
          <w:tcPr>
            <w:tcW w:w="326" w:type="dxa"/>
            <w:tcBorders/>
            <w:vAlign w:val="center"/>
          </w:tcPr>
          <w:p>
            <w:pPr>
              <w:pStyle w:val="TableContents"/>
              <w:bidi w:val="0"/>
              <w:spacing w:before="0" w:after="1"/>
              <w:ind w:left="0" w:right="0" w:hanging="0"/>
              <w:jc w:val="left"/>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Foreign </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center"/>
              <w:rPr/>
            </w:pPr>
            <w:r>
              <w:rPr/>
              <w:t>​</w:t>
            </w:r>
          </w:p>
        </w:tc>
        <w:tc>
          <w:tcPr>
            <w:tcW w:w="86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96" w:type="dxa"/>
            <w:tcBorders/>
            <w:vAlign w:val="center"/>
          </w:tcPr>
          <w:p>
            <w:pPr>
              <w:pStyle w:val="TableContents"/>
              <w:bidi w:val="0"/>
              <w:spacing w:before="0" w:after="1"/>
              <w:ind w:left="0" w:right="0" w:hanging="0"/>
              <w:jc w:val="center"/>
              <w:rPr/>
            </w:pPr>
            <w:r>
              <w:rPr/>
              <w: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 </w:t>
            </w:r>
          </w:p>
        </w:tc>
        <w:tc>
          <w:tcPr>
            <w:tcW w:w="326" w:type="dxa"/>
            <w:tcBorders/>
            <w:vAlign w:val="center"/>
          </w:tcPr>
          <w:p>
            <w:pPr>
              <w:pStyle w:val="TableContents"/>
              <w:bidi w:val="0"/>
              <w:spacing w:before="0" w:after="1"/>
              <w:ind w:left="0" w:right="0" w:hanging="0"/>
              <w:jc w:val="center"/>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Currency </w:t>
            </w:r>
          </w:p>
        </w:tc>
        <w:tc>
          <w:tcPr>
            <w:tcW w:w="326"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1"/>
              <w:ind w:left="0" w:right="0" w:hanging="0"/>
              <w:jc w:val="center"/>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26" w:type="dxa"/>
            <w:tcBorders/>
            <w:vAlign w:val="center"/>
          </w:tcPr>
          <w:p>
            <w:pPr>
              <w:pStyle w:val="TableContents"/>
              <w:bidi w:val="0"/>
              <w:spacing w:before="0" w:after="1"/>
              <w:ind w:left="0" w:right="0" w:hanging="0"/>
              <w:jc w:val="center"/>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1"/>
              <w:ind w:left="0" w:right="0" w:hanging="0"/>
              <w:jc w:val="center"/>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names and trademarks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148,100</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(554)</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119,616</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Patented technology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16,126</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 </w:t>
            </w:r>
          </w:p>
        </w:tc>
        <w:tc>
          <w:tcPr>
            <w:tcW w:w="6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8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8,274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7,960</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13,000</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67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11,411</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Pool designs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13,628</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 </w:t>
            </w:r>
          </w:p>
        </w:tc>
        <w:tc>
          <w:tcPr>
            <w:tcW w:w="6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8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10,718</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relationships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1,187</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 </w:t>
            </w:r>
          </w:p>
        </w:tc>
        <w:tc>
          <w:tcPr>
            <w:tcW w:w="6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Dealer relationships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197,376</w:t>
            </w:r>
          </w:p>
        </w:tc>
        <w:tc>
          <w:tcPr>
            <w:tcW w:w="32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 </w:t>
            </w:r>
          </w:p>
        </w:tc>
        <w:tc>
          <w:tcPr>
            <w:tcW w:w="6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8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58,517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138,898</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Order backlog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67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Non-competition agreements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2,476</w:t>
            </w:r>
          </w:p>
        </w:tc>
        <w:tc>
          <w:tcPr>
            <w:tcW w:w="326" w:type="dxa"/>
            <w:tcBorders/>
            <w:vAlign w:val="center"/>
          </w:tcPr>
          <w:p>
            <w:pPr>
              <w:pStyle w:val="TableContents"/>
              <w:bidi w:val="0"/>
              <w:spacing w:before="0" w:after="1"/>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24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393,493</w:t>
            </w:r>
          </w:p>
        </w:tc>
        <w:tc>
          <w:tcPr>
            <w:tcW w:w="326" w:type="dxa"/>
            <w:tcBorders/>
            <w:shd w:fill="CCEEFF" w:val="clear"/>
            <w:vAlign w:val="center"/>
          </w:tcPr>
          <w:p>
            <w:pPr>
              <w:pStyle w:val="TableContents"/>
              <w:bidi w:val="0"/>
              <w:spacing w:before="0" w:after="1"/>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104,305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288,749</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recognized $6.6 million and $19.9 million of amortization expense related to intangible assets during the fiscal quarter and three fiscal quarters ended September 30, 2023. The Company recognized $7.2 million and $21.5 million of amortization expense related to intangible assets during the fiscal quarter and three fiscal quarters ended October 1, 2022.</w:t>
      </w:r>
    </w:p>
    <w:p>
      <w:pPr>
        <w:pStyle w:val="TextBody"/>
        <w:bidi w:val="0"/>
        <w:spacing w:before="0" w:after="0"/>
        <w:ind w:left="403" w:right="0" w:hanging="0"/>
        <w:jc w:val="left"/>
        <w:rPr>
          <w:rFonts w:ascii="Times New Roman;Times;serif" w:hAnsi="Times New Roman;Times;serif"/>
          <w:sz w:val="20"/>
        </w:rPr>
      </w:pPr>
      <w:r>
        <w:rPr>
          <w:rFonts w:ascii="Times New Roman;Times;serif" w:hAnsi="Times New Roman;Times;serif"/>
          <w:sz w:val="20"/>
        </w:rPr>
        <w:t>Intangible assets, net as of December 31, 2022 consisted of the following (in thousands):</w:t>
      </w:r>
    </w:p>
    <w:p>
      <w:pPr>
        <w:pStyle w:val="TextBody"/>
        <w:bidi w:val="0"/>
        <w:spacing w:before="0" w:after="240"/>
        <w:ind w:left="403" w:right="0" w:hanging="0"/>
        <w:jc w:val="left"/>
        <w:rPr/>
      </w:pPr>
      <w:r>
        <w:rPr/>
        <w:t>​</w:t>
      </w:r>
    </w:p>
    <w:tbl>
      <w:tblPr>
        <w:tblW w:w="7921" w:type="dxa"/>
        <w:jc w:val="left"/>
        <w:tblInd w:w="0" w:type="dxa"/>
        <w:tblLayout w:type="fixed"/>
        <w:tblCellMar>
          <w:top w:w="0" w:type="dxa"/>
          <w:left w:w="0" w:type="dxa"/>
          <w:bottom w:w="0" w:type="dxa"/>
          <w:right w:w="0" w:type="dxa"/>
        </w:tblCellMar>
      </w:tblPr>
      <w:tblGrid>
        <w:gridCol w:w="2476"/>
        <w:gridCol w:w="326"/>
        <w:gridCol w:w="211"/>
        <w:gridCol w:w="781"/>
        <w:gridCol w:w="326"/>
        <w:gridCol w:w="339"/>
        <w:gridCol w:w="607"/>
        <w:gridCol w:w="326"/>
        <w:gridCol w:w="260"/>
        <w:gridCol w:w="836"/>
        <w:gridCol w:w="326"/>
        <w:gridCol w:w="211"/>
        <w:gridCol w:w="896"/>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572260" cy="175260"/>
                      <wp:effectExtent l="0" t="0" r="0" b="0"/>
                      <wp:wrapNone/>
                      <wp:docPr id="110" name="Frame110"/>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95935" cy="175260"/>
                      <wp:effectExtent l="0" t="0" r="0" b="0"/>
                      <wp:wrapNone/>
                      <wp:docPr id="113" name="Frame11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5265" cy="175260"/>
                      <wp:effectExtent l="0" t="0" r="0" b="0"/>
                      <wp:wrapNone/>
                      <wp:docPr id="115" name="Frame115"/>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85445" cy="175260"/>
                      <wp:effectExtent l="0" t="0" r="0" b="0"/>
                      <wp:wrapNone/>
                      <wp:docPr id="116" name="Frame116"/>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65100" cy="175260"/>
                      <wp:effectExtent l="0" t="0" r="0" b="0"/>
                      <wp:wrapNone/>
                      <wp:docPr id="118" name="Frame118"/>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30860" cy="175260"/>
                      <wp:effectExtent l="0" t="0" r="0" b="0"/>
                      <wp:wrapNone/>
                      <wp:docPr id="119" name="Frame119"/>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21"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68960" cy="175260"/>
                      <wp:effectExtent l="0" t="0" r="0" b="0"/>
                      <wp:wrapNone/>
                      <wp:docPr id="122" name="Frame122"/>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11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4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w:t>
            </w:r>
          </w:p>
        </w:tc>
        <w:tc>
          <w:tcPr>
            <w:tcW w:w="32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 </w:t>
            </w:r>
          </w:p>
        </w:tc>
        <w:tc>
          <w:tcPr>
            <w:tcW w:w="326"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center"/>
              <w:rPr/>
            </w:pPr>
            <w:r>
              <w:rPr/>
              <w:t>​</w:t>
            </w:r>
          </w:p>
        </w:tc>
        <w:tc>
          <w:tcPr>
            <w:tcW w:w="8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96" w:type="dxa"/>
            <w:tcBorders/>
            <w:vAlign w:val="center"/>
          </w:tcPr>
          <w:p>
            <w:pPr>
              <w:pStyle w:val="TableContents"/>
              <w:bidi w:val="0"/>
              <w:spacing w:before="0" w:after="0"/>
              <w:ind w:left="0" w:right="0" w:hanging="0"/>
              <w:jc w:val="center"/>
              <w:rPr/>
            </w:pPr>
            <w:r>
              <w:rPr/>
              <w:t>​</w:t>
            </w:r>
          </w:p>
        </w:tc>
      </w:tr>
      <w:tr>
        <w:trPr/>
        <w:tc>
          <w:tcPr>
            <w:tcW w:w="24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 </w:t>
            </w:r>
          </w:p>
        </w:tc>
        <w:tc>
          <w:tcPr>
            <w:tcW w:w="32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Currency </w:t>
            </w:r>
          </w:p>
        </w:tc>
        <w:tc>
          <w:tcPr>
            <w:tcW w:w="326"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0"/>
              <w:ind w:left="0" w:right="0" w:hanging="0"/>
              <w:jc w:val="center"/>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w:t>
            </w:r>
          </w:p>
        </w:tc>
      </w:tr>
      <w:tr>
        <w:trPr/>
        <w:tc>
          <w:tcPr>
            <w:tcW w:w="24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26" w:type="dxa"/>
            <w:tcBorders/>
            <w:vAlign w:val="center"/>
          </w:tcPr>
          <w:p>
            <w:pPr>
              <w:pStyle w:val="TableContents"/>
              <w:bidi w:val="0"/>
              <w:spacing w:before="0" w:after="0"/>
              <w:ind w:left="0" w:right="0" w:hanging="0"/>
              <w:jc w:val="center"/>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0"/>
              <w:ind w:left="0" w:right="0" w:hanging="0"/>
              <w:jc w:val="center"/>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names and trademarks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148,100</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125,034</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Patented technology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16,126</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9,204</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13,000</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12,061</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Pool designs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13,628</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11,581</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relationships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Dealer relationships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197,376</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46,699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150,690</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Order backlog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pPr>
            <w:r>
              <w:rPr/>
              <w:t>—</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Non-competition agreements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2,476</w:t>
            </w:r>
          </w:p>
        </w:tc>
        <w:tc>
          <w:tcPr>
            <w:tcW w:w="326" w:type="dxa"/>
            <w:tcBorders/>
            <w:vAlign w:val="center"/>
          </w:tcPr>
          <w:p>
            <w:pPr>
              <w:pStyle w:val="TableContents"/>
              <w:bidi w:val="0"/>
              <w:spacing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r>
      <w:tr>
        <w:trPr/>
        <w:tc>
          <w:tcPr>
            <w:tcW w:w="24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393,493</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309,215</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estimates that amortization expense related to definite-lived intangible assets will be as follows in each of the next five years and thereafter (in thousands):</w:t>
      </w:r>
    </w:p>
    <w:p>
      <w:pPr>
        <w:pStyle w:val="TextBody"/>
        <w:bidi w:val="0"/>
        <w:spacing w:before="0" w:after="240"/>
        <w:ind w:left="0" w:right="0" w:firstLine="360"/>
        <w:jc w:val="left"/>
        <w:rPr/>
      </w:pPr>
      <w:r>
        <w:rPr/>
        <w:t>​</w:t>
      </w:r>
    </w:p>
    <w:tbl>
      <w:tblPr>
        <w:tblW w:w="3943" w:type="dxa"/>
        <w:jc w:val="left"/>
        <w:tblInd w:w="0" w:type="dxa"/>
        <w:tblLayout w:type="fixed"/>
        <w:tblCellMar>
          <w:top w:w="0" w:type="dxa"/>
          <w:left w:w="0" w:type="dxa"/>
          <w:bottom w:w="0" w:type="dxa"/>
          <w:right w:w="0" w:type="dxa"/>
        </w:tblCellMar>
      </w:tblPr>
      <w:tblGrid>
        <w:gridCol w:w="2161"/>
        <w:gridCol w:w="326"/>
        <w:gridCol w:w="277"/>
        <w:gridCol w:w="1179"/>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72235" cy="175260"/>
                      <wp:effectExtent l="0" t="0" r="0" b="0"/>
                      <wp:wrapNone/>
                      <wp:docPr id="123" name="Frame123"/>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75895" cy="175260"/>
                      <wp:effectExtent l="0" t="0" r="0" b="0"/>
                      <wp:wrapNone/>
                      <wp:docPr id="125" name="Frame125"/>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748665" cy="175260"/>
                      <wp:effectExtent l="0" t="0" r="0" b="0"/>
                      <wp:wrapNone/>
                      <wp:docPr id="126" name="Frame126"/>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4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Future </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 </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Ended</w:t>
            </w:r>
          </w:p>
        </w:tc>
        <w:tc>
          <w:tcPr>
            <w:tcW w:w="326" w:type="dxa"/>
            <w:tcBorders/>
            <w:vAlign w:val="center"/>
          </w:tcPr>
          <w:p>
            <w:pPr>
              <w:pStyle w:val="TableContents"/>
              <w:bidi w:val="0"/>
              <w:spacing w:before="0" w:after="0"/>
              <w:ind w:left="0" w:right="0" w:hanging="0"/>
              <w:jc w:val="center"/>
              <w:rPr/>
            </w:pPr>
            <w:r>
              <w:rPr/>
              <w:t>    </w:t>
            </w:r>
          </w:p>
        </w:tc>
        <w:tc>
          <w:tcPr>
            <w:tcW w:w="14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fiscal 2023</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6,632</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25,708</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25,550</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25,550</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25,550</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179,759</w:t>
            </w:r>
          </w:p>
        </w:tc>
      </w:tr>
      <w:tr>
        <w:trPr/>
        <w:tc>
          <w:tcPr>
            <w:tcW w:w="216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288,749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38" w:name="Tc_5C_HywceDUut-Z5Twl9qZw_5_5"/>
      <w:bookmarkStart w:id="1039" w:name="Tc_b3OsyrVC10OWS8Pxgq_xPA_5_2"/>
      <w:bookmarkStart w:id="1040" w:name="Tc__gC-u0KkiUqOoUEGcHerng_4_0"/>
      <w:bookmarkStart w:id="1041" w:name="Tc_n83dUDHhbUmX6LY_Ddw4PQ_3_5"/>
      <w:bookmarkStart w:id="1042" w:name="Tc_jWFim2Bt0UCf_D2vT3mo3A_3_2"/>
      <w:bookmarkStart w:id="1043" w:name="Tc_2NUrPWM0-kus6Wjh8on-og_3_0"/>
      <w:bookmarkStart w:id="1044" w:name="Tc_3inaHV_fckymf85qKaN0tQ_2_5"/>
      <w:bookmarkStart w:id="1045" w:name="Tc_re2aitdRy0GtbVOKpY4Z3g_2_2"/>
      <w:bookmarkStart w:id="1046" w:name="_4825094f_36ec_4af9_a90d_760cc3b633e2"/>
      <w:bookmarkEnd w:id="1038"/>
      <w:bookmarkEnd w:id="1039"/>
      <w:bookmarkEnd w:id="1040"/>
      <w:bookmarkEnd w:id="1041"/>
      <w:bookmarkEnd w:id="1042"/>
      <w:bookmarkEnd w:id="1043"/>
      <w:bookmarkEnd w:id="1044"/>
      <w:bookmarkEnd w:id="1045"/>
      <w:bookmarkEnd w:id="1046"/>
      <w:r>
        <w:rPr>
          <w:rFonts w:ascii="Times New Roman;Times;serif" w:hAnsi="Times New Roman;Times;serif"/>
          <w:b/>
          <w:sz w:val="20"/>
        </w:rPr>
        <w:t>5. INVENTORIES, NET</w:t>
      </w:r>
    </w:p>
    <w:p>
      <w:pPr>
        <w:pStyle w:val="TextBody"/>
        <w:bidi w:val="0"/>
        <w:spacing w:before="0" w:after="0"/>
        <w:ind w:left="403" w:right="0" w:hanging="0"/>
        <w:jc w:val="left"/>
        <w:rPr>
          <w:rFonts w:ascii="Times New Roman;Times;serif" w:hAnsi="Times New Roman;Times;serif"/>
          <w:sz w:val="20"/>
        </w:rPr>
      </w:pPr>
      <w:r>
        <w:rPr>
          <w:rFonts w:ascii="Times New Roman;Times;serif" w:hAnsi="Times New Roman;Times;serif"/>
          <w:sz w:val="20"/>
        </w:rPr>
        <w:t>Inventories, net consisted of the following (in thousands):</w:t>
      </w:r>
    </w:p>
    <w:p>
      <w:pPr>
        <w:pStyle w:val="TextBody"/>
        <w:bidi w:val="0"/>
        <w:spacing w:before="0" w:after="240"/>
        <w:ind w:left="403" w:right="0" w:hanging="0"/>
        <w:jc w:val="left"/>
        <w:rPr/>
      </w:pPr>
      <w:r>
        <w:rPr/>
        <w:t>​</w:t>
      </w:r>
    </w:p>
    <w:tbl>
      <w:tblPr>
        <w:tblW w:w="5217" w:type="dxa"/>
        <w:jc w:val="left"/>
        <w:tblInd w:w="0" w:type="dxa"/>
        <w:tblLayout w:type="fixed"/>
        <w:tblCellMar>
          <w:top w:w="0" w:type="dxa"/>
          <w:left w:w="0" w:type="dxa"/>
          <w:bottom w:w="0" w:type="dxa"/>
          <w:right w:w="0" w:type="dxa"/>
        </w:tblCellMar>
      </w:tblPr>
      <w:tblGrid>
        <w:gridCol w:w="1366"/>
        <w:gridCol w:w="326"/>
        <w:gridCol w:w="328"/>
        <w:gridCol w:w="1217"/>
        <w:gridCol w:w="326"/>
        <w:gridCol w:w="319"/>
        <w:gridCol w:w="1181"/>
        <w:gridCol w:w="154"/>
      </w:tblGrid>
      <w:tr>
        <w:trPr/>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867410" cy="175260"/>
                      <wp:effectExtent l="0" t="0" r="0" b="0"/>
                      <wp:wrapNone/>
                      <wp:docPr id="127" name="Frame127"/>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8280" cy="175260"/>
                      <wp:effectExtent l="0" t="0" r="0" b="0"/>
                      <wp:wrapNone/>
                      <wp:docPr id="129" name="Frame129"/>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772795" cy="175260"/>
                      <wp:effectExtent l="0" t="0" r="0" b="0"/>
                      <wp:wrapNone/>
                      <wp:docPr id="130" name="Frame130"/>
                      <a:graphic xmlns:a="http://schemas.openxmlformats.org/drawingml/2006/main">
                        <a:graphicData uri="http://schemas.microsoft.com/office/word/2010/wordprocessingShape">
                          <wps:wsp>
                            <wps:cNvSpPr txBox="1"/>
                            <wps:spPr>
                              <a:xfrm>
                                <a:off x="0" y="0"/>
                                <a:ext cx="772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1" name="Frame1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2565" cy="175260"/>
                      <wp:effectExtent l="0" t="0" r="0" b="0"/>
                      <wp:wrapNone/>
                      <wp:docPr id="132" name="Frame132"/>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749935" cy="175260"/>
                      <wp:effectExtent l="0" t="0" r="0" b="0"/>
                      <wp:wrapNone/>
                      <wp:docPr id="133" name="Frame133"/>
                      <a:graphic xmlns:a="http://schemas.openxmlformats.org/drawingml/2006/main">
                        <a:graphicData uri="http://schemas.microsoft.com/office/word/2010/wordprocessingShape">
                          <wps:wsp>
                            <wps:cNvSpPr txBox="1"/>
                            <wps:spPr>
                              <a:xfrm>
                                <a:off x="0" y="0"/>
                                <a:ext cx="74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97790" cy="175260"/>
                      <wp:effectExtent l="0" t="0" r="0" b="0"/>
                      <wp:wrapNone/>
                      <wp:docPr id="134" name="Frame13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28" w:type="dxa"/>
            <w:tcBorders/>
            <w:vAlign w:val="center"/>
          </w:tcPr>
          <w:p>
            <w:pPr>
              <w:pStyle w:val="TableContents"/>
              <w:bidi w:val="0"/>
              <w:spacing w:before="0" w:after="0"/>
              <w:ind w:left="0" w:right="0" w:hanging="0"/>
              <w:jc w:val="center"/>
              <w:rPr/>
            </w:pPr>
            <w:r>
              <w:rPr/>
              <w:t>​</w:t>
            </w:r>
          </w:p>
        </w:tc>
        <w:tc>
          <w:tcPr>
            <w:tcW w:w="121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11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left"/>
              <w:rPr/>
            </w:pPr>
            <w:r>
              <w:rPr/>
              <w:t>    </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154" w:type="dxa"/>
            <w:tcBorders/>
            <w:vAlign w:val="center"/>
          </w:tcPr>
          <w:p>
            <w:pPr>
              <w:pStyle w:val="TableContents"/>
              <w:bidi w:val="0"/>
              <w:spacing w:before="0" w:after="0"/>
              <w:ind w:left="0" w:right="0" w:hanging="0"/>
              <w:jc w:val="center"/>
              <w:rPr/>
            </w:pPr>
            <w:r>
              <w:rPr/>
              <w:t>​</w:t>
            </w:r>
          </w:p>
        </w:tc>
      </w:tr>
      <w:tr>
        <w:trPr/>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60,036</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95,388</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1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43,188</w:t>
            </w:r>
          </w:p>
        </w:tc>
        <w:tc>
          <w:tcPr>
            <w:tcW w:w="326" w:type="dxa"/>
            <w:tcBorders/>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69,832</w:t>
            </w:r>
          </w:p>
        </w:tc>
        <w:tc>
          <w:tcPr>
            <w:tcW w:w="154" w:type="dxa"/>
            <w:tcBorders/>
            <w:vAlign w:val="center"/>
          </w:tcPr>
          <w:p>
            <w:pPr>
              <w:pStyle w:val="TableContents"/>
              <w:bidi w:val="0"/>
              <w:spacing w:before="0" w:after="0"/>
              <w:ind w:left="0" w:right="0" w:hanging="0"/>
              <w:jc w:val="right"/>
              <w:rPr/>
            </w:pPr>
            <w:r>
              <w:rPr/>
              <w:t>​</w:t>
            </w:r>
          </w:p>
        </w:tc>
      </w:tr>
      <w:tr>
        <w:trPr/>
        <w:tc>
          <w:tcPr>
            <w:tcW w:w="13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103,224</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165,220</w:t>
            </w:r>
          </w:p>
        </w:tc>
        <w:tc>
          <w:tcPr>
            <w:tcW w:w="154"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47" w:name="_Hlk102745951"/>
      <w:bookmarkStart w:id="1048" w:name="Tc__PIpAvT6HU2B1a6DPT5HIA_8_5"/>
      <w:bookmarkStart w:id="1049" w:name="Tc_i11D38gKQEqKduto5dAfCw_8_2"/>
      <w:bookmarkStart w:id="1050" w:name="Tc_k2NwlJrkX0y4YB2oSrMH7w_8_0"/>
      <w:bookmarkStart w:id="1051" w:name="Tc_quzLpLRPxUqxLUcnwKwIbA_7_0"/>
      <w:bookmarkStart w:id="1052" w:name="Tc_Ite0PmFaF02UocZRYRYrfw_6_0"/>
      <w:bookmarkStart w:id="1053" w:name="Tc_q85dCkID4UW8prOlepgGEw_5_0"/>
      <w:bookmarkStart w:id="1054" w:name="Tc_kPOuN1py-0ekQ7Qudpv24Q_4_6"/>
      <w:bookmarkStart w:id="1055" w:name="Tc_3_xIfevCXEW6C2rdbYEZIQ_4_3"/>
      <w:bookmarkStart w:id="1056" w:name="Tc_pXovKPJZtUyyudKvE2aV8A_4_0"/>
      <w:bookmarkStart w:id="1057" w:name="Tc_Tdyv_pC9GUG0gQiB-AXpAg_3_5"/>
      <w:bookmarkStart w:id="1058" w:name="Tc_0M6RyOJfJEO2WGMxUfBa-A_3_2"/>
      <w:bookmarkStart w:id="1059" w:name="Tc_lLSnVberIUeRq5QehviWYQ_3_0"/>
      <w:bookmarkStart w:id="1060" w:name="Tc_doZdqWpgWU6DjAXJq1bFmg_2_5"/>
      <w:bookmarkStart w:id="1061" w:name="Tc_5QtnyiTGNUC4L4AD1fnYlg_2_2"/>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r>
        <w:rPr>
          <w:rFonts w:ascii="Times New Roman;Times;serif" w:hAnsi="Times New Roman;Times;serif"/>
          <w:b/>
          <w:sz w:val="20"/>
        </w:rPr>
        <w:t>6. LONG-TERM DEBT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components of the Company’s outstanding long-term debt obligations consisted of the following (in thousands):</w:t>
      </w:r>
    </w:p>
    <w:p>
      <w:pPr>
        <w:pStyle w:val="TextBody"/>
        <w:bidi w:val="0"/>
        <w:spacing w:before="0" w:after="240"/>
        <w:ind w:left="0" w:right="0" w:firstLine="360"/>
        <w:jc w:val="left"/>
        <w:rPr/>
      </w:pPr>
      <w:r>
        <w:rPr/>
        <w:t>​</w:t>
      </w:r>
    </w:p>
    <w:tbl>
      <w:tblPr>
        <w:tblW w:w="8172" w:type="dxa"/>
        <w:jc w:val="left"/>
        <w:tblInd w:w="0" w:type="dxa"/>
        <w:tblLayout w:type="fixed"/>
        <w:tblCellMar>
          <w:top w:w="0" w:type="dxa"/>
          <w:left w:w="0" w:type="dxa"/>
          <w:bottom w:w="0" w:type="dxa"/>
          <w:right w:w="0" w:type="dxa"/>
        </w:tblCellMar>
      </w:tblPr>
      <w:tblGrid>
        <w:gridCol w:w="4321"/>
        <w:gridCol w:w="326"/>
        <w:gridCol w:w="328"/>
        <w:gridCol w:w="1217"/>
        <w:gridCol w:w="326"/>
        <w:gridCol w:w="319"/>
        <w:gridCol w:w="1181"/>
        <w:gridCol w:w="154"/>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743835" cy="175260"/>
                      <wp:effectExtent l="0" t="0" r="0" b="0"/>
                      <wp:wrapNone/>
                      <wp:docPr id="135" name="Frame135"/>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8280" cy="175260"/>
                      <wp:effectExtent l="0" t="0" r="0" b="0"/>
                      <wp:wrapNone/>
                      <wp:docPr id="137" name="Frame137"/>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772795" cy="175260"/>
                      <wp:effectExtent l="0" t="0" r="0" b="0"/>
                      <wp:wrapNone/>
                      <wp:docPr id="138" name="Frame138"/>
                      <a:graphic xmlns:a="http://schemas.openxmlformats.org/drawingml/2006/main">
                        <a:graphicData uri="http://schemas.microsoft.com/office/word/2010/wordprocessingShape">
                          <wps:wsp>
                            <wps:cNvSpPr txBox="1"/>
                            <wps:spPr>
                              <a:xfrm>
                                <a:off x="0" y="0"/>
                                <a:ext cx="772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2565" cy="175260"/>
                      <wp:effectExtent l="0" t="0" r="0" b="0"/>
                      <wp:wrapNone/>
                      <wp:docPr id="140" name="Frame140"/>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749935" cy="175260"/>
                      <wp:effectExtent l="0" t="0" r="0" b="0"/>
                      <wp:wrapNone/>
                      <wp:docPr id="141" name="Frame141"/>
                      <a:graphic xmlns:a="http://schemas.openxmlformats.org/drawingml/2006/main">
                        <a:graphicData uri="http://schemas.microsoft.com/office/word/2010/wordprocessingShape">
                          <wps:wsp>
                            <wps:cNvSpPr txBox="1"/>
                            <wps:spPr>
                              <a:xfrm>
                                <a:off x="0" y="0"/>
                                <a:ext cx="74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97790" cy="175260"/>
                      <wp:effectExtent l="0" t="0" r="0" b="0"/>
                      <wp:wrapNone/>
                      <wp:docPr id="142" name="Frame14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28" w:type="dxa"/>
            <w:tcBorders/>
            <w:vAlign w:val="center"/>
          </w:tcPr>
          <w:p>
            <w:pPr>
              <w:pStyle w:val="TableContents"/>
              <w:bidi w:val="0"/>
              <w:spacing w:before="0" w:after="0"/>
              <w:ind w:left="0" w:right="0" w:hanging="0"/>
              <w:jc w:val="left"/>
              <w:rPr/>
            </w:pPr>
            <w:r>
              <w:rPr/>
              <w:t>​</w:t>
            </w:r>
          </w:p>
        </w:tc>
        <w:tc>
          <w:tcPr>
            <w:tcW w:w="12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11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left"/>
              <w:rPr/>
            </w:pPr>
            <w:r>
              <w:rPr/>
              <w:t>    </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154" w:type="dxa"/>
            <w:tcBorders/>
            <w:vAlign w:val="center"/>
          </w:tcPr>
          <w:p>
            <w:pPr>
              <w:pStyle w:val="TableContents"/>
              <w:bidi w:val="0"/>
              <w:spacing w:before="0" w:after="0"/>
              <w:ind w:left="0" w:right="0" w:hanging="0"/>
              <w:jc w:val="center"/>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310,125</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322,562</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118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righ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Unamortized discount and debt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(8,504)</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(9,681)</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301,621</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11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312,881</w:t>
            </w:r>
          </w:p>
        </w:tc>
        <w:tc>
          <w:tcPr>
            <w:tcW w:w="154" w:type="dxa"/>
            <w:tcBorders/>
            <w:vAlign w:val="center"/>
          </w:tcPr>
          <w:p>
            <w:pPr>
              <w:pStyle w:val="TableContents"/>
              <w:bidi w:val="0"/>
              <w:spacing w:before="0" w:after="0"/>
              <w:ind w:left="0" w:right="0" w:hanging="0"/>
              <w:jc w:val="righ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298,371</w:t>
            </w:r>
          </w:p>
        </w:tc>
        <w:tc>
          <w:tcPr>
            <w:tcW w:w="326"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309,631</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February 23, 2022, Latham Pool Products entered into an agreement (the “Credit Agreement”) with Barclays Bank PLC, which provides a senior secured multicurrency revolving line of credit (the “Revolving Credit Facility”) in an initial principal amount of $75.0 million and a U.S. Dollar senior secured term loan facility (the “Term Loan”) in an initial principal amount of $325.0 million. On such date, proceeds under the Credit Agreement were used to terminate the previous credit agreement by repayment of $294.0 million of outstanding debt thereunder and for general corporate purposes.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Revolving Credit Facility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Revolving Credit Facility may be utilized to finance ongoing general corporate and working capital needs and permits Latham Pools Products to borrow loans in U.S. Dollars, Canadian Dollars, Euros and Australian Dollars. The Revolving Credit Facility matures on February 23, 2027. Loans outstanding under the Revolving Credit Facility denominated in U.S. Dollars and Canadian Dollars bear interest, at the borrower’s option, at a rate per annum based on Term SOFR or CDO (each, as defined in the Credit Agreement), as applicable, plus a margin of 3.50%, or at a rate per annum based on the Base Rate or the Canadian Prime Rate (each, as defined in the Credit Agreement), plus a margin of 2.50%. Loans outstanding under the Revolving Credit Facility denominated in Euros or Australian Dollars bear interest based on EURIBOR or the AUD Rate (each, as defined in the Credit Agreement), respectively, plus a margin of 3.50%. A commitment fee accrues on any unused portion of the commitments under the Revolving Credit Facility. The commitment fee is due and payable quarterly in arrears, and initially was 0.375% per annum and thereafter accrues at a rate per annum ranging from 0.25% to 0.50%, depending on the First Lien Net Leverage Ratio (as defined in the Credit Agreement, the “First Lien Net Leverage Ratio”). Borrowings under the Revolving Credit Facility are due at maturity.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incurred debt issuance costs of $0.8 million related to the Revolving Credit Facility. The debt issuance costs were recorded within other assets on the condensed consolidated balance sheet as of the applicable period and are being amortized over the life of the Revolving Credit Facility.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required to meet certain financial covenants, including maintaining specific liquidity measurements. There are also negative covenants, including certain restrictions on the Company’s and its subsidiaries’ ability to incur additional indebtedness, create liens, make investments, consolidate, or merge with other entities, enter into transactions with affiliates, make prepayments with respect to certain indebtedness, make dividend payments, loans, or advances to the Company, declare dividends and make restricted payments and other distributions.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September 30, 2023, there were no outstanding borrowings on the Revolving Credit Facility and $75.0 million was available for future borrowing.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1062" w:name="Tc_Un9FW8su-0S0A7UWjiqqgw_9_2"/>
      <w:bookmarkStart w:id="1063" w:name="Tc_ipCFYXAGgEGt7S-nVq0dfw_8_0"/>
      <w:bookmarkStart w:id="1064" w:name="Tc_xan7x9G7t0O5vf7Y8NWj7w_7_0"/>
      <w:bookmarkStart w:id="1065" w:name="Tc_Y9vLFBTXhEmlFA5DVI17eg_6_0"/>
      <w:bookmarkStart w:id="1066" w:name="Tc_P6Yx5Wiq10GQOjiluMSbag_5_0"/>
      <w:bookmarkStart w:id="1067" w:name="Tc_X_knUZuwMUKa2INWqL7RNA_4_0"/>
      <w:bookmarkStart w:id="1068" w:name="Tc_1jA7Rvw_6kCqUgu7xDjHBw_3_2"/>
      <w:bookmarkStart w:id="1069" w:name="Tc_QUKHIQtcz0CsVVRfD8K7bA_3_0"/>
      <w:bookmarkStart w:id="1070" w:name="Tc_BPq_ETd-Tkyzeylf2V4Jhg_2_2"/>
      <w:bookmarkStart w:id="1071" w:name="Tc_l69sPFZJbUaG8iqVghKqBw_2_0"/>
      <w:bookmarkEnd w:id="1062"/>
      <w:bookmarkEnd w:id="1063"/>
      <w:bookmarkEnd w:id="1064"/>
      <w:bookmarkEnd w:id="1065"/>
      <w:bookmarkEnd w:id="1066"/>
      <w:bookmarkEnd w:id="1067"/>
      <w:bookmarkEnd w:id="1068"/>
      <w:bookmarkEnd w:id="1069"/>
      <w:bookmarkEnd w:id="1070"/>
      <w:bookmarkEnd w:id="1071"/>
      <w:r>
        <w:rPr>
          <w:rFonts w:ascii="Times New Roman;Times;serif" w:hAnsi="Times New Roman;Times;serif"/>
          <w:b/>
          <w:i/>
          <w:sz w:val="20"/>
        </w:rPr>
        <w:t>Term Loan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Term Loan matures on February 23, 2029. Loans outstanding under the Term Loan bear interest, at the borrower’s option, at a rate per annum based on Term SOFR (as defined in the Credit Agreement), plus a margin ranging from 3.75% to 4.00%, depending on the First Lien Net Leverage Ratio, or based on the Base Rate (as defined in the Credit Agreement), plus a margin ranging from 2.75% to 3.00%, depending on the First Lien Net Leverage Ratio. Loans under the Term Loan are subject to scheduled quarterly amortization payments of $812,500, equal to 0.25% of the initial principal amount of the Term Loan. The Credit Agreement contains customary mandatory prepayment provisions, including requirements to make mandatory prepayments with 50% of any excess cash flow and with 100% of the net cash proceeds from the incurrence of indebtedness not otherwise permitted to be incurred by the covenants, asset sales, and casualty and condemnation events, in each case, subject to customary exceptions.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Outstanding borrowings as of September 30, 2023 were $301.6 million, net of unamortized discount and debt issuance costs of $8.5 million. In connection with the Term Loan, the Company is subject to various negative, reporting, financial, and other covenants, including maintaining specific liquidity measurements.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September 30, 2023, the unamortized debt issuance costs and discount on the Term Loan were $4.7 million and $3.8 million, respectively. The effective interest rate was 10.26% at September 30, 2023, including the impact of the Company’s interest rate swaps.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September 30, 2023, the Company was in compliance with all financial covenants under the Credit Agreement.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Interest rate risk associated with the Credit Agreement is mitigated partially through interest rate swaps.</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 executed an interest rate swap on April 30, 2020. The swap had an effective date of May 18, 2020 and a termination date of May 18, 2023. In February 2022, the Company amended its interest rate swap to change the index rate from LIBOR to SOFR in connection with the entry into the Credit Agreement. Under the terms of the amended swap, the Company fixed its SOFR borrowing rate at 0.496% on a notional amount of $200.0 million. The interest rate swap was not designated as a hedging instrument for accounting purposes (see Note 3). </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Additionally, the Company entered into an interest rate swap that was executed on March 10, 2023. The swap has an effective date of May 18, 2023 and a termination date of May 18, 2026. Under the terms of the swap, the Company fixed its SOFR borrowing rate at 4.3725% on a notional amount of $161.0 million. The interest rate swap is not designated as a hedging instrument for accounting purposes (see Note 3).</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Debt Maturities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Principal payments due on the outstanding debt, excluding the Revolving Credit Facility, in the next five fiscal years, excluding any potential payments based on excess cash flow levels, are as follows (in thousands):</w:t>
      </w:r>
    </w:p>
    <w:p>
      <w:pPr>
        <w:pStyle w:val="TextBody"/>
        <w:bidi w:val="0"/>
        <w:spacing w:before="0" w:after="240"/>
        <w:ind w:left="0" w:right="0" w:firstLine="360"/>
        <w:jc w:val="left"/>
        <w:rPr/>
      </w:pPr>
      <w:r>
        <w:rPr/>
        <w:t>​</w:t>
      </w:r>
    </w:p>
    <w:tbl>
      <w:tblPr>
        <w:tblW w:w="3594" w:type="dxa"/>
        <w:jc w:val="left"/>
        <w:tblInd w:w="0" w:type="dxa"/>
        <w:tblLayout w:type="fixed"/>
        <w:tblCellMar>
          <w:top w:w="0" w:type="dxa"/>
          <w:left w:w="0" w:type="dxa"/>
          <w:bottom w:w="0" w:type="dxa"/>
          <w:right w:w="0" w:type="dxa"/>
        </w:tblCellMar>
      </w:tblPr>
      <w:tblGrid>
        <w:gridCol w:w="2161"/>
        <w:gridCol w:w="326"/>
        <w:gridCol w:w="211"/>
        <w:gridCol w:w="896"/>
      </w:tblGrid>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68960" cy="175260"/>
                      <wp:effectExtent l="0" t="0" r="0" b="0"/>
                      <wp:wrapNone/>
                      <wp:docPr id="145" name="Frame145"/>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07" w:type="dxa"/>
            <w:gridSpan w:val="2"/>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Ended</w:t>
            </w:r>
          </w:p>
        </w:tc>
        <w:tc>
          <w:tcPr>
            <w:tcW w:w="326" w:type="dxa"/>
            <w:tcBorders/>
            <w:vAlign w:val="center"/>
          </w:tcPr>
          <w:p>
            <w:pPr>
              <w:pStyle w:val="TableContents"/>
              <w:bidi w:val="0"/>
              <w:spacing w:before="0" w:after="0"/>
              <w:ind w:left="0" w:right="0" w:hanging="0"/>
              <w:jc w:val="center"/>
              <w:rPr/>
            </w:pPr>
            <w:r>
              <w:rPr/>
              <w:t>​</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Loan</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fiscal 2023</w:t>
            </w:r>
          </w:p>
        </w:tc>
        <w:tc>
          <w:tcPr>
            <w:tcW w:w="326" w:type="dxa"/>
            <w:tcBorders/>
            <w:shd w:fill="CCEEFF" w:val="clear"/>
            <w:vAlign w:val="center"/>
          </w:tcPr>
          <w:p>
            <w:pPr>
              <w:pStyle w:val="TableContents"/>
              <w:bidi w:val="0"/>
              <w:spacing w:before="0" w:after="0"/>
              <w:ind w:left="0" w:right="0" w:hanging="0"/>
              <w:jc w:val="center"/>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296,312</w:t>
            </w:r>
          </w:p>
        </w:tc>
      </w:tr>
      <w:tr>
        <w:trPr/>
        <w:tc>
          <w:tcPr>
            <w:tcW w:w="216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310,125</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obligations under the Credit Agreement are guaranteed by certain wholly owned subsidiaries (the “Guarantors”) of the Company as defined in the security agreement. The obligations under the Credit Agreement are secured by substantially all of the Guarantors’ tangible and intangible assets, including their accounts receivables, equipment, intellectual property, inventory, cash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cash equivalents, deposit accounts, and security accounts. The Credit Agreement also restricts payments and other distributions unless certain conditions are met, which could restrict the Company’s ability to pay dividends. </w:t>
      </w:r>
    </w:p>
    <w:p>
      <w:pPr>
        <w:pStyle w:val="TextBody"/>
        <w:bidi w:val="0"/>
        <w:spacing w:before="0" w:after="240"/>
        <w:ind w:left="0" w:right="0" w:hanging="0"/>
        <w:jc w:val="left"/>
        <w:rPr>
          <w:rFonts w:ascii="Times New Roman;Times;serif" w:hAnsi="Times New Roman;Times;serif"/>
          <w:b/>
          <w:sz w:val="20"/>
        </w:rPr>
      </w:pPr>
      <w:bookmarkStart w:id="1072" w:name="Tc_q68LURvqu0yv7O43nZUXxA_7_5"/>
      <w:bookmarkStart w:id="1073" w:name="Tc_Umpc3cdmck2JCgOmYh6R5g_7_2"/>
      <w:bookmarkStart w:id="1074" w:name="Tc_Cq7PEMkRbEWdCFZuLJq7kg_7_0"/>
      <w:bookmarkStart w:id="1075" w:name="Tc_00_6ctw4IUmLjfBtWs-9NQ_6_0"/>
      <w:bookmarkStart w:id="1076" w:name="Tc_bpOxOY3D70upfDR0e2emEg_5_0"/>
      <w:bookmarkStart w:id="1077" w:name="Tc_SzKyJeoh3EK1WinclbG0jQ_4_5"/>
      <w:bookmarkStart w:id="1078" w:name="Tc_b5YuKx3790q8-DTEV7fdcg_4_2"/>
      <w:bookmarkStart w:id="1079" w:name="Tc_FdjapSLwaEWZaBm9k_COjQ_4_0"/>
      <w:bookmarkStart w:id="1080" w:name="Tc_8KjVCo0S0ES3aqrWi0EyQQ_3_5"/>
      <w:bookmarkStart w:id="1081" w:name="Tc_Hnq8-dDCUUaooAZrXGdBxQ_3_2"/>
      <w:bookmarkStart w:id="1082" w:name="Tc_lrIWPv7K70KPb8thInuXCQ_2_2"/>
      <w:bookmarkStart w:id="1083" w:name="_dfcf3c17_46d7_40f1_a5d8_df63e29ed093"/>
      <w:bookmarkEnd w:id="1072"/>
      <w:bookmarkEnd w:id="1073"/>
      <w:bookmarkEnd w:id="1074"/>
      <w:bookmarkEnd w:id="1075"/>
      <w:bookmarkEnd w:id="1076"/>
      <w:bookmarkEnd w:id="1077"/>
      <w:bookmarkEnd w:id="1078"/>
      <w:bookmarkEnd w:id="1079"/>
      <w:bookmarkEnd w:id="1080"/>
      <w:bookmarkEnd w:id="1081"/>
      <w:bookmarkEnd w:id="1082"/>
      <w:bookmarkEnd w:id="1083"/>
      <w:r>
        <w:rPr>
          <w:rFonts w:ascii="Times New Roman;Times;serif" w:hAnsi="Times New Roman;Times;serif"/>
          <w:b/>
          <w:sz w:val="20"/>
        </w:rPr>
        <w:t>7. PRODUCT WARRANTIES</w:t>
      </w:r>
    </w:p>
    <w:p>
      <w:pPr>
        <w:pStyle w:val="TextBody"/>
        <w:bidi w:val="0"/>
        <w:spacing w:before="0" w:after="0"/>
        <w:ind w:left="403" w:right="0" w:hanging="0"/>
        <w:jc w:val="left"/>
        <w:rPr>
          <w:rFonts w:ascii="Times New Roman;Times;serif" w:hAnsi="Times New Roman;Times;serif"/>
          <w:sz w:val="20"/>
        </w:rPr>
      </w:pPr>
      <w:r>
        <w:rPr>
          <w:rFonts w:ascii="Times New Roman;Times;serif" w:hAnsi="Times New Roman;Times;serif"/>
          <w:sz w:val="20"/>
        </w:rPr>
        <w:t>The warranty reserve activity consisted of the following (in thousands):</w:t>
      </w:r>
    </w:p>
    <w:p>
      <w:pPr>
        <w:pStyle w:val="TextBody"/>
        <w:bidi w:val="0"/>
        <w:spacing w:before="0" w:after="240"/>
        <w:ind w:left="403" w:right="0" w:hanging="0"/>
        <w:jc w:val="left"/>
        <w:rPr/>
      </w:pPr>
      <w:r>
        <w:rPr/>
        <w:t>​</w:t>
      </w:r>
    </w:p>
    <w:tbl>
      <w:tblPr>
        <w:tblW w:w="7236" w:type="dxa"/>
        <w:jc w:val="left"/>
        <w:tblInd w:w="0" w:type="dxa"/>
        <w:tblLayout w:type="fixed"/>
        <w:tblCellMar>
          <w:top w:w="0" w:type="dxa"/>
          <w:left w:w="0" w:type="dxa"/>
          <w:bottom w:w="0" w:type="dxa"/>
          <w:right w:w="0" w:type="dxa"/>
        </w:tblCellMar>
      </w:tblPr>
      <w:tblGrid>
        <w:gridCol w:w="3586"/>
        <w:gridCol w:w="326"/>
        <w:gridCol w:w="361"/>
        <w:gridCol w:w="1184"/>
        <w:gridCol w:w="335"/>
        <w:gridCol w:w="302"/>
        <w:gridCol w:w="988"/>
        <w:gridCol w:w="154"/>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277110" cy="175260"/>
                      <wp:effectExtent l="0" t="0" r="0" b="0"/>
                      <wp:wrapNone/>
                      <wp:docPr id="146" name="Frame146"/>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29235" cy="175260"/>
                      <wp:effectExtent l="0" t="0" r="0" b="0"/>
                      <wp:wrapNone/>
                      <wp:docPr id="148" name="Frame14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751840" cy="175260"/>
                      <wp:effectExtent l="0" t="0" r="0" b="0"/>
                      <wp:wrapNone/>
                      <wp:docPr id="149" name="Frame149"/>
                      <a:graphic xmlns:a="http://schemas.openxmlformats.org/drawingml/2006/main">
                        <a:graphicData uri="http://schemas.microsoft.com/office/word/2010/wordprocessingShape">
                          <wps:wsp>
                            <wps:cNvSpPr txBox="1"/>
                            <wps:spPr>
                              <a:xfrm>
                                <a:off x="0" y="0"/>
                                <a:ext cx="751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2725" cy="175260"/>
                      <wp:effectExtent l="0" t="0" r="0" b="0"/>
                      <wp:wrapNone/>
                      <wp:docPr id="150" name="Frame150"/>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91770" cy="175260"/>
                      <wp:effectExtent l="0" t="0" r="0" b="0"/>
                      <wp:wrapNone/>
                      <wp:docPr id="151" name="Frame151"/>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27380" cy="175260"/>
                      <wp:effectExtent l="0" t="0" r="0" b="0"/>
                      <wp:wrapNone/>
                      <wp:docPr id="152" name="Frame152"/>
                      <a:graphic xmlns:a="http://schemas.openxmlformats.org/drawingml/2006/main">
                        <a:graphicData uri="http://schemas.microsoft.com/office/word/2010/wordprocessingShape">
                          <wps:wsp>
                            <wps:cNvSpPr txBox="1"/>
                            <wps:spPr>
                              <a:xfrm>
                                <a:off x="0" y="0"/>
                                <a:ext cx="627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97790" cy="175260"/>
                      <wp:effectExtent l="0" t="0" r="0" b="0"/>
                      <wp:wrapNone/>
                      <wp:docPr id="153" name="Frame15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184"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Fiscal Quarters Ended</w:t>
            </w:r>
          </w:p>
        </w:tc>
        <w:tc>
          <w:tcPr>
            <w:tcW w:w="154" w:type="dxa"/>
            <w:tcBorders/>
            <w:vAlign w:val="center"/>
          </w:tcPr>
          <w:p>
            <w:pPr>
              <w:pStyle w:val="TableContents"/>
              <w:bidi w:val="0"/>
              <w:spacing w:before="0" w:after="0"/>
              <w:ind w:left="0" w:right="0" w:hanging="0"/>
              <w:jc w:val="center"/>
              <w:rPr/>
            </w:pPr>
            <w:r>
              <w:rPr/>
              <w:t>​</w:t>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35" w:type="dxa"/>
            <w:tcBorders/>
            <w:vAlign w:val="center"/>
          </w:tcPr>
          <w:p>
            <w:pPr>
              <w:pStyle w:val="TableContents"/>
              <w:bidi w:val="0"/>
              <w:spacing w:before="0" w:after="0"/>
              <w:ind w:left="0" w:right="0" w:hanging="0"/>
              <w:jc w:val="left"/>
              <w:rPr/>
            </w:pPr>
            <w:r>
              <w:rPr/>
              <w:t>    </w:t>
            </w:r>
          </w:p>
        </w:tc>
        <w:tc>
          <w:tcPr>
            <w:tcW w:w="12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 2022</w:t>
            </w:r>
          </w:p>
        </w:tc>
        <w:tc>
          <w:tcPr>
            <w:tcW w:w="154" w:type="dxa"/>
            <w:tcBorders/>
            <w:vAlign w:val="center"/>
          </w:tcPr>
          <w:p>
            <w:pPr>
              <w:pStyle w:val="TableContents"/>
              <w:bidi w:val="0"/>
              <w:spacing w:before="0" w:after="0"/>
              <w:ind w:left="0" w:right="0" w:hanging="0"/>
              <w:jc w:val="center"/>
              <w:rPr/>
            </w:pPr>
            <w:r>
              <w:rPr/>
              <w:t>​</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beginning of the fiscal year</w:t>
            </w:r>
          </w:p>
        </w:tc>
        <w:tc>
          <w:tcPr>
            <w:tcW w:w="32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3,399</w:t>
            </w:r>
          </w:p>
        </w:tc>
        <w:tc>
          <w:tcPr>
            <w:tcW w:w="335"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4,909</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reserve</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 </w:t>
            </w:r>
          </w:p>
        </w:tc>
        <w:tc>
          <w:tcPr>
            <w:tcW w:w="11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4,737</w:t>
            </w:r>
          </w:p>
        </w:tc>
        <w:tc>
          <w:tcPr>
            <w:tcW w:w="335"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 </w:t>
            </w:r>
          </w:p>
        </w:tc>
        <w:tc>
          <w:tcPr>
            <w:tcW w:w="9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5,479</w:t>
            </w:r>
          </w:p>
        </w:tc>
        <w:tc>
          <w:tcPr>
            <w:tcW w:w="154" w:type="dxa"/>
            <w:tcBorders/>
            <w:vAlign w:val="center"/>
          </w:tcPr>
          <w:p>
            <w:pPr>
              <w:pStyle w:val="TableContents"/>
              <w:bidi w:val="0"/>
              <w:spacing w:before="0" w:after="0"/>
              <w:ind w:left="0" w:right="0" w:hanging="0"/>
              <w:jc w:val="right"/>
              <w:rPr/>
            </w:pPr>
            <w:r>
              <w:rPr/>
              <w:t>​</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Settlements made (in cash or in kind)</w:t>
            </w:r>
          </w:p>
        </w:tc>
        <w:tc>
          <w:tcPr>
            <w:tcW w:w="326" w:type="dxa"/>
            <w:tcBorders/>
            <w:shd w:fill="CCEEFF" w:val="clear"/>
            <w:vAlign w:val="center"/>
          </w:tcPr>
          <w:p>
            <w:pPr>
              <w:pStyle w:val="TableContents"/>
              <w:bidi w:val="0"/>
              <w:spacing w:before="0" w:after="0"/>
              <w:ind w:left="0" w:right="0" w:hanging="0"/>
              <w:jc w:val="left"/>
              <w:rPr/>
            </w:pPr>
            <w:r>
              <w:rPr/>
              <w:t>​</w:t>
            </w:r>
          </w:p>
        </w:tc>
        <w:tc>
          <w:tcPr>
            <w:tcW w:w="3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(4,724)</w:t>
            </w:r>
          </w:p>
        </w:tc>
        <w:tc>
          <w:tcPr>
            <w:tcW w:w="335" w:type="dxa"/>
            <w:tcBorders/>
            <w:shd w:fill="CCEEFF" w:val="clear"/>
            <w:vAlign w:val="center"/>
          </w:tcPr>
          <w:p>
            <w:pPr>
              <w:pStyle w:val="TableContents"/>
              <w:bidi w:val="0"/>
              <w:spacing w:before="0" w:after="0"/>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(5,072)</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end of the fiscal quarter</w:t>
            </w:r>
          </w:p>
        </w:tc>
        <w:tc>
          <w:tcPr>
            <w:tcW w:w="326" w:type="dxa"/>
            <w:tcBorders/>
            <w:vAlign w:val="center"/>
          </w:tcPr>
          <w:p>
            <w:pPr>
              <w:pStyle w:val="TableContents"/>
              <w:bidi w:val="0"/>
              <w:spacing w:before="0" w:after="0"/>
              <w:ind w:left="0" w:right="0" w:hanging="0"/>
              <w:jc w:val="left"/>
              <w:rPr/>
            </w:pPr>
            <w:r>
              <w:rPr/>
              <w:t>​</w:t>
            </w:r>
          </w:p>
        </w:tc>
        <w:tc>
          <w:tcPr>
            <w:tcW w:w="3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3,412</w:t>
            </w:r>
          </w:p>
        </w:tc>
        <w:tc>
          <w:tcPr>
            <w:tcW w:w="335" w:type="dxa"/>
            <w:tcBorders/>
            <w:vAlign w:val="center"/>
          </w:tcPr>
          <w:p>
            <w:pPr>
              <w:pStyle w:val="TableContents"/>
              <w:bidi w:val="0"/>
              <w:spacing w:before="0" w:after="0"/>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5,316</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84" w:name="Tc_pE5c9aBv1EuCihkdGklotw_8_11"/>
      <w:bookmarkStart w:id="1085" w:name="Tc_0tw4yJmQykWkfV-rl5gE5A_8_8"/>
      <w:bookmarkStart w:id="1086" w:name="Tc_LeTS1V_DxE-DNPMf5Hys-w_8_5"/>
      <w:bookmarkStart w:id="1087" w:name="Tc_-AcQLkMOU0-rv2NvlQA_cQ_8_2"/>
      <w:bookmarkStart w:id="1088" w:name="Tc_dn0TaL1C1k-5jv8IVrIkAg_8_0"/>
      <w:bookmarkStart w:id="1089" w:name="Tc_soMsxnmEBU6_zfMKkOdjzg_7_0"/>
      <w:bookmarkStart w:id="1090" w:name="Tc_lUzXxxATyU-uwvrun1tnGw_6_0"/>
      <w:bookmarkStart w:id="1091" w:name="Tc_VdkcJ775Z0GTN8B00NajMQ_5_0"/>
      <w:bookmarkStart w:id="1092" w:name="Tc_CV4ra7Bbhk-RAcSOHdtHBQ_4_0"/>
      <w:bookmarkStart w:id="1093" w:name="Tc_NCqETag0VEuOLOgbkchq8A_3_11"/>
      <w:bookmarkStart w:id="1094" w:name="Tc_UkmX9ta7EEGk_IdyetUBiQ_3_8"/>
      <w:bookmarkStart w:id="1095" w:name="Tc_bqQVO7k5EEu7_Hq0PX-NRw_3_5"/>
      <w:bookmarkStart w:id="1096" w:name="Tc_9XzNeL6tCEKKo2RoY-g_XQ_3_2"/>
      <w:bookmarkStart w:id="1097" w:name="Tc_Ff1FYzxnU0a1tfnGwfNvZA_3_0"/>
      <w:bookmarkStart w:id="1098" w:name="Tc_27kkFY3wBkmzBxFamjVOug_2_11"/>
      <w:bookmarkStart w:id="1099" w:name="Tc_UD306sYwjUe7_355r5wO_g_2_8"/>
      <w:bookmarkStart w:id="1100" w:name="Tc_YM7eIAO3BkSoILyr0OgCxA_2_5"/>
      <w:bookmarkStart w:id="1101" w:name="Tc_VW4bP7NrMUK-mjPXAKLtlQ_2_2"/>
      <w:bookmarkStart w:id="1102" w:name="Tc_r9EXKqqOMkmTbrEqiiMivg_1_8"/>
      <w:bookmarkStart w:id="1103" w:name="Tc_Fi6HgzjtpkejxO0EQ2CW4g_1_2"/>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r>
        <w:rPr>
          <w:rFonts w:ascii="Times New Roman;Times;serif" w:hAnsi="Times New Roman;Times;serif"/>
          <w:b/>
          <w:sz w:val="20"/>
        </w:rPr>
        <w:t>8. LEASES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January 1, 2022, the Company adopted ASU 2016-02, “Leases (Topic 842),” and the related amendments. The optional transition method of adoption was used, in which the cumulative effect of initially applying the new standard to existing leases was $0.3 million to record the operating lease right-of-use assets and the related liabilities as of January 1, 2022. Under this method of adoption, the comparative information has not been revised and continues to be reported under the previously applicable lease accounting guidance.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leases with initial terms greater than 12 months, the Company considers these right-of-use assets and records the related asset and obligation at the present value of lease payments over the term. For leases with initial terms equal to or less than 12 months, the Company does not consider them as right-of-use assets and instead considers them short-term lease costs that are recognized on a straight-line basis over the lease term. The Company’s leases may include escalation clauses, renewal options, and/or termination options that are factored into the Company’s determination of lease term and lease payments when it is reasonably certain the option will be exercised. The Company elected to take the practical expedient and not separate lease and non-lease components of contracts. The Company estimates an incremental borrowing rate to discount the lease payments based on information available at lease commencement because the implicit rate of the lease is generally not known.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leases manufacturing facilities, office space, land, and certain vehicles and equipment under operating leases. The Company also leases certain vehicles and equipment under finance leases. The Company determines if an arrangement is a lease at inception. A contract is or contains a lease if the contract conveys the right to control the use of an identified asset for a period of time in exchange for consideration.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components of lease expense for the fiscal quarters ended September 30, 2023 and October 1, 2022 were as follows (in thousands):</w:t>
      </w:r>
    </w:p>
    <w:p>
      <w:pPr>
        <w:pStyle w:val="TextBody"/>
        <w:bidi w:val="0"/>
        <w:spacing w:before="0" w:after="24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3319"/>
        <w:gridCol w:w="326"/>
        <w:gridCol w:w="411"/>
        <w:gridCol w:w="1112"/>
        <w:gridCol w:w="326"/>
        <w:gridCol w:w="343"/>
        <w:gridCol w:w="930"/>
        <w:gridCol w:w="109"/>
        <w:gridCol w:w="410"/>
        <w:gridCol w:w="1113"/>
        <w:gridCol w:w="375"/>
        <w:gridCol w:w="343"/>
        <w:gridCol w:w="930"/>
        <w:gridCol w:w="158"/>
      </w:tblGrid>
      <w:tr>
        <w:trPr/>
        <w:tc>
          <w:tcPr>
            <w:tcW w:w="331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60985" cy="175260"/>
                      <wp:effectExtent l="0" t="0" r="0" b="0"/>
                      <wp:wrapNone/>
                      <wp:docPr id="155" name="Frame155"/>
                      <a:graphic xmlns:a="http://schemas.openxmlformats.org/drawingml/2006/main">
                        <a:graphicData uri="http://schemas.microsoft.com/office/word/2010/wordprocessingShape">
                          <wps:wsp>
                            <wps:cNvSpPr txBox="1"/>
                            <wps:spPr>
                              <a:xfrm>
                                <a:off x="0" y="0"/>
                                <a:ext cx="260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706120" cy="175260"/>
                      <wp:effectExtent l="0" t="0" r="0" b="0"/>
                      <wp:wrapNone/>
                      <wp:docPr id="156" name="Frame156"/>
                      <a:graphic xmlns:a="http://schemas.openxmlformats.org/drawingml/2006/main">
                        <a:graphicData uri="http://schemas.microsoft.com/office/word/2010/wordprocessingShape">
                          <wps:wsp>
                            <wps:cNvSpPr txBox="1"/>
                            <wps:spPr>
                              <a:xfrm>
                                <a:off x="0" y="0"/>
                                <a:ext cx="706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7805" cy="175260"/>
                      <wp:effectExtent l="0" t="0" r="0" b="0"/>
                      <wp:wrapNone/>
                      <wp:docPr id="158" name="Frame158"/>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90550" cy="175260"/>
                      <wp:effectExtent l="0" t="0" r="0" b="0"/>
                      <wp:wrapNone/>
                      <wp:docPr id="159" name="Frame159"/>
                      <a:graphic xmlns:a="http://schemas.openxmlformats.org/drawingml/2006/main">
                        <a:graphicData uri="http://schemas.microsoft.com/office/word/2010/wordprocessingShape">
                          <wps:wsp>
                            <wps:cNvSpPr txBox="1"/>
                            <wps:spPr>
                              <a:xfrm>
                                <a:off x="0" y="0"/>
                                <a:ext cx="590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9215" cy="175260"/>
                      <wp:effectExtent l="0" t="0" r="0" b="0"/>
                      <wp:wrapNone/>
                      <wp:docPr id="160" name="Frame1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60350" cy="175260"/>
                      <wp:effectExtent l="0" t="0" r="0" b="0"/>
                      <wp:wrapNone/>
                      <wp:docPr id="161" name="Frame161"/>
                      <a:graphic xmlns:a="http://schemas.openxmlformats.org/drawingml/2006/main">
                        <a:graphicData uri="http://schemas.microsoft.com/office/word/2010/wordprocessingShape">
                          <wps:wsp>
                            <wps:cNvSpPr txBox="1"/>
                            <wps:spPr>
                              <a:xfrm>
                                <a:off x="0" y="0"/>
                                <a:ext cx="260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706755" cy="175260"/>
                      <wp:effectExtent l="0" t="0" r="0" b="0"/>
                      <wp:wrapNone/>
                      <wp:docPr id="162" name="Frame162"/>
                      <a:graphic xmlns:a="http://schemas.openxmlformats.org/drawingml/2006/main">
                        <a:graphicData uri="http://schemas.microsoft.com/office/word/2010/wordprocessingShape">
                          <wps:wsp>
                            <wps:cNvSpPr txBox="1"/>
                            <wps:spPr>
                              <a:xfrm>
                                <a:off x="0" y="0"/>
                                <a:ext cx="706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38125" cy="175260"/>
                      <wp:effectExtent l="0" t="0" r="0" b="0"/>
                      <wp:wrapNone/>
                      <wp:docPr id="163" name="Frame163"/>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7805" cy="175260"/>
                      <wp:effectExtent l="0" t="0" r="0" b="0"/>
                      <wp:wrapNone/>
                      <wp:docPr id="164" name="Frame164"/>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90550" cy="175260"/>
                      <wp:effectExtent l="0" t="0" r="0" b="0"/>
                      <wp:wrapNone/>
                      <wp:docPr id="165" name="Frame165"/>
                      <a:graphic xmlns:a="http://schemas.openxmlformats.org/drawingml/2006/main">
                        <a:graphicData uri="http://schemas.microsoft.com/office/word/2010/wordprocessingShape">
                          <wps:wsp>
                            <wps:cNvSpPr txBox="1"/>
                            <wps:spPr>
                              <a:xfrm>
                                <a:off x="0" y="0"/>
                                <a:ext cx="590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00330" cy="175260"/>
                      <wp:effectExtent l="0" t="0" r="0" b="0"/>
                      <wp:wrapNone/>
                      <wp:docPr id="166" name="Frame166"/>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1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2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c>
          <w:tcPr>
            <w:tcW w:w="109" w:type="dxa"/>
            <w:tcBorders/>
            <w:vAlign w:val="center"/>
          </w:tcPr>
          <w:p>
            <w:pPr>
              <w:pStyle w:val="TableContents"/>
              <w:bidi w:val="0"/>
              <w:spacing w:before="0" w:after="1"/>
              <w:ind w:left="0" w:right="0" w:hanging="0"/>
              <w:jc w:val="left"/>
              <w:rPr/>
            </w:pPr>
            <w:r>
              <w:rPr/>
              <w:t>​</w:t>
            </w:r>
          </w:p>
        </w:tc>
        <w:tc>
          <w:tcPr>
            <w:tcW w:w="317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Fiscal Quarters Ended</w:t>
            </w:r>
          </w:p>
        </w:tc>
        <w:tc>
          <w:tcPr>
            <w:tcW w:w="158" w:type="dxa"/>
            <w:tcBorders/>
            <w:vAlign w:val="center"/>
          </w:tcPr>
          <w:p>
            <w:pPr>
              <w:pStyle w:val="TableContents"/>
              <w:bidi w:val="0"/>
              <w:spacing w:before="0" w:after="1"/>
              <w:ind w:left="0" w:right="0" w:hanging="0"/>
              <w:jc w:val="left"/>
              <w:rPr/>
            </w:pPr>
            <w:r>
              <w:rPr/>
              <w:t>​</w:t>
            </w:r>
          </w:p>
        </w:tc>
      </w:tr>
      <w:tr>
        <w:trPr/>
        <w:tc>
          <w:tcPr>
            <w:tcW w:w="331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1"/>
              <w:ind w:left="0" w:right="0" w:hanging="0"/>
              <w:jc w:val="left"/>
              <w:rPr/>
            </w:pPr>
            <w:r>
              <w:rPr/>
              <w:t>    </w:t>
            </w:r>
          </w:p>
        </w:tc>
        <w:tc>
          <w:tcPr>
            <w:tcW w:w="127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October 1, 2022</w:t>
            </w:r>
          </w:p>
        </w:tc>
        <w:tc>
          <w:tcPr>
            <w:tcW w:w="109" w:type="dxa"/>
            <w:tcBorders/>
            <w:vAlign w:val="center"/>
          </w:tcPr>
          <w:p>
            <w:pPr>
              <w:pStyle w:val="TableContents"/>
              <w:bidi w:val="0"/>
              <w:spacing w:before="0" w:after="1"/>
              <w:ind w:left="0" w:right="0" w:hanging="0"/>
              <w:jc w:val="left"/>
              <w:rPr/>
            </w:pPr>
            <w:r>
              <w:rPr/>
              <w:t>​</w:t>
            </w:r>
          </w:p>
        </w:tc>
        <w:tc>
          <w:tcPr>
            <w:tcW w:w="15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75" w:type="dxa"/>
            <w:tcBorders/>
            <w:vAlign w:val="center"/>
          </w:tcPr>
          <w:p>
            <w:pPr>
              <w:pStyle w:val="TableContents"/>
              <w:bidi w:val="0"/>
              <w:spacing w:before="0" w:after="1"/>
              <w:ind w:left="0" w:right="0" w:hanging="0"/>
              <w:jc w:val="left"/>
              <w:rPr/>
            </w:pPr>
            <w:r>
              <w:rPr/>
              <w:t>    </w:t>
            </w:r>
          </w:p>
        </w:tc>
        <w:tc>
          <w:tcPr>
            <w:tcW w:w="127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October 1, 2022</w:t>
            </w:r>
          </w:p>
        </w:tc>
        <w:tc>
          <w:tcPr>
            <w:tcW w:w="158" w:type="dxa"/>
            <w:tcBorders/>
            <w:vAlign w:val="center"/>
          </w:tcPr>
          <w:p>
            <w:pPr>
              <w:pStyle w:val="TableContents"/>
              <w:bidi w:val="0"/>
              <w:spacing w:before="0" w:after="1"/>
              <w:ind w:left="0" w:right="0" w:hanging="0"/>
              <w:jc w:val="left"/>
              <w:rPr/>
            </w:pPr>
            <w:r>
              <w:rPr/>
              <w:t>​</w:t>
            </w:r>
          </w:p>
        </w:tc>
      </w:tr>
      <w:tr>
        <w:trPr/>
        <w:tc>
          <w:tcPr>
            <w:tcW w:w="3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2,577</w:t>
            </w:r>
          </w:p>
        </w:tc>
        <w:tc>
          <w:tcPr>
            <w:tcW w:w="326" w:type="dxa"/>
            <w:tcBorders/>
            <w:shd w:fill="CCEEFF" w:val="clear"/>
            <w:vAlign w:val="center"/>
          </w:tcPr>
          <w:p>
            <w:pPr>
              <w:pStyle w:val="TableContents"/>
              <w:bidi w:val="0"/>
              <w:spacing w:before="0" w:after="1"/>
              <w:ind w:left="0" w:right="0" w:hanging="0"/>
              <w:jc w:val="right"/>
              <w:rPr/>
            </w:pPr>
            <w:r>
              <w:rPr/>
              <w:t>​</w:t>
            </w:r>
          </w:p>
        </w:tc>
        <w:tc>
          <w:tcPr>
            <w:tcW w:w="3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2,295</w:t>
            </w:r>
          </w:p>
        </w:tc>
        <w:tc>
          <w:tcPr>
            <w:tcW w:w="109" w:type="dxa"/>
            <w:tcBorders/>
            <w:shd w:fill="CCEEFF" w:val="clear"/>
            <w:vAlign w:val="center"/>
          </w:tcPr>
          <w:p>
            <w:pPr>
              <w:pStyle w:val="TableContents"/>
              <w:bidi w:val="0"/>
              <w:spacing w:before="0" w:after="1"/>
              <w:ind w:left="0" w:right="0" w:hanging="0"/>
              <w:jc w:val="right"/>
              <w:rPr/>
            </w:pPr>
            <w:r>
              <w:rPr/>
              <w:t>​</w:t>
            </w:r>
          </w:p>
        </w:tc>
        <w:tc>
          <w:tcPr>
            <w:tcW w:w="4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7,245</w:t>
            </w:r>
          </w:p>
        </w:tc>
        <w:tc>
          <w:tcPr>
            <w:tcW w:w="375" w:type="dxa"/>
            <w:tcBorders/>
            <w:shd w:fill="CCEEFF" w:val="clear"/>
            <w:vAlign w:val="center"/>
          </w:tcPr>
          <w:p>
            <w:pPr>
              <w:pStyle w:val="TableContents"/>
              <w:bidi w:val="0"/>
              <w:spacing w:before="0" w:after="1"/>
              <w:ind w:left="0" w:right="0" w:hanging="0"/>
              <w:jc w:val="right"/>
              <w:rPr/>
            </w:pPr>
            <w:r>
              <w:rPr/>
              <w:t>​</w:t>
            </w:r>
          </w:p>
        </w:tc>
        <w:tc>
          <w:tcPr>
            <w:tcW w:w="3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6,799</w:t>
            </w:r>
          </w:p>
        </w:tc>
        <w:tc>
          <w:tcPr>
            <w:tcW w:w="158" w:type="dxa"/>
            <w:tcBorders/>
            <w:shd w:fill="CCEEFF" w:val="clear"/>
            <w:vAlign w:val="center"/>
          </w:tcPr>
          <w:p>
            <w:pPr>
              <w:pStyle w:val="TableContents"/>
              <w:bidi w:val="0"/>
              <w:spacing w:before="0" w:after="1"/>
              <w:ind w:left="0" w:right="0" w:hanging="0"/>
              <w:jc w:val="left"/>
              <w:rPr/>
            </w:pPr>
            <w:r>
              <w:rPr/>
              <w:t>​</w:t>
            </w:r>
          </w:p>
        </w:tc>
      </w:tr>
      <w:tr>
        <w:trPr/>
        <w:tc>
          <w:tcPr>
            <w:tcW w:w="3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 amortization of assets</w:t>
            </w:r>
          </w:p>
        </w:tc>
        <w:tc>
          <w:tcPr>
            <w:tcW w:w="326" w:type="dxa"/>
            <w:tcBorders/>
            <w:vAlign w:val="center"/>
          </w:tcPr>
          <w:p>
            <w:pPr>
              <w:pStyle w:val="TableContents"/>
              <w:bidi w:val="0"/>
              <w:spacing w:before="0" w:after="1"/>
              <w:ind w:left="0" w:right="0" w:hanging="0"/>
              <w:jc w:val="left"/>
              <w:rPr/>
            </w:pPr>
            <w:r>
              <w:rPr/>
              <w:t>​</w:t>
            </w:r>
          </w:p>
        </w:tc>
        <w:tc>
          <w:tcPr>
            <w:tcW w:w="411" w:type="dxa"/>
            <w:tcBorders/>
            <w:vAlign w:val="center"/>
          </w:tcPr>
          <w:p>
            <w:pPr>
              <w:pStyle w:val="TableContents"/>
              <w:bidi w:val="0"/>
              <w:spacing w:before="0" w:after="1"/>
              <w:ind w:left="0" w:right="0" w:hanging="0"/>
              <w:jc w:val="left"/>
              <w:rPr/>
            </w:pPr>
            <w:r>
              <w:rPr/>
              <w:t>​</w:t>
            </w:r>
          </w:p>
        </w:tc>
        <w:tc>
          <w:tcPr>
            <w:tcW w:w="11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w:t>
            </w:r>
          </w:p>
        </w:tc>
        <w:tc>
          <w:tcPr>
            <w:tcW w:w="326" w:type="dxa"/>
            <w:tcBorders/>
            <w:vAlign w:val="center"/>
          </w:tcPr>
          <w:p>
            <w:pPr>
              <w:pStyle w:val="TableContents"/>
              <w:bidi w:val="0"/>
              <w:spacing w:before="0" w:after="1"/>
              <w:ind w:left="0" w:right="0" w:hanging="0"/>
              <w:jc w:val="right"/>
              <w:rPr/>
            </w:pPr>
            <w:r>
              <w:rPr/>
              <w:t>​</w:t>
            </w:r>
          </w:p>
        </w:tc>
        <w:tc>
          <w:tcPr>
            <w:tcW w:w="343" w:type="dxa"/>
            <w:tcBorders/>
            <w:vAlign w:val="center"/>
          </w:tcPr>
          <w:p>
            <w:pPr>
              <w:pStyle w:val="TableContents"/>
              <w:bidi w:val="0"/>
              <w:spacing w:before="0" w:after="1"/>
              <w:ind w:left="0" w:right="0" w:hanging="0"/>
              <w:jc w:val="left"/>
              <w:rPr/>
            </w:pPr>
            <w:r>
              <w:rPr/>
              <w:t>​</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109" w:type="dxa"/>
            <w:tcBorders/>
            <w:vAlign w:val="center"/>
          </w:tcPr>
          <w:p>
            <w:pPr>
              <w:pStyle w:val="TableContents"/>
              <w:bidi w:val="0"/>
              <w:spacing w:before="0" w:after="1"/>
              <w:ind w:left="0" w:right="0" w:hanging="0"/>
              <w:jc w:val="right"/>
              <w:rPr/>
            </w:pPr>
            <w:r>
              <w:rPr/>
              <w:t>​</w:t>
            </w:r>
          </w:p>
        </w:tc>
        <w:tc>
          <w:tcPr>
            <w:tcW w:w="410" w:type="dxa"/>
            <w:tcBorders/>
            <w:vAlign w:val="center"/>
          </w:tcPr>
          <w:p>
            <w:pPr>
              <w:pStyle w:val="TableContents"/>
              <w:bidi w:val="0"/>
              <w:spacing w:before="0" w:after="1"/>
              <w:ind w:left="0" w:right="0" w:hanging="0"/>
              <w:jc w:val="left"/>
              <w:rPr/>
            </w:pPr>
            <w:r>
              <w:rPr/>
              <w:t>​</w:t>
            </w:r>
          </w:p>
        </w:tc>
        <w:tc>
          <w:tcPr>
            <w:tcW w:w="11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w:t>
            </w:r>
          </w:p>
        </w:tc>
        <w:tc>
          <w:tcPr>
            <w:tcW w:w="375" w:type="dxa"/>
            <w:tcBorders/>
            <w:vAlign w:val="center"/>
          </w:tcPr>
          <w:p>
            <w:pPr>
              <w:pStyle w:val="TableContents"/>
              <w:bidi w:val="0"/>
              <w:spacing w:before="0" w:after="1"/>
              <w:ind w:left="0" w:right="0" w:hanging="0"/>
              <w:jc w:val="right"/>
              <w:rPr/>
            </w:pPr>
            <w:r>
              <w:rPr/>
              <w:t>​</w:t>
            </w:r>
          </w:p>
        </w:tc>
        <w:tc>
          <w:tcPr>
            <w:tcW w:w="343" w:type="dxa"/>
            <w:tcBorders/>
            <w:vAlign w:val="center"/>
          </w:tcPr>
          <w:p>
            <w:pPr>
              <w:pStyle w:val="TableContents"/>
              <w:bidi w:val="0"/>
              <w:spacing w:before="0" w:after="1"/>
              <w:ind w:left="0" w:right="0" w:hanging="0"/>
              <w:jc w:val="left"/>
              <w:rPr/>
            </w:pPr>
            <w:r>
              <w:rPr/>
              <w:t>​</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158" w:type="dxa"/>
            <w:tcBorders/>
            <w:vAlign w:val="center"/>
          </w:tcPr>
          <w:p>
            <w:pPr>
              <w:pStyle w:val="TableContents"/>
              <w:bidi w:val="0"/>
              <w:spacing w:before="0" w:after="1"/>
              <w:ind w:left="0" w:right="0" w:hanging="0"/>
              <w:jc w:val="left"/>
              <w:rPr/>
            </w:pPr>
            <w:r>
              <w:rPr/>
              <w:t>​</w:t>
            </w:r>
          </w:p>
        </w:tc>
      </w:tr>
      <w:tr>
        <w:trPr/>
        <w:tc>
          <w:tcPr>
            <w:tcW w:w="3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 interest on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411" w:type="dxa"/>
            <w:tcBorders/>
            <w:shd w:fill="CCEEFF" w:val="clear"/>
            <w:vAlign w:val="center"/>
          </w:tcPr>
          <w:p>
            <w:pPr>
              <w:pStyle w:val="TableContents"/>
              <w:bidi w:val="0"/>
              <w:spacing w:before="0" w:after="1"/>
              <w:ind w:left="0" w:right="0" w:hanging="0"/>
              <w:jc w:val="left"/>
              <w:rPr/>
            </w:pPr>
            <w:r>
              <w:rPr/>
              <w:t>​</w:t>
            </w:r>
          </w:p>
        </w:tc>
        <w:tc>
          <w:tcPr>
            <w:tcW w:w="11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bidi w:val="0"/>
              <w:spacing w:before="0" w:after="1"/>
              <w:ind w:left="0" w:right="0" w:hanging="0"/>
              <w:jc w:val="right"/>
              <w:rPr/>
            </w:pPr>
            <w:r>
              <w:rPr/>
              <w:t>​</w:t>
            </w:r>
          </w:p>
        </w:tc>
        <w:tc>
          <w:tcPr>
            <w:tcW w:w="343" w:type="dxa"/>
            <w:tcBorders/>
            <w:shd w:fill="CCEEFF" w:val="clear"/>
            <w:vAlign w:val="center"/>
          </w:tcPr>
          <w:p>
            <w:pPr>
              <w:pStyle w:val="TableContents"/>
              <w:bidi w:val="0"/>
              <w:spacing w:before="0" w:after="1"/>
              <w:ind w:left="0" w:right="0" w:hanging="0"/>
              <w:jc w:val="left"/>
              <w:rPr/>
            </w:pPr>
            <w:r>
              <w:rPr/>
              <w:t>​</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shd w:fill="CCEEFF" w:val="clear"/>
            <w:vAlign w:val="center"/>
          </w:tcPr>
          <w:p>
            <w:pPr>
              <w:pStyle w:val="TableContents"/>
              <w:bidi w:val="0"/>
              <w:spacing w:before="0" w:after="1"/>
              <w:ind w:left="0" w:right="0" w:hanging="0"/>
              <w:jc w:val="right"/>
              <w:rPr/>
            </w:pPr>
            <w:r>
              <w:rPr/>
              <w:t>​</w:t>
            </w:r>
          </w:p>
        </w:tc>
        <w:tc>
          <w:tcPr>
            <w:tcW w:w="410" w:type="dxa"/>
            <w:tcBorders/>
            <w:shd w:fill="CCEEFF" w:val="clear"/>
            <w:vAlign w:val="center"/>
          </w:tcPr>
          <w:p>
            <w:pPr>
              <w:pStyle w:val="TableContents"/>
              <w:bidi w:val="0"/>
              <w:spacing w:before="0" w:after="1"/>
              <w:ind w:left="0" w:right="0" w:hanging="0"/>
              <w:jc w:val="left"/>
              <w:rPr/>
            </w:pPr>
            <w:r>
              <w:rPr/>
              <w:t>​</w:t>
            </w:r>
          </w:p>
        </w:tc>
        <w:tc>
          <w:tcPr>
            <w:tcW w:w="11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375" w:type="dxa"/>
            <w:tcBorders/>
            <w:shd w:fill="CCEEFF" w:val="clear"/>
            <w:vAlign w:val="center"/>
          </w:tcPr>
          <w:p>
            <w:pPr>
              <w:pStyle w:val="TableContents"/>
              <w:bidi w:val="0"/>
              <w:spacing w:before="0" w:after="1"/>
              <w:ind w:left="0" w:right="0" w:hanging="0"/>
              <w:jc w:val="right"/>
              <w:rPr/>
            </w:pPr>
            <w:r>
              <w:rPr/>
              <w:t>​</w:t>
            </w:r>
          </w:p>
        </w:tc>
        <w:tc>
          <w:tcPr>
            <w:tcW w:w="343" w:type="dxa"/>
            <w:tcBorders/>
            <w:shd w:fill="CCEEFF" w:val="clear"/>
            <w:vAlign w:val="center"/>
          </w:tcPr>
          <w:p>
            <w:pPr>
              <w:pStyle w:val="TableContents"/>
              <w:bidi w:val="0"/>
              <w:spacing w:before="0" w:after="1"/>
              <w:ind w:left="0" w:right="0" w:hanging="0"/>
              <w:jc w:val="left"/>
              <w:rPr/>
            </w:pPr>
            <w:r>
              <w:rPr/>
              <w:t>​</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158" w:type="dxa"/>
            <w:tcBorders/>
            <w:shd w:fill="CCEEFF" w:val="clear"/>
            <w:vAlign w:val="center"/>
          </w:tcPr>
          <w:p>
            <w:pPr>
              <w:pStyle w:val="TableContents"/>
              <w:bidi w:val="0"/>
              <w:spacing w:before="0" w:after="1"/>
              <w:ind w:left="0" w:right="0" w:hanging="0"/>
              <w:jc w:val="left"/>
              <w:rPr/>
            </w:pPr>
            <w:r>
              <w:rPr/>
              <w:t>​</w:t>
            </w:r>
          </w:p>
        </w:tc>
      </w:tr>
      <w:tr>
        <w:trPr/>
        <w:tc>
          <w:tcPr>
            <w:tcW w:w="3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lease expense</w:t>
            </w:r>
          </w:p>
        </w:tc>
        <w:tc>
          <w:tcPr>
            <w:tcW w:w="326" w:type="dxa"/>
            <w:tcBorders/>
            <w:vAlign w:val="center"/>
          </w:tcPr>
          <w:p>
            <w:pPr>
              <w:pStyle w:val="TableContents"/>
              <w:bidi w:val="0"/>
              <w:spacing w:before="0" w:after="1"/>
              <w:ind w:left="0" w:right="0" w:hanging="0"/>
              <w:jc w:val="left"/>
              <w:rPr/>
            </w:pPr>
            <w:r>
              <w:rPr/>
              <w:t>​</w:t>
            </w:r>
          </w:p>
        </w:tc>
        <w:tc>
          <w:tcPr>
            <w:tcW w:w="411" w:type="dxa"/>
            <w:tcBorders/>
            <w:vAlign w:val="center"/>
          </w:tcPr>
          <w:p>
            <w:pPr>
              <w:pStyle w:val="TableContents"/>
              <w:bidi w:val="0"/>
              <w:spacing w:before="0" w:after="1"/>
              <w:ind w:left="0" w:right="0" w:hanging="0"/>
              <w:jc w:val="left"/>
              <w:rPr/>
            </w:pPr>
            <w:r>
              <w:rPr/>
              <w:t> </w:t>
            </w:r>
          </w:p>
        </w:tc>
        <w:tc>
          <w:tcPr>
            <w:tcW w:w="11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326" w:type="dxa"/>
            <w:tcBorders/>
            <w:vAlign w:val="center"/>
          </w:tcPr>
          <w:p>
            <w:pPr>
              <w:pStyle w:val="TableContents"/>
              <w:bidi w:val="0"/>
              <w:spacing w:before="0" w:after="1"/>
              <w:ind w:left="0" w:right="0" w:hanging="0"/>
              <w:jc w:val="right"/>
              <w:rPr/>
            </w:pPr>
            <w:r>
              <w:rPr/>
              <w:t>​</w:t>
            </w:r>
          </w:p>
        </w:tc>
        <w:tc>
          <w:tcPr>
            <w:tcW w:w="343" w:type="dxa"/>
            <w:tcBorders/>
            <w:vAlign w:val="center"/>
          </w:tcPr>
          <w:p>
            <w:pPr>
              <w:pStyle w:val="TableContents"/>
              <w:bidi w:val="0"/>
              <w:spacing w:before="0" w:after="1"/>
              <w:ind w:left="0" w:right="0" w:hanging="0"/>
              <w:jc w:val="left"/>
              <w:rPr/>
            </w:pPr>
            <w:r>
              <w:rPr/>
              <w:t> </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109" w:type="dxa"/>
            <w:tcBorders/>
            <w:vAlign w:val="center"/>
          </w:tcPr>
          <w:p>
            <w:pPr>
              <w:pStyle w:val="TableContents"/>
              <w:bidi w:val="0"/>
              <w:spacing w:before="0" w:after="1"/>
              <w:ind w:left="0" w:right="0" w:hanging="0"/>
              <w:jc w:val="right"/>
              <w:rPr/>
            </w:pPr>
            <w:r>
              <w:rPr/>
              <w:t>​</w:t>
            </w:r>
          </w:p>
        </w:tc>
        <w:tc>
          <w:tcPr>
            <w:tcW w:w="410" w:type="dxa"/>
            <w:tcBorders/>
            <w:vAlign w:val="center"/>
          </w:tcPr>
          <w:p>
            <w:pPr>
              <w:pStyle w:val="TableContents"/>
              <w:bidi w:val="0"/>
              <w:spacing w:before="0" w:after="1"/>
              <w:ind w:left="0" w:right="0" w:hanging="0"/>
              <w:jc w:val="left"/>
              <w:rPr/>
            </w:pPr>
            <w:r>
              <w:rPr/>
              <w:t> </w:t>
            </w:r>
          </w:p>
        </w:tc>
        <w:tc>
          <w:tcPr>
            <w:tcW w:w="11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w:t>
            </w:r>
          </w:p>
        </w:tc>
        <w:tc>
          <w:tcPr>
            <w:tcW w:w="375" w:type="dxa"/>
            <w:tcBorders/>
            <w:vAlign w:val="center"/>
          </w:tcPr>
          <w:p>
            <w:pPr>
              <w:pStyle w:val="TableContents"/>
              <w:bidi w:val="0"/>
              <w:spacing w:before="0" w:after="1"/>
              <w:ind w:left="0" w:right="0" w:hanging="0"/>
              <w:jc w:val="right"/>
              <w:rPr/>
            </w:pPr>
            <w:r>
              <w:rPr/>
              <w:t>​</w:t>
            </w:r>
          </w:p>
        </w:tc>
        <w:tc>
          <w:tcPr>
            <w:tcW w:w="343" w:type="dxa"/>
            <w:tcBorders/>
            <w:vAlign w:val="center"/>
          </w:tcPr>
          <w:p>
            <w:pPr>
              <w:pStyle w:val="TableContents"/>
              <w:bidi w:val="0"/>
              <w:spacing w:before="0" w:after="1"/>
              <w:ind w:left="0" w:right="0" w:hanging="0"/>
              <w:jc w:val="left"/>
              <w:rPr/>
            </w:pPr>
            <w:r>
              <w:rPr/>
              <w:t> </w:t>
            </w:r>
          </w:p>
        </w:tc>
        <w:tc>
          <w:tcPr>
            <w:tcW w:w="9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158" w:type="dxa"/>
            <w:tcBorders/>
            <w:vAlign w:val="center"/>
          </w:tcPr>
          <w:p>
            <w:pPr>
              <w:pStyle w:val="TableContents"/>
              <w:bidi w:val="0"/>
              <w:spacing w:before="0" w:after="1"/>
              <w:ind w:left="0" w:right="0" w:hanging="0"/>
              <w:jc w:val="left"/>
              <w:rPr/>
            </w:pPr>
            <w:r>
              <w:rPr/>
              <w:t>​</w:t>
            </w:r>
          </w:p>
        </w:tc>
      </w:tr>
      <w:tr>
        <w:trPr/>
        <w:tc>
          <w:tcPr>
            <w:tcW w:w="3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Variable lease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4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w:t>
            </w:r>
          </w:p>
        </w:tc>
        <w:tc>
          <w:tcPr>
            <w:tcW w:w="326" w:type="dxa"/>
            <w:tcBorders/>
            <w:shd w:fill="CCEEFF" w:val="clear"/>
            <w:vAlign w:val="center"/>
          </w:tcPr>
          <w:p>
            <w:pPr>
              <w:pStyle w:val="TableContents"/>
              <w:bidi w:val="0"/>
              <w:spacing w:before="0" w:after="1"/>
              <w:ind w:left="0" w:right="0" w:hanging="0"/>
              <w:jc w:val="right"/>
              <w:rPr/>
            </w:pPr>
            <w:r>
              <w:rPr/>
              <w:t>​</w:t>
            </w:r>
          </w:p>
        </w:tc>
        <w:tc>
          <w:tcPr>
            <w:tcW w:w="3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c>
          <w:tcPr>
            <w:tcW w:w="109" w:type="dxa"/>
            <w:tcBorders/>
            <w:shd w:fill="CCEEFF" w:val="clear"/>
            <w:vAlign w:val="center"/>
          </w:tcPr>
          <w:p>
            <w:pPr>
              <w:pStyle w:val="TableContents"/>
              <w:bidi w:val="0"/>
              <w:spacing w:before="0" w:after="1"/>
              <w:ind w:left="0" w:right="0" w:hanging="0"/>
              <w:jc w:val="right"/>
              <w:rPr/>
            </w:pPr>
            <w:r>
              <w:rPr/>
              <w:t>​</w:t>
            </w:r>
          </w:p>
        </w:tc>
        <w:tc>
          <w:tcPr>
            <w:tcW w:w="4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910</w:t>
            </w:r>
          </w:p>
        </w:tc>
        <w:tc>
          <w:tcPr>
            <w:tcW w:w="375" w:type="dxa"/>
            <w:tcBorders/>
            <w:shd w:fill="CCEEFF" w:val="clear"/>
            <w:vAlign w:val="center"/>
          </w:tcPr>
          <w:p>
            <w:pPr>
              <w:pStyle w:val="TableContents"/>
              <w:bidi w:val="0"/>
              <w:spacing w:before="0" w:after="1"/>
              <w:ind w:left="0" w:right="0" w:hanging="0"/>
              <w:jc w:val="right"/>
              <w:rPr/>
            </w:pPr>
            <w:r>
              <w:rPr/>
              <w:t>​</w:t>
            </w:r>
          </w:p>
        </w:tc>
        <w:tc>
          <w:tcPr>
            <w:tcW w:w="3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w:t>
            </w:r>
          </w:p>
        </w:tc>
        <w:tc>
          <w:tcPr>
            <w:tcW w:w="158" w:type="dxa"/>
            <w:tcBorders/>
            <w:shd w:fill="CCEEFF" w:val="clear"/>
            <w:vAlign w:val="center"/>
          </w:tcPr>
          <w:p>
            <w:pPr>
              <w:pStyle w:val="TableContents"/>
              <w:bidi w:val="0"/>
              <w:spacing w:before="0" w:after="1"/>
              <w:ind w:left="0" w:right="0" w:hanging="0"/>
              <w:jc w:val="left"/>
              <w:rPr/>
            </w:pPr>
            <w:r>
              <w:rPr/>
              <w:t>​</w:t>
            </w:r>
          </w:p>
        </w:tc>
      </w:tr>
      <w:tr>
        <w:trPr/>
        <w:tc>
          <w:tcPr>
            <w:tcW w:w="3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expense</w:t>
            </w:r>
          </w:p>
        </w:tc>
        <w:tc>
          <w:tcPr>
            <w:tcW w:w="326" w:type="dxa"/>
            <w:tcBorders/>
            <w:vAlign w:val="center"/>
          </w:tcPr>
          <w:p>
            <w:pPr>
              <w:pStyle w:val="TableContents"/>
              <w:bidi w:val="0"/>
              <w:spacing w:before="0" w:after="1"/>
              <w:ind w:left="0" w:right="0" w:hanging="0"/>
              <w:jc w:val="left"/>
              <w:rPr/>
            </w:pPr>
            <w:r>
              <w:rPr/>
              <w:t>​</w:t>
            </w:r>
          </w:p>
        </w:tc>
        <w:tc>
          <w:tcPr>
            <w:tcW w:w="4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3,274</w:t>
            </w:r>
          </w:p>
        </w:tc>
        <w:tc>
          <w:tcPr>
            <w:tcW w:w="326" w:type="dxa"/>
            <w:tcBorders/>
            <w:vAlign w:val="center"/>
          </w:tcPr>
          <w:p>
            <w:pPr>
              <w:pStyle w:val="TableContents"/>
              <w:bidi w:val="0"/>
              <w:spacing w:before="0" w:after="1"/>
              <w:ind w:left="0" w:right="0" w:hanging="0"/>
              <w:jc w:val="right"/>
              <w:rPr/>
            </w:pPr>
            <w:r>
              <w:rPr/>
              <w:t>​</w:t>
            </w:r>
          </w:p>
        </w:tc>
        <w:tc>
          <w:tcPr>
            <w:tcW w:w="3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2,519</w:t>
            </w:r>
          </w:p>
        </w:tc>
        <w:tc>
          <w:tcPr>
            <w:tcW w:w="109" w:type="dxa"/>
            <w:tcBorders/>
            <w:vAlign w:val="center"/>
          </w:tcPr>
          <w:p>
            <w:pPr>
              <w:pStyle w:val="TableContents"/>
              <w:bidi w:val="0"/>
              <w:spacing w:before="0" w:after="1"/>
              <w:ind w:left="0" w:right="0" w:hanging="0"/>
              <w:jc w:val="right"/>
              <w:rPr/>
            </w:pPr>
            <w:r>
              <w:rPr/>
              <w:t>​</w:t>
            </w:r>
          </w:p>
        </w:tc>
        <w:tc>
          <w:tcPr>
            <w:tcW w:w="4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9,073</w:t>
            </w:r>
          </w:p>
        </w:tc>
        <w:tc>
          <w:tcPr>
            <w:tcW w:w="375" w:type="dxa"/>
            <w:tcBorders/>
            <w:vAlign w:val="center"/>
          </w:tcPr>
          <w:p>
            <w:pPr>
              <w:pStyle w:val="TableContents"/>
              <w:bidi w:val="0"/>
              <w:spacing w:before="0" w:after="1"/>
              <w:ind w:left="0" w:right="0" w:hanging="0"/>
              <w:jc w:val="right"/>
              <w:rPr/>
            </w:pPr>
            <w:r>
              <w:rPr/>
              <w:t>​</w:t>
            </w:r>
          </w:p>
        </w:tc>
        <w:tc>
          <w:tcPr>
            <w:tcW w:w="3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7,369</w:t>
            </w:r>
          </w:p>
        </w:tc>
        <w:tc>
          <w:tcPr>
            <w:tcW w:w="158"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1104" w:name="Tc_FbbLFuGW8UKG4mtN38GSQQ_10_8"/>
      <w:bookmarkStart w:id="1105" w:name="Tc_hvv3DtfSU0uV6g3j5rMHcA_10_5"/>
      <w:bookmarkStart w:id="1106" w:name="Tc_KUyaj5-41EWR-VN95YnApg_10_2"/>
      <w:bookmarkStart w:id="1107" w:name="Tc_xua-ejJCGU6GX_5FsbRQCw_10_0"/>
      <w:bookmarkStart w:id="1108" w:name="Tc_Uqko2r6dZkOvXuOMvORfVA_9_0"/>
      <w:bookmarkStart w:id="1109" w:name="Tc_jBi7EWTlMEy9Mm5DGycHrA_8_0"/>
      <w:bookmarkStart w:id="1110" w:name="Tc_8Qf-sOrdeEqVAcJC01CkKQ_7_0"/>
      <w:bookmarkStart w:id="1111" w:name="Tc_pwIAv7CMyUe4FmpKXzc5dQ_6_0"/>
      <w:bookmarkStart w:id="1112" w:name="Tc_sykg-enZHkyJ6Def0yYErg_5_0"/>
      <w:bookmarkStart w:id="1113" w:name="Tc_6FcIdyOyzUiNQPU_Jc_15A_4_0"/>
      <w:bookmarkStart w:id="1114" w:name="Tc_25J6wFeitUaRfsb2F0aVCw_3_0"/>
      <w:bookmarkStart w:id="1115" w:name="Tc_bl-ZD5-yo02BsJdNJoO9lA_2_8"/>
      <w:bookmarkStart w:id="1116" w:name="Tc_-apCFOrzhUyW7tNbtbkdpw_2_5"/>
      <w:bookmarkStart w:id="1117" w:name="Tc_W0-7cOxTvE66mRkRFSEL-w_2_2"/>
      <w:bookmarkStart w:id="1118" w:name="Tc_8sM93HUbgUqfibWM1accXw_2_0"/>
      <w:bookmarkStart w:id="1119" w:name="Tc_fXtDJlTDOka-cXRKaW8egA_1_8"/>
      <w:bookmarkStart w:id="1120" w:name="Tc_M1Xfi1pe3EWOlpwL7VxPFw_1_5"/>
      <w:bookmarkStart w:id="1121" w:name="Tc__r4mCz29VUKHQPbWSNwk5g_1_2"/>
      <w:bookmarkStart w:id="1122" w:name="Tc_9knN8FchR0Gm_twkE2U4fg_4_5"/>
      <w:bookmarkStart w:id="1123" w:name="Tc_V0G3xF824kiFtyde8pfBfQ_4_2"/>
      <w:bookmarkStart w:id="1124" w:name="Tc_mg0BKMrQZkWHYLPQ1I9Kmw_4_0"/>
      <w:bookmarkStart w:id="1125" w:name="Tc_u2-198UCpEuOVKJZoaXC7w_3_0"/>
      <w:bookmarkStart w:id="1126" w:name="Tc_iBlL0qIVGUmpBLm-kAvp5g_2_5"/>
      <w:bookmarkStart w:id="1127" w:name="Tc_dcCTQgKUdki3n_ZIqkK_Dw_2_2"/>
      <w:bookmarkStart w:id="1128" w:name="Tc_4lcsJE1eR0qUhAgFRiIsig_1_2"/>
      <w:bookmarkStart w:id="1129" w:name="_9b3dacf1_da90_4578_824c_27a041c4d2a9"/>
      <w:bookmarkStart w:id="1130" w:name="Tc_p9glnqTpS0aauij4IsaVHA_7_8"/>
      <w:bookmarkStart w:id="1131" w:name="Tc_2MwRdjmTwE24DUMvsyr3CQ_7_4"/>
      <w:bookmarkStart w:id="1132" w:name="Tc_ndcBonUisEOmKgY9lO5n3Q_7_0"/>
      <w:bookmarkStart w:id="1133" w:name="Tc_C-YRuhzTOkG1hMzWFwd01w_6_8"/>
      <w:bookmarkStart w:id="1134" w:name="Tc_xBWFpYrO-0qPgzTZWF6OgQ_6_4"/>
      <w:bookmarkStart w:id="1135" w:name="Tc_bR_js80KE0-Wig47Dq6WlA_6_0"/>
      <w:bookmarkStart w:id="1136" w:name="Tc_8kOK0QdZgUyFxzsL_jjeRA_5_0"/>
      <w:bookmarkStart w:id="1137" w:name="Tc_tXUB4T5SekKzkGWC9TkBdw_4_0"/>
      <w:bookmarkStart w:id="1138" w:name="Tc_V92yLr8i20KY3th3J_W20A_3_0"/>
      <w:bookmarkStart w:id="1139" w:name="Tc_wpwpWrYk6kmjyVL1oy-6UQ_2_0"/>
      <w:bookmarkStart w:id="1140" w:name="Tc_CqkuQrL7M0GCIaTIx_BCzQ_1_6"/>
      <w:bookmarkStart w:id="1141" w:name="Tc_1C0VK0FYvkKDZ6NmP2A4Zg_1_2"/>
      <w:bookmarkStart w:id="1142" w:name="_287c2824_3a29_4d4e_a373_2bed7ddeb363"/>
      <w:bookmarkStart w:id="1143" w:name="Tc_3lID_CWhXEaSc_ZsppC-AA_15_5"/>
      <w:bookmarkStart w:id="1144" w:name="Tc_1pGJ7GDdCkmtl7CZtJshmg_15_2"/>
      <w:bookmarkStart w:id="1145" w:name="Tc__E3HRS0wC0uoH8c5r1DIug_15_0"/>
      <w:bookmarkStart w:id="1146" w:name="Tc_w2Scgyk1bkm1uVGBe908uQ_14_0"/>
      <w:bookmarkStart w:id="1147" w:name="Tc_twZkBoiBDkeVrD1AN3fZQQ_13_8"/>
      <w:bookmarkStart w:id="1148" w:name="Tc_USwtsIHjNUeo3KJvAaYHTg_13_0"/>
      <w:bookmarkStart w:id="1149" w:name="Tc_k2rD5g0vBEu8KuL-ioIBPg_12_0"/>
      <w:bookmarkStart w:id="1150" w:name="Tc_7w9x-VR2IEysWabiADC9DA_11_0"/>
      <w:bookmarkStart w:id="1151" w:name="Tc_UE3IgIb0LUSsNUUkgFx6-w_10_8"/>
      <w:bookmarkStart w:id="1152" w:name="Tc_0QWTCoxcTEqDks5P25gMAA_10_5"/>
      <w:bookmarkStart w:id="1153" w:name="Tc_dDBp20nOQk60PKc7XDuv_w_10_2"/>
      <w:bookmarkStart w:id="1154" w:name="Tc_HDEXccyutkinoAa0d71X-g_10_0"/>
      <w:bookmarkStart w:id="1155" w:name="Tc_Amfri1Hx7kiYxlLd-TcU0Q_9_0"/>
      <w:bookmarkStart w:id="1156" w:name="Tc_7BX_OL-_DU-tQwm3FoWXsg_8_0"/>
      <w:bookmarkStart w:id="1157" w:name="Tc_NJC6U5BpYk-z3YSN2B7wbw_6_5"/>
      <w:bookmarkStart w:id="1158" w:name="Tc_ksAnxSEcM0uKsApYrF3mzg_6_2"/>
      <w:bookmarkStart w:id="1159" w:name="Tc_AgyCIZpOhk2IY4Wt96zNbg_6_0"/>
      <w:bookmarkStart w:id="1160" w:name="Tc_keOvjrqc-kGCWPEwA0Pxrw_5_0"/>
      <w:bookmarkStart w:id="1161" w:name="Tc_NxtDO_Lh706n7bxFKW2L2g_4_8"/>
      <w:bookmarkStart w:id="1162" w:name="Tc_TOcYMGMda0uBh2U-HG82Qw_4_5"/>
      <w:bookmarkStart w:id="1163" w:name="Tc_T9NS_B5TU0idEcn-TuHn0Q_4_2"/>
      <w:bookmarkStart w:id="1164" w:name="Tc_6hF0TKDsnk2bk9wu7J69xA_4_0"/>
      <w:bookmarkStart w:id="1165" w:name="Tc_Fi4tOWLw7kOq9jSGNr3HGw_3_0"/>
      <w:bookmarkStart w:id="1166" w:name="Tc_N8rVTybGGk6ihpwoH74lMQ_1_8"/>
      <w:bookmarkStart w:id="1167" w:name="Tc_QjBHLLXvkEeVYW23UrXHqQ_1_5"/>
      <w:bookmarkStart w:id="1168" w:name="Tc_XqffrzViKUK5GiW9lIqV9Q_1_2"/>
      <w:bookmarkStart w:id="1169" w:name="_eb06d3c8_f19c_4aba_ac96_dccf925cda9c"/>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r>
        <w:rPr>
          <w:rFonts w:ascii="Times New Roman;Times;serif" w:hAnsi="Times New Roman;Times;serif"/>
          <w:sz w:val="20"/>
        </w:rPr>
        <w:t>Operating and finance lease right-of-use assets and lease-related liabilities as of September 30, 2023 and December 31, 2022 were as follows (in thousands):</w:t>
      </w:r>
    </w:p>
    <w:tbl>
      <w:tblPr>
        <w:tblW w:w="9734" w:type="dxa"/>
        <w:jc w:val="left"/>
        <w:tblInd w:w="0" w:type="dxa"/>
        <w:tblLayout w:type="fixed"/>
        <w:tblCellMar>
          <w:top w:w="0" w:type="dxa"/>
          <w:left w:w="0" w:type="dxa"/>
          <w:bottom w:w="0" w:type="dxa"/>
          <w:right w:w="0" w:type="dxa"/>
        </w:tblCellMar>
      </w:tblPr>
      <w:tblGrid>
        <w:gridCol w:w="2506"/>
        <w:gridCol w:w="109"/>
        <w:gridCol w:w="367"/>
        <w:gridCol w:w="1178"/>
        <w:gridCol w:w="109"/>
        <w:gridCol w:w="357"/>
        <w:gridCol w:w="1143"/>
        <w:gridCol w:w="109"/>
        <w:gridCol w:w="3856"/>
      </w:tblGrid>
      <w:tr>
        <w:trPr/>
        <w:tc>
          <w:tcPr>
            <w:tcW w:w="25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33045" cy="175260"/>
                      <wp:effectExtent l="0" t="0" r="0" b="0"/>
                      <wp:wrapNone/>
                      <wp:docPr id="167" name="Frame167"/>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748030" cy="175260"/>
                      <wp:effectExtent l="0" t="0" r="0" b="0"/>
                      <wp:wrapNone/>
                      <wp:docPr id="168" name="Frame168"/>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9215" cy="175260"/>
                      <wp:effectExtent l="0" t="0" r="0" b="0"/>
                      <wp:wrapNone/>
                      <wp:docPr id="169" name="Frame1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26695" cy="175260"/>
                      <wp:effectExtent l="0" t="0" r="0" b="0"/>
                      <wp:wrapNone/>
                      <wp:docPr id="170" name="Frame170"/>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725805" cy="175260"/>
                      <wp:effectExtent l="0" t="0" r="0" b="0"/>
                      <wp:wrapNone/>
                      <wp:docPr id="171" name="Frame171"/>
                      <a:graphic xmlns:a="http://schemas.openxmlformats.org/drawingml/2006/main">
                        <a:graphicData uri="http://schemas.microsoft.com/office/word/2010/wordprocessingShape">
                          <wps:wsp>
                            <wps:cNvSpPr txBox="1"/>
                            <wps:spPr>
                              <a:xfrm>
                                <a:off x="0" y="0"/>
                                <a:ext cx="725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448560" cy="175260"/>
                      <wp:effectExtent l="0" t="0" r="0" b="0"/>
                      <wp:wrapNone/>
                      <wp:docPr id="172" name="Frame172"/>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109" w:type="dxa"/>
            <w:tcBorders/>
            <w:vAlign w:val="center"/>
          </w:tcPr>
          <w:p>
            <w:pPr>
              <w:pStyle w:val="TableContents"/>
              <w:bidi w:val="0"/>
              <w:spacing w:before="0" w:after="1"/>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Classification</w:t>
            </w:r>
          </w:p>
        </w:tc>
      </w:tr>
      <w:tr>
        <w:trPr/>
        <w:tc>
          <w:tcPr>
            <w:tcW w:w="250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114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85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right-of-use assets:</w:t>
            </w:r>
          </w:p>
        </w:tc>
        <w:tc>
          <w:tcPr>
            <w:tcW w:w="109"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114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85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31,934</w:t>
            </w:r>
          </w:p>
        </w:tc>
        <w:tc>
          <w:tcPr>
            <w:tcW w:w="109"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38,308</w:t>
            </w:r>
          </w:p>
        </w:tc>
        <w:tc>
          <w:tcPr>
            <w:tcW w:w="109" w:type="dxa"/>
            <w:tcBorders/>
            <w:shd w:fill="CCEEFF" w:val="clear"/>
            <w:vAlign w:val="center"/>
          </w:tcPr>
          <w:p>
            <w:pPr>
              <w:pStyle w:val="TableContents"/>
              <w:bidi w:val="0"/>
              <w:spacing w:before="0" w:after="1"/>
              <w:ind w:left="0" w:right="0" w:hanging="0"/>
              <w:jc w:val="left"/>
              <w:rPr/>
            </w:pPr>
            <w:r>
              <w:rPr/>
              <w:t>​</w:t>
            </w:r>
          </w:p>
        </w:tc>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109" w:type="dxa"/>
            <w:tcBorders/>
            <w:vAlign w:val="center"/>
          </w:tcPr>
          <w:p>
            <w:pPr>
              <w:pStyle w:val="TableContents"/>
              <w:bidi w:val="0"/>
              <w:spacing w:before="0" w:after="1"/>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4,013</w:t>
            </w:r>
          </w:p>
        </w:tc>
        <w:tc>
          <w:tcPr>
            <w:tcW w:w="109" w:type="dxa"/>
            <w:tcBorders/>
            <w:vAlign w:val="center"/>
          </w:tcPr>
          <w:p>
            <w:pPr>
              <w:pStyle w:val="TableContents"/>
              <w:bidi w:val="0"/>
              <w:spacing w:before="0" w:after="1"/>
              <w:ind w:left="0" w:right="0" w:hanging="0"/>
              <w:jc w:val="left"/>
              <w:rPr/>
            </w:pPr>
            <w:r>
              <w:rPr/>
              <w:t>​</w:t>
            </w:r>
          </w:p>
        </w:tc>
        <w:tc>
          <w:tcPr>
            <w:tcW w:w="35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c>
          <w:tcPr>
            <w:tcW w:w="109" w:type="dxa"/>
            <w:tcBorders/>
            <w:vAlign w:val="center"/>
          </w:tcPr>
          <w:p>
            <w:pPr>
              <w:pStyle w:val="TableContents"/>
              <w:bidi w:val="0"/>
              <w:spacing w:before="0" w:after="1"/>
              <w:ind w:left="0" w:right="0" w:hanging="0"/>
              <w:jc w:val="left"/>
              <w:rPr/>
            </w:pPr>
            <w:r>
              <w:rPr/>
              <w:t>​</w:t>
            </w:r>
          </w:p>
        </w:tc>
        <w:tc>
          <w:tcPr>
            <w:tcW w:w="385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right-of-use assets</w:t>
            </w:r>
          </w:p>
        </w:tc>
        <w:tc>
          <w:tcPr>
            <w:tcW w:w="109" w:type="dxa"/>
            <w:tcBorders/>
            <w:shd w:fill="CCEEFF" w:val="clear"/>
            <w:vAlign w:val="center"/>
          </w:tcPr>
          <w:p>
            <w:pPr>
              <w:pStyle w:val="TableContents"/>
              <w:bidi w:val="0"/>
              <w:spacing w:before="0" w:after="1"/>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35,947</w:t>
            </w:r>
          </w:p>
        </w:tc>
        <w:tc>
          <w:tcPr>
            <w:tcW w:w="109" w:type="dxa"/>
            <w:tcBorders/>
            <w:shd w:fill="CCEEFF" w:val="clear"/>
            <w:vAlign w:val="center"/>
          </w:tcPr>
          <w:p>
            <w:pPr>
              <w:pStyle w:val="TableContents"/>
              <w:bidi w:val="0"/>
              <w:spacing w:before="0" w:after="1"/>
              <w:ind w:left="0" w:right="0" w:hanging="0"/>
              <w:jc w:val="left"/>
              <w:rPr/>
            </w:pPr>
            <w:r>
              <w:rPr/>
              <w:t>​</w:t>
            </w:r>
          </w:p>
        </w:tc>
        <w:tc>
          <w:tcPr>
            <w:tcW w:w="3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38,624</w:t>
            </w:r>
          </w:p>
        </w:tc>
        <w:tc>
          <w:tcPr>
            <w:tcW w:w="109" w:type="dxa"/>
            <w:tcBorders/>
            <w:shd w:fill="CCEEFF" w:val="clear"/>
            <w:vAlign w:val="center"/>
          </w:tcPr>
          <w:p>
            <w:pPr>
              <w:pStyle w:val="TableContents"/>
              <w:bidi w:val="0"/>
              <w:spacing w:before="0" w:after="1"/>
              <w:ind w:left="0" w:right="0" w:hanging="0"/>
              <w:jc w:val="left"/>
              <w:rPr/>
            </w:pPr>
            <w:r>
              <w:rPr/>
              <w:t>​</w:t>
            </w:r>
          </w:p>
        </w:tc>
        <w:tc>
          <w:tcPr>
            <w:tcW w:w="385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114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85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Lease-related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114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85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w:t>
            </w:r>
          </w:p>
        </w:tc>
        <w:tc>
          <w:tcPr>
            <w:tcW w:w="109"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114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85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6,895</w:t>
            </w:r>
          </w:p>
        </w:tc>
        <w:tc>
          <w:tcPr>
            <w:tcW w:w="109"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6,923</w:t>
            </w:r>
          </w:p>
        </w:tc>
        <w:tc>
          <w:tcPr>
            <w:tcW w:w="109" w:type="dxa"/>
            <w:tcBorders/>
            <w:shd w:fill="CCEEFF" w:val="clear"/>
            <w:vAlign w:val="center"/>
          </w:tcPr>
          <w:p>
            <w:pPr>
              <w:pStyle w:val="TableContents"/>
              <w:bidi w:val="0"/>
              <w:spacing w:before="0" w:after="1"/>
              <w:ind w:left="0" w:right="0" w:hanging="0"/>
              <w:jc w:val="left"/>
              <w:rPr/>
            </w:pPr>
            <w:r>
              <w:rPr/>
              <w:t>​</w:t>
            </w:r>
          </w:p>
        </w:tc>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operating lease liabilities</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109"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703</w:t>
            </w:r>
          </w:p>
        </w:tc>
        <w:tc>
          <w:tcPr>
            <w:tcW w:w="109"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114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109" w:type="dxa"/>
            <w:tcBorders/>
            <w:vAlign w:val="center"/>
          </w:tcPr>
          <w:p>
            <w:pPr>
              <w:pStyle w:val="TableContents"/>
              <w:bidi w:val="0"/>
              <w:spacing w:before="0" w:after="1"/>
              <w:ind w:left="0" w:right="0" w:hanging="0"/>
              <w:jc w:val="left"/>
              <w:rPr/>
            </w:pPr>
            <w:r>
              <w:rPr/>
              <w:t>​</w:t>
            </w:r>
          </w:p>
        </w:tc>
        <w:tc>
          <w:tcPr>
            <w:tcW w:w="385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w:t>
            </w:r>
          </w:p>
        </w:tc>
        <w:tc>
          <w:tcPr>
            <w:tcW w:w="109"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114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85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26,121</w:t>
            </w:r>
          </w:p>
        </w:tc>
        <w:tc>
          <w:tcPr>
            <w:tcW w:w="109"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114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32,391</w:t>
            </w:r>
          </w:p>
        </w:tc>
        <w:tc>
          <w:tcPr>
            <w:tcW w:w="109" w:type="dxa"/>
            <w:tcBorders/>
            <w:vAlign w:val="center"/>
          </w:tcPr>
          <w:p>
            <w:pPr>
              <w:pStyle w:val="TableContents"/>
              <w:bidi w:val="0"/>
              <w:spacing w:before="0" w:after="1"/>
              <w:ind w:left="0" w:right="0" w:hanging="0"/>
              <w:jc w:val="left"/>
              <w:rPr/>
            </w:pPr>
            <w:r>
              <w:rPr/>
              <w:t>​</w:t>
            </w:r>
          </w:p>
        </w:tc>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operating lease liabilities</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109"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3,402</w:t>
            </w:r>
          </w:p>
        </w:tc>
        <w:tc>
          <w:tcPr>
            <w:tcW w:w="109" w:type="dxa"/>
            <w:tcBorders/>
            <w:shd w:fill="CCEEFF" w:val="clear"/>
            <w:vAlign w:val="center"/>
          </w:tcPr>
          <w:p>
            <w:pPr>
              <w:pStyle w:val="TableContents"/>
              <w:bidi w:val="0"/>
              <w:spacing w:before="0" w:after="1"/>
              <w:ind w:left="0" w:right="0" w:hanging="0"/>
              <w:jc w:val="left"/>
              <w:rPr/>
            </w:pPr>
            <w:r>
              <w:rPr/>
              <w:t>​</w:t>
            </w:r>
          </w:p>
        </w:tc>
        <w:tc>
          <w:tcPr>
            <w:tcW w:w="3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c>
          <w:tcPr>
            <w:tcW w:w="109" w:type="dxa"/>
            <w:tcBorders/>
            <w:shd w:fill="CCEEFF" w:val="clear"/>
            <w:vAlign w:val="center"/>
          </w:tcPr>
          <w:p>
            <w:pPr>
              <w:pStyle w:val="TableContents"/>
              <w:bidi w:val="0"/>
              <w:spacing w:before="0" w:after="1"/>
              <w:ind w:left="0" w:right="0" w:hanging="0"/>
              <w:jc w:val="left"/>
              <w:rPr/>
            </w:pPr>
            <w:r>
              <w:rPr/>
              <w:t>​</w:t>
            </w:r>
          </w:p>
        </w:tc>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109" w:type="dxa"/>
            <w:tcBorders/>
            <w:vAlign w:val="center"/>
          </w:tcPr>
          <w:p>
            <w:pPr>
              <w:pStyle w:val="TableContents"/>
              <w:bidi w:val="0"/>
              <w:spacing w:before="0" w:after="1"/>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37,121</w:t>
            </w:r>
          </w:p>
        </w:tc>
        <w:tc>
          <w:tcPr>
            <w:tcW w:w="109" w:type="dxa"/>
            <w:tcBorders/>
            <w:vAlign w:val="center"/>
          </w:tcPr>
          <w:p>
            <w:pPr>
              <w:pStyle w:val="TableContents"/>
              <w:bidi w:val="0"/>
              <w:spacing w:before="0" w:after="1"/>
              <w:ind w:left="0" w:right="0" w:hanging="0"/>
              <w:jc w:val="left"/>
              <w:rPr/>
            </w:pPr>
            <w:r>
              <w:rPr/>
              <w:t>​</w:t>
            </w:r>
          </w:p>
        </w:tc>
        <w:tc>
          <w:tcPr>
            <w:tcW w:w="35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39,612</w:t>
            </w:r>
          </w:p>
        </w:tc>
        <w:tc>
          <w:tcPr>
            <w:tcW w:w="109" w:type="dxa"/>
            <w:tcBorders/>
            <w:vAlign w:val="center"/>
          </w:tcPr>
          <w:p>
            <w:pPr>
              <w:pStyle w:val="TableContents"/>
              <w:bidi w:val="0"/>
              <w:spacing w:before="0" w:after="1"/>
              <w:ind w:left="0" w:right="0" w:hanging="0"/>
              <w:jc w:val="left"/>
              <w:rPr/>
            </w:pPr>
            <w:r>
              <w:rPr/>
              <w:t>​</w:t>
            </w:r>
          </w:p>
        </w:tc>
        <w:tc>
          <w:tcPr>
            <w:tcW w:w="385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table below presents supplemental information related to leases as of September 30, 2023 and December 31, 2022:</w:t>
      </w:r>
    </w:p>
    <w:p>
      <w:pPr>
        <w:pStyle w:val="TextBody"/>
        <w:bidi w:val="0"/>
        <w:spacing w:before="0" w:after="240"/>
        <w:ind w:left="0" w:right="0" w:firstLine="360"/>
        <w:jc w:val="left"/>
        <w:rPr>
          <w:shd w:fill="FFFF00" w:val="clear"/>
        </w:rPr>
      </w:pPr>
      <w:r>
        <w:rPr>
          <w:shd w:fill="FFFF00" w:val="clear"/>
        </w:rPr>
        <w:t>​</w:t>
      </w:r>
    </w:p>
    <w:tbl>
      <w:tblPr>
        <w:tblW w:w="7440" w:type="dxa"/>
        <w:jc w:val="left"/>
        <w:tblInd w:w="0" w:type="dxa"/>
        <w:tblLayout w:type="fixed"/>
        <w:tblCellMar>
          <w:top w:w="0" w:type="dxa"/>
          <w:left w:w="0" w:type="dxa"/>
          <w:bottom w:w="0" w:type="dxa"/>
          <w:right w:w="0" w:type="dxa"/>
        </w:tblCellMar>
      </w:tblPr>
      <w:tblGrid>
        <w:gridCol w:w="3916"/>
        <w:gridCol w:w="326"/>
        <w:gridCol w:w="227"/>
        <w:gridCol w:w="752"/>
        <w:gridCol w:w="566"/>
        <w:gridCol w:w="109"/>
        <w:gridCol w:w="212"/>
        <w:gridCol w:w="709"/>
        <w:gridCol w:w="623"/>
      </w:tblGrid>
      <w:tr>
        <w:trPr/>
        <w:tc>
          <w:tcPr>
            <w:tcW w:w="3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44145" cy="175260"/>
                      <wp:effectExtent l="0" t="0" r="0" b="0"/>
                      <wp:wrapNone/>
                      <wp:docPr id="174" name="Frame174"/>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77520" cy="175260"/>
                      <wp:effectExtent l="0" t="0" r="0" b="0"/>
                      <wp:wrapNone/>
                      <wp:docPr id="175" name="Frame175"/>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359410" cy="175260"/>
                      <wp:effectExtent l="0" t="0" r="0" b="0"/>
                      <wp:wrapNone/>
                      <wp:docPr id="176" name="Frame176"/>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9215" cy="175260"/>
                      <wp:effectExtent l="0" t="0" r="0" b="0"/>
                      <wp:wrapNone/>
                      <wp:docPr id="177" name="Frame1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4620" cy="175260"/>
                      <wp:effectExtent l="0" t="0" r="0" b="0"/>
                      <wp:wrapNone/>
                      <wp:docPr id="178" name="Frame178"/>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50215" cy="175260"/>
                      <wp:effectExtent l="0" t="0" r="0" b="0"/>
                      <wp:wrapNone/>
                      <wp:docPr id="179" name="Frame179"/>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95605" cy="175260"/>
                      <wp:effectExtent l="0" t="0" r="0" b="0"/>
                      <wp:wrapNone/>
                      <wp:docPr id="180" name="Frame180"/>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4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109" w:type="dxa"/>
            <w:tcBorders/>
            <w:vAlign w:val="center"/>
          </w:tcPr>
          <w:p>
            <w:pPr>
              <w:pStyle w:val="TableContents"/>
              <w:bidi w:val="0"/>
              <w:spacing w:before="0" w:after="1"/>
              <w:ind w:left="0" w:right="0" w:hanging="0"/>
              <w:jc w:val="left"/>
              <w:rPr/>
            </w:pPr>
            <w:r>
              <w:rPr/>
              <w:t>​</w:t>
            </w:r>
          </w:p>
        </w:tc>
        <w:tc>
          <w:tcPr>
            <w:tcW w:w="154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 (years)</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752" w:type="dxa"/>
            <w:tcBorders/>
            <w:shd w:fill="CCEEFF" w:val="clear"/>
            <w:vAlign w:val="center"/>
          </w:tcPr>
          <w:p>
            <w:pPr>
              <w:pStyle w:val="TableContents"/>
              <w:bidi w:val="0"/>
              <w:spacing w:before="0" w:after="1"/>
              <w:ind w:left="0" w:right="0" w:hanging="0"/>
              <w:jc w:val="right"/>
              <w:rPr/>
            </w:pPr>
            <w:r>
              <w:rPr/>
              <w:t>​</w:t>
            </w:r>
          </w:p>
        </w:tc>
        <w:tc>
          <w:tcPr>
            <w:tcW w:w="56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09"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left"/>
              <w:rPr/>
            </w:pPr>
            <w:r>
              <w:rPr/>
              <w:t>​</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5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623" w:type="dxa"/>
            <w:tcBorders/>
            <w:vAlign w:val="center"/>
          </w:tcPr>
          <w:p>
            <w:pPr>
              <w:pStyle w:val="TableContents"/>
              <w:bidi w:val="0"/>
              <w:spacing w:before="0" w:after="1"/>
              <w:ind w:left="0" w:right="0" w:hanging="0"/>
              <w:jc w:val="left"/>
              <w:rPr/>
            </w:pPr>
            <w:r>
              <w:rPr/>
              <w:t>​</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56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623" w:type="dxa"/>
            <w:tcBorders/>
            <w:shd w:fill="CCEEFF" w:val="clear"/>
            <w:vAlign w:val="center"/>
          </w:tcPr>
          <w:p>
            <w:pPr>
              <w:pStyle w:val="TableContents"/>
              <w:bidi w:val="0"/>
              <w:spacing w:before="0" w:after="1"/>
              <w:ind w:left="0" w:right="0" w:hanging="0"/>
              <w:jc w:val="left"/>
              <w:rPr/>
            </w:pPr>
            <w:r>
              <w:rPr/>
              <w:t>​</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52" w:type="dxa"/>
            <w:tcBorders/>
            <w:vAlign w:val="center"/>
          </w:tcPr>
          <w:p>
            <w:pPr>
              <w:pStyle w:val="TableContents"/>
              <w:bidi w:val="0"/>
              <w:spacing w:before="0" w:after="1"/>
              <w:ind w:left="0" w:right="0" w:hanging="0"/>
              <w:jc w:val="right"/>
              <w:rPr/>
            </w:pPr>
            <w:r>
              <w:rPr/>
              <w:t>​</w:t>
            </w:r>
          </w:p>
        </w:tc>
        <w:tc>
          <w:tcPr>
            <w:tcW w:w="5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09" w:type="dxa"/>
            <w:tcBorders/>
            <w:vAlign w:val="center"/>
          </w:tcPr>
          <w:p>
            <w:pPr>
              <w:pStyle w:val="TableContents"/>
              <w:bidi w:val="0"/>
              <w:spacing w:before="0" w:after="1"/>
              <w:ind w:left="0" w:right="0" w:hanging="0"/>
              <w:jc w:val="right"/>
              <w:rPr/>
            </w:pPr>
            <w:r>
              <w:rPr/>
              <w:t>​</w:t>
            </w:r>
          </w:p>
        </w:tc>
        <w:tc>
          <w:tcPr>
            <w:tcW w:w="623" w:type="dxa"/>
            <w:tcBorders/>
            <w:vAlign w:val="center"/>
          </w:tcPr>
          <w:p>
            <w:pPr>
              <w:pStyle w:val="TableContents"/>
              <w:bidi w:val="0"/>
              <w:spacing w:before="0" w:after="1"/>
              <w:ind w:left="0" w:right="0" w:hanging="0"/>
              <w:jc w:val="left"/>
              <w:rPr/>
            </w:pPr>
            <w:r>
              <w:rPr/>
              <w:t>​</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5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7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6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5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7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6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left"/>
        <w:rPr>
          <w:shd w:fill="FFFF00" w:val="clear"/>
        </w:rPr>
      </w:pPr>
      <w:r>
        <w:rPr>
          <w:shd w:fill="FFFF00" w:val="clea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table below presents supplemental information related to the cash flows for operating leases recorded on the condensed consolidated statements of cash flows (in thousands):</w:t>
      </w:r>
    </w:p>
    <w:p>
      <w:pPr>
        <w:pStyle w:val="TextBody"/>
        <w:bidi w:val="0"/>
        <w:spacing w:before="0" w:after="240"/>
        <w:ind w:left="0" w:right="0" w:firstLine="360"/>
        <w:jc w:val="left"/>
        <w:rPr/>
      </w:pPr>
      <w:r>
        <w:rPr/>
        <w:t>​</w:t>
      </w:r>
    </w:p>
    <w:tbl>
      <w:tblPr>
        <w:tblW w:w="9558" w:type="dxa"/>
        <w:jc w:val="left"/>
        <w:tblInd w:w="0" w:type="dxa"/>
        <w:tblLayout w:type="fixed"/>
        <w:tblCellMar>
          <w:top w:w="0" w:type="dxa"/>
          <w:left w:w="0" w:type="dxa"/>
          <w:bottom w:w="0" w:type="dxa"/>
          <w:right w:w="0" w:type="dxa"/>
        </w:tblCellMar>
      </w:tblPr>
      <w:tblGrid>
        <w:gridCol w:w="5866"/>
        <w:gridCol w:w="326"/>
        <w:gridCol w:w="416"/>
        <w:gridCol w:w="1129"/>
        <w:gridCol w:w="377"/>
        <w:gridCol w:w="348"/>
        <w:gridCol w:w="942"/>
        <w:gridCol w:w="154"/>
      </w:tblGrid>
      <w:tr>
        <w:trPr/>
        <w:tc>
          <w:tcPr>
            <w:tcW w:w="58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64160" cy="175260"/>
                      <wp:effectExtent l="0" t="0" r="0" b="0"/>
                      <wp:wrapNone/>
                      <wp:docPr id="182" name="Frame182"/>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716915" cy="175260"/>
                      <wp:effectExtent l="0" t="0" r="0" b="0"/>
                      <wp:wrapNone/>
                      <wp:docPr id="183" name="Frame183"/>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39395" cy="175260"/>
                      <wp:effectExtent l="0" t="0" r="0" b="0"/>
                      <wp:wrapNone/>
                      <wp:docPr id="184" name="Frame184"/>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20980" cy="175260"/>
                      <wp:effectExtent l="0" t="0" r="0" b="0"/>
                      <wp:wrapNone/>
                      <wp:docPr id="185" name="Frame185"/>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98170" cy="175260"/>
                      <wp:effectExtent l="0" t="0" r="0" b="0"/>
                      <wp:wrapNone/>
                      <wp:docPr id="186" name="Frame186"/>
                      <a:graphic xmlns:a="http://schemas.openxmlformats.org/drawingml/2006/main">
                        <a:graphicData uri="http://schemas.microsoft.com/office/word/2010/wordprocessingShape">
                          <wps:wsp>
                            <wps:cNvSpPr txBox="1"/>
                            <wps:spPr>
                              <a:xfrm>
                                <a:off x="0" y="0"/>
                                <a:ext cx="598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97790" cy="175260"/>
                      <wp:effectExtent l="0" t="0" r="0" b="0"/>
                      <wp:wrapNone/>
                      <wp:docPr id="187" name="Frame18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12"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Fiscal Quarters Ended</w:t>
            </w:r>
          </w:p>
        </w:tc>
        <w:tc>
          <w:tcPr>
            <w:tcW w:w="154" w:type="dxa"/>
            <w:tcBorders/>
            <w:vAlign w:val="center"/>
          </w:tcPr>
          <w:p>
            <w:pPr>
              <w:pStyle w:val="TableContents"/>
              <w:bidi w:val="0"/>
              <w:spacing w:before="0" w:after="1"/>
              <w:ind w:left="0" w:right="0" w:hanging="0"/>
              <w:jc w:val="left"/>
              <w:rPr/>
            </w:pPr>
            <w:r>
              <w:rPr/>
              <w:t>​</w:t>
            </w:r>
          </w:p>
        </w:tc>
      </w:tr>
      <w:tr>
        <w:trPr/>
        <w:tc>
          <w:tcPr>
            <w:tcW w:w="58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77" w:type="dxa"/>
            <w:tcBorders/>
            <w:vAlign w:val="center"/>
          </w:tcPr>
          <w:p>
            <w:pPr>
              <w:pStyle w:val="TableContents"/>
              <w:bidi w:val="0"/>
              <w:spacing w:before="0" w:after="1"/>
              <w:ind w:left="0" w:right="0" w:hanging="0"/>
              <w:jc w:val="left"/>
              <w:rPr/>
            </w:pPr>
            <w:r>
              <w:rPr/>
              <w:t>    </w:t>
            </w:r>
          </w:p>
        </w:tc>
        <w:tc>
          <w:tcPr>
            <w:tcW w:w="12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October 1, 2022</w:t>
            </w:r>
          </w:p>
        </w:tc>
        <w:tc>
          <w:tcPr>
            <w:tcW w:w="154" w:type="dxa"/>
            <w:tcBorders/>
            <w:vAlign w:val="center"/>
          </w:tcPr>
          <w:p>
            <w:pPr>
              <w:pStyle w:val="TableContents"/>
              <w:bidi w:val="0"/>
              <w:spacing w:before="0" w:after="1"/>
              <w:ind w:left="0" w:right="0" w:hanging="0"/>
              <w:jc w:val="left"/>
              <w:rPr/>
            </w:pPr>
            <w:r>
              <w:rPr/>
              <w:t>​</w:t>
            </w:r>
          </w:p>
        </w:tc>
      </w:tr>
      <w:tr>
        <w:trPr/>
        <w:tc>
          <w:tcPr>
            <w:tcW w:w="5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1129" w:type="dxa"/>
            <w:tcBorders/>
            <w:shd w:fill="CCEEFF" w:val="clear"/>
            <w:vAlign w:val="center"/>
          </w:tcPr>
          <w:p>
            <w:pPr>
              <w:pStyle w:val="TableContents"/>
              <w:bidi w:val="0"/>
              <w:spacing w:before="0" w:after="1"/>
              <w:ind w:left="0" w:right="0" w:hanging="0"/>
              <w:jc w:val="right"/>
              <w:rPr/>
            </w:pPr>
            <w:r>
              <w:rPr/>
              <w:t>​</w:t>
            </w:r>
          </w:p>
        </w:tc>
        <w:tc>
          <w:tcPr>
            <w:tcW w:w="377" w:type="dxa"/>
            <w:tcBorders/>
            <w:shd w:fill="CCEEFF" w:val="clear"/>
            <w:vAlign w:val="center"/>
          </w:tcPr>
          <w:p>
            <w:pPr>
              <w:pStyle w:val="TableContents"/>
              <w:bidi w:val="0"/>
              <w:spacing w:before="0" w:after="1"/>
              <w:ind w:left="0" w:right="0" w:hanging="0"/>
              <w:jc w:val="left"/>
              <w:rPr/>
            </w:pPr>
            <w:r>
              <w:rPr/>
              <w:t>​</w:t>
            </w:r>
          </w:p>
        </w:tc>
        <w:tc>
          <w:tcPr>
            <w:tcW w:w="348"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cash flows for operating leases</w:t>
            </w:r>
          </w:p>
        </w:tc>
        <w:tc>
          <w:tcPr>
            <w:tcW w:w="32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5,763</w:t>
            </w:r>
          </w:p>
        </w:tc>
        <w:tc>
          <w:tcPr>
            <w:tcW w:w="377" w:type="dxa"/>
            <w:tcBorders/>
            <w:vAlign w:val="center"/>
          </w:tcPr>
          <w:p>
            <w:pPr>
              <w:pStyle w:val="TableContents"/>
              <w:bidi w:val="0"/>
              <w:spacing w:before="0" w:after="1"/>
              <w:ind w:left="0" w:right="0" w:hanging="0"/>
              <w:jc w:val="left"/>
              <w:rPr/>
            </w:pPr>
            <w:r>
              <w:rPr/>
              <w:t>​</w:t>
            </w:r>
          </w:p>
        </w:tc>
        <w:tc>
          <w:tcPr>
            <w:tcW w:w="3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5,249</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summarizes maturities of operating lease liabilities as of September 30, 2023 (in thousands):</w:t>
      </w:r>
    </w:p>
    <w:p>
      <w:pPr>
        <w:pStyle w:val="TextBody"/>
        <w:bidi w:val="0"/>
        <w:spacing w:before="0" w:after="240"/>
        <w:ind w:left="0" w:right="0" w:firstLine="360"/>
        <w:jc w:val="left"/>
        <w:rPr>
          <w:shd w:fill="FFFF00" w:val="clear"/>
        </w:rPr>
      </w:pPr>
      <w:r>
        <w:rPr>
          <w:shd w:fill="FFFF00" w:val="clear"/>
        </w:rPr>
        <w:t>​</w:t>
      </w:r>
    </w:p>
    <w:tbl>
      <w:tblPr>
        <w:tblW w:w="6662" w:type="dxa"/>
        <w:jc w:val="left"/>
        <w:tblInd w:w="0" w:type="dxa"/>
        <w:tblLayout w:type="fixed"/>
        <w:tblCellMar>
          <w:top w:w="0" w:type="dxa"/>
          <w:left w:w="0" w:type="dxa"/>
          <w:bottom w:w="0" w:type="dxa"/>
          <w:right w:w="0" w:type="dxa"/>
        </w:tblCellMar>
      </w:tblPr>
      <w:tblGrid>
        <w:gridCol w:w="2566"/>
        <w:gridCol w:w="326"/>
        <w:gridCol w:w="319"/>
        <w:gridCol w:w="1046"/>
        <w:gridCol w:w="109"/>
        <w:gridCol w:w="320"/>
        <w:gridCol w:w="865"/>
        <w:gridCol w:w="109"/>
        <w:gridCol w:w="211"/>
        <w:gridCol w:w="791"/>
      </w:tblGrid>
      <w:tr>
        <w:trPr/>
        <w:tc>
          <w:tcPr>
            <w:tcW w:w="25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2565" cy="175260"/>
                      <wp:effectExtent l="0" t="0" r="0" b="0"/>
                      <wp:wrapNone/>
                      <wp:docPr id="189" name="Frame189"/>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64210" cy="175260"/>
                      <wp:effectExtent l="0" t="0" r="0" b="0"/>
                      <wp:wrapNone/>
                      <wp:docPr id="190" name="Frame190"/>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9215" cy="175260"/>
                      <wp:effectExtent l="0" t="0" r="0" b="0"/>
                      <wp:wrapNone/>
                      <wp:docPr id="191" name="Frame1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3200" cy="175260"/>
                      <wp:effectExtent l="0" t="0" r="0" b="0"/>
                      <wp:wrapNone/>
                      <wp:docPr id="192" name="Frame192"/>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49275" cy="175260"/>
                      <wp:effectExtent l="0" t="0" r="0" b="0"/>
                      <wp:wrapNone/>
                      <wp:docPr id="193" name="Frame193"/>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260"/>
                      <wp:effectExtent l="0" t="0" r="0" b="0"/>
                      <wp:wrapNone/>
                      <wp:docPr id="194" name="Frame1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5"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02285" cy="175260"/>
                      <wp:effectExtent l="0" t="0" r="0" b="0"/>
                      <wp:wrapNone/>
                      <wp:docPr id="196" name="Frame196"/>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 Leases</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Finance Leases</w:t>
            </w:r>
          </w:p>
        </w:tc>
        <w:tc>
          <w:tcPr>
            <w:tcW w:w="109" w:type="dxa"/>
            <w:tcBorders/>
            <w:vAlign w:val="center"/>
          </w:tcPr>
          <w:p>
            <w:pPr>
              <w:pStyle w:val="TableContents"/>
              <w:bidi w:val="0"/>
              <w:spacing w:before="0" w:after="1"/>
              <w:ind w:left="0" w:right="0" w:hanging="0"/>
              <w:jc w:val="left"/>
              <w:rPr/>
            </w:pPr>
            <w:r>
              <w:rPr/>
              <w:t>​</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Remainder of fiscal 2023</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2,183</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2,436</w:t>
            </w:r>
          </w:p>
        </w:tc>
      </w:tr>
      <w:tr>
        <w:trPr/>
        <w:tc>
          <w:tcPr>
            <w:tcW w:w="25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8,108</w:t>
            </w:r>
          </w:p>
        </w:tc>
        <w:tc>
          <w:tcPr>
            <w:tcW w:w="109"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8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9,121</w:t>
            </w:r>
          </w:p>
        </w:tc>
      </w:tr>
      <w:tr>
        <w:trPr/>
        <w:tc>
          <w:tcPr>
            <w:tcW w:w="25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7,309</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8,267</w:t>
            </w:r>
          </w:p>
        </w:tc>
      </w:tr>
      <w:tr>
        <w:trPr/>
        <w:tc>
          <w:tcPr>
            <w:tcW w:w="25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5,789</w:t>
            </w:r>
          </w:p>
        </w:tc>
        <w:tc>
          <w:tcPr>
            <w:tcW w:w="109"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8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6,654</w:t>
            </w:r>
          </w:p>
        </w:tc>
      </w:tr>
      <w:tr>
        <w:trPr/>
        <w:tc>
          <w:tcPr>
            <w:tcW w:w="25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4,086</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4,906</w:t>
            </w:r>
          </w:p>
        </w:tc>
      </w:tr>
      <w:tr>
        <w:trPr/>
        <w:tc>
          <w:tcPr>
            <w:tcW w:w="25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10,738</w:t>
            </w:r>
          </w:p>
        </w:tc>
        <w:tc>
          <w:tcPr>
            <w:tcW w:w="109"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11,925</w:t>
            </w:r>
          </w:p>
        </w:tc>
      </w:tr>
      <w:tr>
        <w:trPr/>
        <w:tc>
          <w:tcPr>
            <w:tcW w:w="25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38,213</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43,309</w:t>
            </w:r>
          </w:p>
        </w:tc>
      </w:tr>
      <w:tr>
        <w:trPr/>
        <w:tc>
          <w:tcPr>
            <w:tcW w:w="25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326" w:type="dxa"/>
            <w:tcBorders/>
            <w:vAlign w:val="center"/>
          </w:tcPr>
          <w:p>
            <w:pPr>
              <w:pStyle w:val="TableContents"/>
              <w:bidi w:val="0"/>
              <w:spacing w:before="0" w:after="1"/>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(5,197)</w:t>
            </w:r>
          </w:p>
        </w:tc>
        <w:tc>
          <w:tcPr>
            <w:tcW w:w="109"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(6,188)</w:t>
            </w:r>
          </w:p>
        </w:tc>
      </w:tr>
      <w:tr>
        <w:trPr/>
        <w:tc>
          <w:tcPr>
            <w:tcW w:w="25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lease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33,016</w:t>
            </w:r>
          </w:p>
        </w:tc>
        <w:tc>
          <w:tcPr>
            <w:tcW w:w="109"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37,121</w:t>
            </w:r>
          </w:p>
        </w:tc>
      </w:tr>
    </w:tbl>
    <w:p>
      <w:pPr>
        <w:pStyle w:val="TextBody"/>
        <w:bidi w:val="0"/>
        <w:spacing w:before="0" w:after="240"/>
        <w:ind w:left="0" w:right="0" w:firstLine="360"/>
        <w:jc w:val="left"/>
        <w:rPr>
          <w:shd w:fill="FFFF00" w:val="clear"/>
        </w:rPr>
      </w:pPr>
      <w:r>
        <w:rPr>
          <w:shd w:fill="FFFF00" w:val="clear"/>
        </w:rPr>
        <w:t>​</w:t>
      </w:r>
    </w:p>
    <w:p>
      <w:pPr>
        <w:pStyle w:val="TextBody"/>
        <w:bidi w:val="0"/>
        <w:spacing w:before="0" w:after="240"/>
        <w:ind w:left="0" w:right="0" w:firstLine="360"/>
        <w:jc w:val="left"/>
        <w:rPr>
          <w:shd w:fill="FFFF00" w:val="clear"/>
        </w:rPr>
      </w:pPr>
      <w:r>
        <w:rPr>
          <w:shd w:fill="FFFF00" w:val="clea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70" w:name="Tc_ZYsh7tA6B0utbXaTjOQV8g_7_11"/>
      <w:bookmarkStart w:id="1171" w:name="Tc_7iJ3dSYc9Eug8ZA5kh3v3Q_7_8"/>
      <w:bookmarkStart w:id="1172" w:name="Tc_GboNwmzA6kqh7YqP3ihXfg_7_5"/>
      <w:bookmarkStart w:id="1173" w:name="Tc_pCL2hQS6zEebimAJSLC5Gw_7_2"/>
      <w:bookmarkStart w:id="1174" w:name="Tc_Nvshgm5_3EiSRn6vGz7nPw_6_0"/>
      <w:bookmarkStart w:id="1175" w:name="Tc_Uu2wmsCwFkuktr5iO03XMA_5_0"/>
      <w:bookmarkStart w:id="1176" w:name="Tc_QW-vQW4aUkyMXWUGVNBQEQ_4_11"/>
      <w:bookmarkStart w:id="1177" w:name="Tc_EjClGIfxhUeAjc4SbbKuKA_4_8"/>
      <w:bookmarkStart w:id="1178" w:name="Tc__FbnCxu5rUqA4QKQ3PCI0Q_4_5"/>
      <w:bookmarkStart w:id="1179" w:name="Tc_1mcblXZiPU-31QbBYCyaYQ_4_2"/>
      <w:bookmarkStart w:id="1180" w:name="Tc_czyXBS836kmWXeLsV414fg_4_0"/>
      <w:bookmarkStart w:id="1181" w:name="Tc_UJ-PdbQX6ki1g689sL0i3Q_3_11"/>
      <w:bookmarkStart w:id="1182" w:name="Tc_pI4mOOAppEG7_2uV25p8xg_3_8"/>
      <w:bookmarkStart w:id="1183" w:name="Tc_V5dNGkUm7kSGt61wRvYecQ_3_5"/>
      <w:bookmarkStart w:id="1184" w:name="Tc_OuMobl-D3EyyUoWIJY8YgA_3_2"/>
      <w:bookmarkStart w:id="1185" w:name="Tc_VAgyxzdVjkaXcIjfXbZZZg_2_8"/>
      <w:bookmarkStart w:id="1186" w:name="Tc_R8rQ7oSXeUWcjyCs6KVMnw_2_2"/>
      <w:bookmarkStart w:id="1187" w:name="_ade3beae_a49c_494f_96bb_7a99869258c1"/>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r>
        <w:rPr>
          <w:rFonts w:ascii="Times New Roman;Times;serif" w:hAnsi="Times New Roman;Times;serif"/>
          <w:b/>
          <w:sz w:val="20"/>
        </w:rPr>
        <w:t>9. NET SALES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Company’s disaggregation of net sales by product line (in thousands):</w:t>
      </w:r>
    </w:p>
    <w:p>
      <w:pPr>
        <w:pStyle w:val="TextBody"/>
        <w:bidi w:val="0"/>
        <w:spacing w:before="0" w:after="240"/>
        <w:ind w:left="0" w:right="0" w:firstLine="360"/>
        <w:jc w:val="left"/>
        <w:rPr/>
      </w:pPr>
      <w:r>
        <w:rPr/>
        <w:t>​</w:t>
      </w:r>
    </w:p>
    <w:tbl>
      <w:tblPr>
        <w:tblW w:w="9252" w:type="dxa"/>
        <w:jc w:val="left"/>
        <w:tblInd w:w="0" w:type="dxa"/>
        <w:tblLayout w:type="fixed"/>
        <w:tblCellMar>
          <w:top w:w="0" w:type="dxa"/>
          <w:left w:w="0" w:type="dxa"/>
          <w:bottom w:w="0" w:type="dxa"/>
          <w:right w:w="0" w:type="dxa"/>
        </w:tblCellMar>
      </w:tblPr>
      <w:tblGrid>
        <w:gridCol w:w="2341"/>
        <w:gridCol w:w="326"/>
        <w:gridCol w:w="328"/>
        <w:gridCol w:w="1217"/>
        <w:gridCol w:w="326"/>
        <w:gridCol w:w="274"/>
        <w:gridCol w:w="1016"/>
        <w:gridCol w:w="109"/>
        <w:gridCol w:w="328"/>
        <w:gridCol w:w="1217"/>
        <w:gridCol w:w="326"/>
        <w:gridCol w:w="274"/>
        <w:gridCol w:w="1016"/>
        <w:gridCol w:w="154"/>
      </w:tblGrid>
      <w:tr>
        <w:trPr/>
        <w:tc>
          <w:tcPr>
            <w:tcW w:w="2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486535" cy="175260"/>
                      <wp:effectExtent l="0" t="0" r="0" b="0"/>
                      <wp:wrapNone/>
                      <wp:docPr id="197" name="Frame197"/>
                      <a:graphic xmlns:a="http://schemas.openxmlformats.org/drawingml/2006/main">
                        <a:graphicData uri="http://schemas.microsoft.com/office/word/2010/wordprocessingShape">
                          <wps:wsp>
                            <wps:cNvSpPr txBox="1"/>
                            <wps:spPr>
                              <a:xfrm>
                                <a:off x="0" y="0"/>
                                <a:ext cx="148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8280" cy="175260"/>
                      <wp:effectExtent l="0" t="0" r="0" b="0"/>
                      <wp:wrapNone/>
                      <wp:docPr id="199" name="Frame199"/>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772795" cy="175260"/>
                      <wp:effectExtent l="0" t="0" r="0" b="0"/>
                      <wp:wrapNone/>
                      <wp:docPr id="200" name="Frame200"/>
                      <a:graphic xmlns:a="http://schemas.openxmlformats.org/drawingml/2006/main">
                        <a:graphicData uri="http://schemas.microsoft.com/office/word/2010/wordprocessingShape">
                          <wps:wsp>
                            <wps:cNvSpPr txBox="1"/>
                            <wps:spPr>
                              <a:xfrm>
                                <a:off x="0" y="0"/>
                                <a:ext cx="772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2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73990" cy="175260"/>
                      <wp:effectExtent l="0" t="0" r="0" b="0"/>
                      <wp:wrapNone/>
                      <wp:docPr id="202" name="Frame202"/>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5160" cy="175260"/>
                      <wp:effectExtent l="0" t="0" r="0" b="0"/>
                      <wp:wrapNone/>
                      <wp:docPr id="203" name="Frame203"/>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9215" cy="175260"/>
                      <wp:effectExtent l="0" t="0" r="0" b="0"/>
                      <wp:wrapNone/>
                      <wp:docPr id="204" name="Frame2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8280" cy="175260"/>
                      <wp:effectExtent l="0" t="0" r="0" b="0"/>
                      <wp:wrapNone/>
                      <wp:docPr id="205" name="Frame205"/>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772795" cy="175260"/>
                      <wp:effectExtent l="0" t="0" r="0" b="0"/>
                      <wp:wrapNone/>
                      <wp:docPr id="206" name="Frame206"/>
                      <a:graphic xmlns:a="http://schemas.openxmlformats.org/drawingml/2006/main">
                        <a:graphicData uri="http://schemas.microsoft.com/office/word/2010/wordprocessingShape">
                          <wps:wsp>
                            <wps:cNvSpPr txBox="1"/>
                            <wps:spPr>
                              <a:xfrm>
                                <a:off x="0" y="0"/>
                                <a:ext cx="772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73990" cy="175260"/>
                      <wp:effectExtent l="0" t="0" r="0" b="0"/>
                      <wp:wrapNone/>
                      <wp:docPr id="208" name="Frame208"/>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5160" cy="175260"/>
                      <wp:effectExtent l="0" t="0" r="0" b="0"/>
                      <wp:wrapNone/>
                      <wp:docPr id="209" name="Frame209"/>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97790" cy="175260"/>
                      <wp:effectExtent l="0" t="0" r="0" b="0"/>
                      <wp:wrapNone/>
                      <wp:docPr id="210" name="Frame21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28" w:type="dxa"/>
            <w:tcBorders/>
            <w:vAlign w:val="center"/>
          </w:tcPr>
          <w:p>
            <w:pPr>
              <w:pStyle w:val="TableContents"/>
              <w:bidi w:val="0"/>
              <w:spacing w:before="0" w:after="0"/>
              <w:ind w:left="0" w:right="0" w:hanging="0"/>
              <w:jc w:val="left"/>
              <w:rPr/>
            </w:pPr>
            <w:r>
              <w:rPr/>
              <w:t>​</w:t>
            </w:r>
          </w:p>
        </w:tc>
        <w:tc>
          <w:tcPr>
            <w:tcW w:w="12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3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16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c>
          <w:tcPr>
            <w:tcW w:w="109" w:type="dxa"/>
            <w:tcBorders/>
            <w:vAlign w:val="center"/>
          </w:tcPr>
          <w:p>
            <w:pPr>
              <w:pStyle w:val="TableContents"/>
              <w:bidi w:val="0"/>
              <w:spacing w:before="0" w:after="0"/>
              <w:ind w:left="0" w:right="0" w:hanging="0"/>
              <w:jc w:val="left"/>
              <w:rPr/>
            </w:pPr>
            <w:r>
              <w:rPr/>
              <w:t>​</w:t>
            </w:r>
          </w:p>
        </w:tc>
        <w:tc>
          <w:tcPr>
            <w:tcW w:w="316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Fiscal Quarters Ended</w:t>
            </w:r>
          </w:p>
        </w:tc>
        <w:tc>
          <w:tcPr>
            <w:tcW w:w="154" w:type="dxa"/>
            <w:tcBorders/>
            <w:vAlign w:val="center"/>
          </w:tcPr>
          <w:p>
            <w:pPr>
              <w:pStyle w:val="TableContents"/>
              <w:bidi w:val="0"/>
              <w:spacing w:before="0" w:after="0"/>
              <w:ind w:left="0" w:right="0" w:hanging="0"/>
              <w:jc w:val="center"/>
              <w:rPr/>
            </w:pPr>
            <w:r>
              <w:rPr/>
              <w:t>​</w:t>
            </w:r>
          </w:p>
        </w:tc>
      </w:tr>
      <w:tr>
        <w:trPr/>
        <w:tc>
          <w:tcPr>
            <w:tcW w:w="23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left"/>
              <w:rPr/>
            </w:pPr>
            <w:r>
              <w:rPr/>
              <w:t>    </w:t>
            </w:r>
          </w:p>
        </w:tc>
        <w:tc>
          <w:tcPr>
            <w:tcW w:w="12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 2022</w:t>
            </w:r>
          </w:p>
        </w:tc>
        <w:tc>
          <w:tcPr>
            <w:tcW w:w="109" w:type="dxa"/>
            <w:tcBorders/>
            <w:vAlign w:val="center"/>
          </w:tcPr>
          <w:p>
            <w:pPr>
              <w:pStyle w:val="TableContents"/>
              <w:bidi w:val="0"/>
              <w:spacing w:before="0" w:after="0"/>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left"/>
              <w:rPr/>
            </w:pPr>
            <w:r>
              <w:rPr/>
              <w:t>    </w:t>
            </w:r>
          </w:p>
        </w:tc>
        <w:tc>
          <w:tcPr>
            <w:tcW w:w="12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 2022</w:t>
            </w:r>
          </w:p>
        </w:tc>
        <w:tc>
          <w:tcPr>
            <w:tcW w:w="154" w:type="dxa"/>
            <w:tcBorders/>
            <w:vAlign w:val="center"/>
          </w:tcPr>
          <w:p>
            <w:pPr>
              <w:pStyle w:val="TableContents"/>
              <w:bidi w:val="0"/>
              <w:spacing w:before="0" w:after="0"/>
              <w:ind w:left="0" w:right="0" w:hanging="0"/>
              <w:jc w:val="center"/>
              <w:rPr/>
            </w:pPr>
            <w:r>
              <w:rPr/>
              <w:t>​</w:t>
            </w:r>
          </w:p>
        </w:tc>
      </w:tr>
      <w:tr>
        <w:trPr/>
        <w:tc>
          <w:tcPr>
            <w:tcW w:w="2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In-ground Swimming Pools</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82,884</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102,334</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252,029</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326,290</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2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Covers</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47,460</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51,934</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108,961</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122,848</w:t>
            </w:r>
          </w:p>
        </w:tc>
        <w:tc>
          <w:tcPr>
            <w:tcW w:w="154" w:type="dxa"/>
            <w:tcBorders/>
            <w:vAlign w:val="center"/>
          </w:tcPr>
          <w:p>
            <w:pPr>
              <w:pStyle w:val="TableContents"/>
              <w:bidi w:val="0"/>
              <w:spacing w:before="0" w:after="0"/>
              <w:ind w:left="0" w:right="0" w:hanging="0"/>
              <w:jc w:val="right"/>
              <w:rPr/>
            </w:pPr>
            <w:r>
              <w:rPr/>
              <w:t>​</w:t>
            </w:r>
          </w:p>
        </w:tc>
      </w:tr>
      <w:tr>
        <w:trPr/>
        <w:tc>
          <w:tcPr>
            <w:tcW w:w="2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Liners</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30,434</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35,130</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114,635</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138,674</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23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160,778</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189,398</w:t>
            </w:r>
          </w:p>
        </w:tc>
        <w:tc>
          <w:tcPr>
            <w:tcW w:w="109"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475,625</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587,812</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 INCOME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effective income tax rate for the fiscal and three fiscal quarters ended September 30, 2023 was 52.1% and 140.7%, respectively, compared to 43.4% and 65.6% for the fiscal and three fiscal quarters ended October 1, 2022, respectively. The differences between the U.S. federal statutory income tax rate and the Company's effective income tax rates for the fiscal quarter ended September 30, 2023 and the fiscal quarter ended October 1, 2022 were primarily attributable to the discrete impacts of stock-based compensation expense for which there is no associated tax benefit.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October 15, 2023, the statute of limitations expired with respect to the Company’s 2019 U.S. Federal income tax return for which the Company has a liability related to uncertain tax positions recorded. As a result of the expiration of the statute of limitations, the Company will release the uncertain tax position liability with a corresponding net tax benefit of $7.5 million (a gross tax benefit of $10.7 million from the liability release offset by tax expense of $3.2 million from establishing a valuation allowance on an associated deferred tax asset) during the fourth fiscal quarter of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Inflation Reduction Act ("IRA") was effective beginning in 2023. Key provisions from the IRA include the implementation of a 15% corporate alternative minimum tax for corporations with book income in excess of $1 billion, an excise tax on the fair market value of stock buybacks (offset by the fair market value of stock issued in the same tax year), and significant tax incentives for energy and climate initiatives. Enactment of the new law has not impacted the Company’s financial condition, results of operations or cash flows for the period ended September 30, 2023 and the Company does not expect a material impact on our future results at this time. The Company will continue to monitor any impacts of further guidance on the IRA as released and assess any impacts as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11. STOCKHOLDERS’ EQUITY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Offering of Common Stock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January 11, 2022, the Company completed an offering of 13,800,000 shares of common stock, par value $0.0001 per share, including the exercise in full by the underwriters of their option to purchase up to 1,800,000 additional shares of common stock, at a public offering price of $19.50 per share. The Company received proceeds of $257.7 million from this offering, net of $11.4 million of underwriting fees. The proceeds of $257.7 million were used to purchase 13,800,000 shares of common stock from certain of the Company’s stockholders, primarily investment funds managed by the Sponsor and Wynnchurch Capital, L.P., and also a small percentage of shares of common stock owned by some of the Company’s directors and executive officers.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Repurchase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10, 2022, the Company approved a stock repurchase program (the “Repurchase Program”), which authorized the Company to repurchase up to $100 million of the Company’s shares of common stock over the next three years. The Company may effect these repurchases in open market transactions, privately negotiated purchases, or other acquisitions. The Company is not obligated to repurchase any of its shares of its common stock under the Repurchase Program and the timing and amount of any repurchases will depend on market conditions, the Company’s stock price, alternative uses of capital, the terms of the Company’s debt instruments, and other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September 30, 2023, $77.0 million remained available for share repurchases pursuant to the Repurchase Program. The Company did not repurchase any shares of its common stock during the fiscal quarter ended September 30, 2023. The Company accounts for the excess of the repurchase price over the par value of shares acquired as a reduction to additional paid-in capital.</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STOCK-BASED COMPENSATION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April 12, 2021, the Company’s stockholders approved the 2021 Omnibus Equity Incentive Plan (the “2021 Omnibus Equity Plan”), which became effective on April 22, 2021, upon pricing of its initial public offering. The 2021 Omnibus Equity Plan provides for the issuance of incentive stock options, non-qualified stock options, stock appreciation rights, restricted stock, restricted stock units, and other stock-based and cash-based awards. The maximum grant date fair value of cash and equity awards that may be awarded to a non-employee director under the 2021 Omnibus Equity Plan during any one fiscal year, together with any cash fees paid to such non-employee director during such fiscal year, is $750,000.</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2, 2023, at the 2023 annual meeting of stockholders the Company, the stockholders approved the first amendment (the “First Amendment”) to the Latham Group, Inc. 2021 Omnibus Equity Plan, which was previously approved by the Board of Directors of the Company. The First Amendment became effective upon stockholder approval, and provides for (i) an increase by 8,000,000 shares of the share pool, i.e. the maximum number of shares of the Company’s common stock that may be issued pursuant to awards granted under the 2021 Omnibus Equity Plan, (ii) a prohibition on recycling of shares withheld or remitted to pay taxes for all awards, (iii) a minimum vesting period of one year for all awards, with an exception for shares representing 5% of the share pool, and (iv) a prohibition on the transfer of stock options and stock appreciation rights for value or to third-party financial institutions without stockholder approval.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Except as amended by the First Amendment, the other terms of the 2021 Omnibus Equity Plan remain in full force and effect. Subsequent to the First Amendment, the maximum aggregate number of shares reserved for issuance under the 2021 Omnibus Equity Plan is 21,170,212 shares.</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1188" w:name="Tc_TzHx5FIpJk-OlTpUsJCA9g_8_4"/>
      <w:bookmarkStart w:id="1189" w:name="Tc_OobSgDkIzka1e8FdGnn9iA_8_0"/>
      <w:bookmarkStart w:id="1190" w:name="Tc_foIMOb7L1UKrBw5AexlI-A_7_0"/>
      <w:bookmarkStart w:id="1191" w:name="Tc_RcvR3-JHy0WfBVv5qvJsnA_6_0"/>
      <w:bookmarkStart w:id="1192" w:name="Tc_p2ouc09UF0SDpmxG8yiN3g_5_0"/>
      <w:bookmarkStart w:id="1193" w:name="Tc_l2rC10htaUqSQ270k_T5ng_4_4"/>
      <w:bookmarkStart w:id="1194" w:name="Tc_AfqiDOjNyEWQYbJu-e6HOA_4_0"/>
      <w:bookmarkStart w:id="1195" w:name="Tc_O4etFmm4vki7N_V-gs8tPg_3_4"/>
      <w:bookmarkStart w:id="1196" w:name="Tc_fDBA4JFGHUamMWih7U4cbA_3_2"/>
      <w:bookmarkStart w:id="1197" w:name="Tc_rIiHuyNOtU-xxY15UFGkuA_2_4"/>
      <w:bookmarkStart w:id="1198" w:name="Tc_S_5TOHqiZEmR5S_CI3ToYg_1_4"/>
      <w:bookmarkStart w:id="1199" w:name="_99138d50_82ad_466a_b926_b1a238ff273a"/>
      <w:bookmarkStart w:id="1200" w:name="Tc_Vrs2ZLYMH0ep_ozSc7J6sQ_6_3"/>
      <w:bookmarkStart w:id="1201" w:name="Tc_fKXOQS_5QkGePL7U7VXbgw_6_0"/>
      <w:bookmarkStart w:id="1202" w:name="Tc_qveWKAjBdE6pypTShr00RA_5_0"/>
      <w:bookmarkStart w:id="1203" w:name="Tc_y9vn721cRUuqUUG80Ujp1w_4_3"/>
      <w:bookmarkStart w:id="1204" w:name="Tc_vGJrNx02JUGIza3cOVmbQQ_4_0"/>
      <w:bookmarkStart w:id="1205" w:name="Tc_LZEKvc6SiEGLoWLMN2k4pA_3_3"/>
      <w:bookmarkStart w:id="1206" w:name="Tc_kilhwjeXmkeyKEhrsc0ONg_3_0"/>
      <w:bookmarkStart w:id="1207" w:name="Tc_ttFr8Z5OFUa1Dp9dassrfw_2_2"/>
      <w:bookmarkStart w:id="1208" w:name="Tc_Y8-8GuFo-Eq2lQm1sYlJoA_1_2"/>
      <w:bookmarkStart w:id="1209" w:name="_98d8666f_67e0_4010_adad_47bc897d5a76"/>
      <w:bookmarkStart w:id="1210" w:name="Tc_3HcYurud00-fJRV8hrD80w_6_3"/>
      <w:bookmarkStart w:id="1211" w:name="Tc_M0-JtaSRb0KwlR7_waTnrQ_6_0"/>
      <w:bookmarkStart w:id="1212" w:name="Tc_sCf77TerOkqYl0vbZiD2ZQ_5_0"/>
      <w:bookmarkStart w:id="1213" w:name="Tc_XwrQZ_EJnkG2hhHm8cHAqg_4_3"/>
      <w:bookmarkStart w:id="1214" w:name="Tc_DbVTZYSusk-rqZlBz0vAfg_4_0"/>
      <w:bookmarkStart w:id="1215" w:name="Tc_6V_1cTEY7kSfTPbL8WNNCg_3_3"/>
      <w:bookmarkStart w:id="1216" w:name="Tc_VNuROK-BT061U4Gw_UUf6A_3_0"/>
      <w:bookmarkStart w:id="1217" w:name="Tc_fa81oIe7QkCO8c5uaOBSzQ_2_2"/>
      <w:bookmarkStart w:id="1218" w:name="Tc_Nb3ESD5dQUK7ljm070QgLA_1_2"/>
      <w:bookmarkStart w:id="1219" w:name="_a0392439_e79c_48f4_b4c9_83e71f7a6e1e"/>
      <w:bookmarkStart w:id="1220" w:name="Tc_SxZjMa9si0OF4WgaYU7lMw_6_11"/>
      <w:bookmarkStart w:id="1221" w:name="Tc_bhcV1rbv10C7QrhKwVOdoQ_6_8"/>
      <w:bookmarkStart w:id="1222" w:name="Tc_jxwycCO-KESwATJ_r7KzFA_6_5"/>
      <w:bookmarkStart w:id="1223" w:name="Tc_RaeUGyhPP0amfoCLBFgCYQ_6_2"/>
      <w:bookmarkStart w:id="1224" w:name="Tc_CufJsso9zUOvCdeIA1KJKQ_5_0"/>
      <w:bookmarkStart w:id="1225" w:name="Tc_VsXb1MxzWE2cW2Vegjx0fQ_4_11"/>
      <w:bookmarkStart w:id="1226" w:name="Tc_AunER4YJs0mzRxjtedHwig_4_8"/>
      <w:bookmarkStart w:id="1227" w:name="Tc_6H5dq9AQVUGQfyuBaoQEsw_4_5"/>
      <w:bookmarkStart w:id="1228" w:name="Tc_drztoG4MIU-1iipKDqss3w_4_2"/>
      <w:bookmarkStart w:id="1229" w:name="Tc_lrHRUrQZ7k6qPJQZN1IAkQ_4_0"/>
      <w:bookmarkStart w:id="1230" w:name="Tc_3ckBjl6wSUO7HREZVjdYhg_3_11"/>
      <w:bookmarkStart w:id="1231" w:name="Tc_1w24rSMWQESIdDJ1t_UPVA_3_8"/>
      <w:bookmarkStart w:id="1232" w:name="Tc_E3bS7h3lDUSp7yV5ggx10Q_3_5"/>
      <w:bookmarkStart w:id="1233" w:name="Tc_oU2vN6ruk0CcYUKm7xUhCw_3_2"/>
      <w:bookmarkStart w:id="1234" w:name="Tc_2Fo9xn-BK0mlKiBNnh5VsQ_2_8"/>
      <w:bookmarkStart w:id="1235" w:name="Tc_rhavYsSp60WBQcrHdFpYwA_2_2"/>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r>
        <w:rPr>
          <w:rFonts w:ascii="Times New Roman;Times;serif" w:hAnsi="Times New Roman;Times;serif"/>
          <w:sz w:val="20"/>
        </w:rPr>
        <w:t>The following table summarizes the Company’s stock-based compensation expense (in thousands):</w:t>
      </w:r>
    </w:p>
    <w:p>
      <w:pPr>
        <w:pStyle w:val="TextBody"/>
        <w:bidi w:val="0"/>
        <w:spacing w:before="0" w:after="0"/>
        <w:ind w:left="0" w:right="0" w:hanging="0"/>
        <w:jc w:val="left"/>
        <w:rPr/>
      </w:pPr>
      <w:r>
        <w:rPr/>
        <w:t>​</w:t>
      </w:r>
    </w:p>
    <w:tbl>
      <w:tblPr>
        <w:tblW w:w="10035" w:type="dxa"/>
        <w:jc w:val="left"/>
        <w:tblInd w:w="0" w:type="dxa"/>
        <w:tblLayout w:type="fixed"/>
        <w:tblCellMar>
          <w:top w:w="0" w:type="dxa"/>
          <w:left w:w="0" w:type="dxa"/>
          <w:bottom w:w="0" w:type="dxa"/>
          <w:right w:w="0" w:type="dxa"/>
        </w:tblCellMar>
      </w:tblPr>
      <w:tblGrid>
        <w:gridCol w:w="3001"/>
        <w:gridCol w:w="326"/>
        <w:gridCol w:w="417"/>
        <w:gridCol w:w="1128"/>
        <w:gridCol w:w="326"/>
        <w:gridCol w:w="348"/>
        <w:gridCol w:w="942"/>
        <w:gridCol w:w="109"/>
        <w:gridCol w:w="367"/>
        <w:gridCol w:w="1178"/>
        <w:gridCol w:w="340"/>
        <w:gridCol w:w="307"/>
        <w:gridCol w:w="983"/>
        <w:gridCol w:w="109"/>
        <w:gridCol w:w="154"/>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905635" cy="175260"/>
                      <wp:effectExtent l="0" t="0" r="0" b="0"/>
                      <wp:wrapNone/>
                      <wp:docPr id="211" name="Frame211"/>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2"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64795" cy="175260"/>
                      <wp:effectExtent l="0" t="0" r="0" b="0"/>
                      <wp:wrapNone/>
                      <wp:docPr id="213" name="Frame213"/>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716280" cy="175260"/>
                      <wp:effectExtent l="0" t="0" r="0" b="0"/>
                      <wp:wrapNone/>
                      <wp:docPr id="214" name="Frame214"/>
                      <a:graphic xmlns:a="http://schemas.openxmlformats.org/drawingml/2006/main">
                        <a:graphicData uri="http://schemas.microsoft.com/office/word/2010/wordprocessingShape">
                          <wps:wsp>
                            <wps:cNvSpPr txBox="1"/>
                            <wps:spPr>
                              <a:xfrm>
                                <a:off x="0" y="0"/>
                                <a:ext cx="716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20980" cy="175260"/>
                      <wp:effectExtent l="0" t="0" r="0" b="0"/>
                      <wp:wrapNone/>
                      <wp:docPr id="216" name="Frame216"/>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98170" cy="175260"/>
                      <wp:effectExtent l="0" t="0" r="0" b="0"/>
                      <wp:wrapNone/>
                      <wp:docPr id="217" name="Frame217"/>
                      <a:graphic xmlns:a="http://schemas.openxmlformats.org/drawingml/2006/main">
                        <a:graphicData uri="http://schemas.microsoft.com/office/word/2010/wordprocessingShape">
                          <wps:wsp>
                            <wps:cNvSpPr txBox="1"/>
                            <wps:spPr>
                              <a:xfrm>
                                <a:off x="0" y="0"/>
                                <a:ext cx="598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9215" cy="175260"/>
                      <wp:effectExtent l="0" t="0" r="0" b="0"/>
                      <wp:wrapNone/>
                      <wp:docPr id="218" name="Frame2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33045" cy="175260"/>
                      <wp:effectExtent l="0" t="0" r="0" b="0"/>
                      <wp:wrapNone/>
                      <wp:docPr id="219" name="Frame219"/>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748030" cy="175260"/>
                      <wp:effectExtent l="0" t="0" r="0" b="0"/>
                      <wp:wrapNone/>
                      <wp:docPr id="220" name="Frame220"/>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5900" cy="175260"/>
                      <wp:effectExtent l="0" t="0" r="0" b="0"/>
                      <wp:wrapNone/>
                      <wp:docPr id="221" name="Frame221"/>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94945" cy="175260"/>
                      <wp:effectExtent l="0" t="0" r="0" b="0"/>
                      <wp:wrapNone/>
                      <wp:docPr id="222" name="Frame222"/>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24205" cy="175260"/>
                      <wp:effectExtent l="0" t="0" r="0" b="0"/>
                      <wp:wrapNone/>
                      <wp:docPr id="223" name="Frame223"/>
                      <a:graphic xmlns:a="http://schemas.openxmlformats.org/drawingml/2006/main">
                        <a:graphicData uri="http://schemas.microsoft.com/office/word/2010/wordprocessingShape">
                          <wps:wsp>
                            <wps:cNvSpPr txBox="1"/>
                            <wps:spPr>
                              <a:xfrm>
                                <a:off x="0" y="0"/>
                                <a:ext cx="624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9215" cy="175260"/>
                      <wp:effectExtent l="0" t="0" r="0" b="0"/>
                      <wp:wrapNone/>
                      <wp:docPr id="224" name="Frame2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97790" cy="175260"/>
                      <wp:effectExtent l="0" t="0" r="0" b="0"/>
                      <wp:wrapNone/>
                      <wp:docPr id="225" name="Frame22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left"/>
              <w:rPr/>
            </w:pPr>
            <w:r>
              <w:rPr/>
              <w:t>​</w:t>
            </w:r>
          </w:p>
        </w:tc>
        <w:tc>
          <w:tcPr>
            <w:tcW w:w="112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48"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8"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w:t>
            </w:r>
          </w:p>
        </w:tc>
        <w:tc>
          <w:tcPr>
            <w:tcW w:w="98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30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6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c>
          <w:tcPr>
            <w:tcW w:w="109" w:type="dxa"/>
            <w:tcBorders/>
            <w:vAlign w:val="center"/>
          </w:tcPr>
          <w:p>
            <w:pPr>
              <w:pStyle w:val="TableContents"/>
              <w:bidi w:val="0"/>
              <w:spacing w:before="0" w:after="1"/>
              <w:ind w:left="0" w:right="0" w:hanging="0"/>
              <w:jc w:val="left"/>
              <w:rPr/>
            </w:pPr>
            <w:r>
              <w:rPr/>
              <w:t>​</w:t>
            </w:r>
          </w:p>
        </w:tc>
        <w:tc>
          <w:tcPr>
            <w:tcW w:w="31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Fiscal Quarters Ended</w:t>
            </w:r>
          </w:p>
        </w:tc>
        <w:tc>
          <w:tcPr>
            <w:tcW w:w="109"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30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1"/>
              <w:ind w:left="0" w:right="0" w:hanging="0"/>
              <w:jc w:val="left"/>
              <w:rPr/>
            </w:pPr>
            <w:r>
              <w:rPr/>
              <w:t>    </w:t>
            </w:r>
          </w:p>
        </w:tc>
        <w:tc>
          <w:tcPr>
            <w:tcW w:w="12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October 1, 2022</w:t>
            </w:r>
          </w:p>
        </w:tc>
        <w:tc>
          <w:tcPr>
            <w:tcW w:w="109" w:type="dxa"/>
            <w:tcBorders/>
            <w:vAlign w:val="center"/>
          </w:tcPr>
          <w:p>
            <w:pPr>
              <w:pStyle w:val="TableContents"/>
              <w:bidi w:val="0"/>
              <w:spacing w:before="0" w:after="1"/>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40" w:type="dxa"/>
            <w:tcBorders/>
            <w:vAlign w:val="center"/>
          </w:tcPr>
          <w:p>
            <w:pPr>
              <w:pStyle w:val="TableContents"/>
              <w:bidi w:val="0"/>
              <w:spacing w:before="0" w:after="1"/>
              <w:ind w:left="0" w:right="0" w:hanging="0"/>
              <w:jc w:val="left"/>
              <w:rPr/>
            </w:pPr>
            <w:r>
              <w:rPr/>
              <w:t>    </w:t>
            </w:r>
          </w:p>
        </w:tc>
        <w:tc>
          <w:tcPr>
            <w:tcW w:w="12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October 1, 2022</w:t>
            </w:r>
          </w:p>
        </w:tc>
        <w:tc>
          <w:tcPr>
            <w:tcW w:w="109"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1"/>
              <w:ind w:left="0" w:right="0" w:hanging="0"/>
              <w:jc w:val="left"/>
              <w:rPr/>
            </w:pPr>
            <w:r>
              <w:rPr/>
              <w:t>​</w:t>
            </w:r>
          </w:p>
        </w:tc>
        <w:tc>
          <w:tcPr>
            <w:tcW w:w="4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26" w:type="dxa"/>
            <w:tcBorders/>
            <w:shd w:fill="CCEEFF" w:val="clear"/>
            <w:vAlign w:val="center"/>
          </w:tcPr>
          <w:p>
            <w:pPr>
              <w:pStyle w:val="TableContents"/>
              <w:bidi w:val="0"/>
              <w:spacing w:before="0" w:after="1"/>
              <w:ind w:left="0" w:right="0" w:hanging="0"/>
              <w:jc w:val="left"/>
              <w:rPr/>
            </w:pPr>
            <w:r>
              <w:rPr/>
              <w:t>​</w:t>
            </w:r>
          </w:p>
        </w:tc>
        <w:tc>
          <w:tcPr>
            <w:tcW w:w="3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w:t>
            </w:r>
          </w:p>
        </w:tc>
        <w:tc>
          <w:tcPr>
            <w:tcW w:w="109"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40"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3,046</w:t>
            </w:r>
          </w:p>
        </w:tc>
        <w:tc>
          <w:tcPr>
            <w:tcW w:w="109"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vAlign w:val="center"/>
          </w:tcPr>
          <w:p>
            <w:pPr>
              <w:pStyle w:val="TableContents"/>
              <w:bidi w:val="0"/>
              <w:spacing w:before="0" w:after="1"/>
              <w:ind w:left="0" w:right="0" w:hanging="0"/>
              <w:jc w:val="left"/>
              <w:rPr/>
            </w:pPr>
            <w:r>
              <w:rPr/>
              <w:t>​</w:t>
            </w:r>
          </w:p>
        </w:tc>
        <w:tc>
          <w:tcPr>
            <w:tcW w:w="4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2,211</w:t>
            </w:r>
          </w:p>
        </w:tc>
        <w:tc>
          <w:tcPr>
            <w:tcW w:w="326" w:type="dxa"/>
            <w:tcBorders/>
            <w:vAlign w:val="center"/>
          </w:tcPr>
          <w:p>
            <w:pPr>
              <w:pStyle w:val="TableContents"/>
              <w:bidi w:val="0"/>
              <w:spacing w:before="0" w:after="1"/>
              <w:ind w:left="0" w:right="0" w:hanging="0"/>
              <w:jc w:val="left"/>
              <w:rPr/>
            </w:pPr>
            <w:r>
              <w:rPr/>
              <w:t>​</w:t>
            </w:r>
          </w:p>
        </w:tc>
        <w:tc>
          <w:tcPr>
            <w:tcW w:w="34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6,331</w:t>
            </w:r>
          </w:p>
        </w:tc>
        <w:tc>
          <w:tcPr>
            <w:tcW w:w="109" w:type="dxa"/>
            <w:tcBorders/>
            <w:vAlign w:val="center"/>
          </w:tcPr>
          <w:p>
            <w:pPr>
              <w:pStyle w:val="TableContents"/>
              <w:bidi w:val="0"/>
              <w:spacing w:before="0" w:after="1"/>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14,944</w:t>
            </w:r>
          </w:p>
        </w:tc>
        <w:tc>
          <w:tcPr>
            <w:tcW w:w="340" w:type="dxa"/>
            <w:tcBorders/>
            <w:vAlign w:val="center"/>
          </w:tcPr>
          <w:p>
            <w:pPr>
              <w:pStyle w:val="TableContents"/>
              <w:bidi w:val="0"/>
              <w:spacing w:before="0" w:after="1"/>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37,369</w:t>
            </w:r>
          </w:p>
        </w:tc>
        <w:tc>
          <w:tcPr>
            <w:tcW w:w="109"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30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2,354</w:t>
            </w:r>
          </w:p>
        </w:tc>
        <w:tc>
          <w:tcPr>
            <w:tcW w:w="326" w:type="dxa"/>
            <w:tcBorders/>
            <w:shd w:fill="CCEEFF" w:val="clear"/>
            <w:vAlign w:val="center"/>
          </w:tcPr>
          <w:p>
            <w:pPr>
              <w:pStyle w:val="TableContents"/>
              <w:bidi w:val="0"/>
              <w:spacing w:before="0" w:after="1"/>
              <w:ind w:left="0" w:right="0" w:hanging="0"/>
              <w:jc w:val="left"/>
              <w:rPr/>
            </w:pPr>
            <w:r>
              <w:rPr/>
              <w:t>​</w:t>
            </w:r>
          </w:p>
        </w:tc>
        <w:tc>
          <w:tcPr>
            <w:tcW w:w="3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7,061</w:t>
            </w:r>
          </w:p>
        </w:tc>
        <w:tc>
          <w:tcPr>
            <w:tcW w:w="109" w:type="dxa"/>
            <w:tcBorders/>
            <w:shd w:fill="CCEEFF" w:val="clear"/>
            <w:vAlign w:val="center"/>
          </w:tcPr>
          <w:p>
            <w:pPr>
              <w:pStyle w:val="TableContents"/>
              <w:bidi w:val="0"/>
              <w:spacing w:before="0" w:after="1"/>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14,887</w:t>
            </w:r>
          </w:p>
        </w:tc>
        <w:tc>
          <w:tcPr>
            <w:tcW w:w="340" w:type="dxa"/>
            <w:tcBorders/>
            <w:shd w:fill="CCEEFF" w:val="clear"/>
            <w:vAlign w:val="center"/>
          </w:tcPr>
          <w:p>
            <w:pPr>
              <w:pStyle w:val="TableContents"/>
              <w:bidi w:val="0"/>
              <w:spacing w:before="0" w:after="1"/>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40,415</w:t>
            </w:r>
          </w:p>
        </w:tc>
        <w:tc>
          <w:tcPr>
            <w:tcW w:w="109"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September 30, 2023, total unrecognized stock-based compensation expense related to all unvested stock-based awards was $11.2 million, which is expected to be recognized over a weighted-average period of 1.3 years.</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significant assumptions used in the Black-Scholes option-pricing model on a weighted-average basis to determine the fair value of stock option awards granted:</w:t>
      </w:r>
    </w:p>
    <w:p>
      <w:pPr>
        <w:pStyle w:val="TextBody"/>
        <w:bidi w:val="0"/>
        <w:spacing w:before="0" w:after="240"/>
        <w:ind w:left="0" w:right="0" w:firstLine="360"/>
        <w:jc w:val="left"/>
        <w:rPr/>
      </w:pPr>
      <w:r>
        <w:rPr/>
        <w:t>​</w:t>
      </w:r>
    </w:p>
    <w:tbl>
      <w:tblPr>
        <w:tblW w:w="4784" w:type="dxa"/>
        <w:jc w:val="left"/>
        <w:tblInd w:w="0" w:type="dxa"/>
        <w:tblLayout w:type="fixed"/>
        <w:tblCellMar>
          <w:top w:w="0" w:type="dxa"/>
          <w:left w:w="0" w:type="dxa"/>
          <w:bottom w:w="0" w:type="dxa"/>
          <w:right w:w="0" w:type="dxa"/>
        </w:tblCellMar>
      </w:tblPr>
      <w:tblGrid>
        <w:gridCol w:w="2131"/>
        <w:gridCol w:w="146"/>
        <w:gridCol w:w="2191"/>
        <w:gridCol w:w="31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53185" cy="175260"/>
                      <wp:effectExtent l="0" t="0" r="0" b="0"/>
                      <wp:wrapNone/>
                      <wp:docPr id="226" name="Frame226"/>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92710" cy="175260"/>
                      <wp:effectExtent l="0" t="0" r="0" b="0"/>
                      <wp:wrapNone/>
                      <wp:docPr id="227" name="Frame22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91285" cy="175260"/>
                      <wp:effectExtent l="0" t="0" r="0" b="0"/>
                      <wp:wrapNone/>
                      <wp:docPr id="228" name="Frame228"/>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0660" cy="175260"/>
                      <wp:effectExtent l="0" t="0" r="0" b="0"/>
                      <wp:wrapNone/>
                      <wp:docPr id="229" name="Frame22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Fiscal Quarters Ended</w:t>
            </w:r>
          </w:p>
        </w:tc>
        <w:tc>
          <w:tcPr>
            <w:tcW w:w="3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5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October 1, 2022</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146" w:type="dxa"/>
            <w:tcBorders/>
            <w:shd w:fill="CCEEFF" w:val="clear"/>
            <w:vAlign w:val="center"/>
          </w:tcPr>
          <w:p>
            <w:pPr>
              <w:pStyle w:val="TableContents"/>
              <w:bidi w:val="0"/>
              <w:spacing w:before="0" w:after="1"/>
              <w:ind w:left="0" w:right="0" w:hanging="0"/>
              <w:jc w:val="left"/>
              <w:rPr/>
            </w:pPr>
            <w:r>
              <w:rPr/>
              <w:t> </w:t>
            </w:r>
          </w:p>
        </w:tc>
        <w:tc>
          <w:tcPr>
            <w:tcW w:w="21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146" w:type="dxa"/>
            <w:tcBorders/>
            <w:vAlign w:val="center"/>
          </w:tcPr>
          <w:p>
            <w:pPr>
              <w:pStyle w:val="TableContents"/>
              <w:bidi w:val="0"/>
              <w:spacing w:before="0" w:after="1"/>
              <w:ind w:left="0" w:right="0" w:hanging="0"/>
              <w:jc w:val="left"/>
              <w:rPr/>
            </w:pPr>
            <w:r>
              <w:rPr/>
              <w:t> </w:t>
            </w:r>
          </w:p>
        </w:tc>
        <w:tc>
          <w:tcPr>
            <w:tcW w:w="21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146" w:type="dxa"/>
            <w:tcBorders/>
            <w:shd w:fill="CCEEFF" w:val="clear"/>
            <w:vAlign w:val="center"/>
          </w:tcPr>
          <w:p>
            <w:pPr>
              <w:pStyle w:val="TableContents"/>
              <w:bidi w:val="0"/>
              <w:spacing w:before="0" w:after="1"/>
              <w:ind w:left="0" w:right="0" w:hanging="0"/>
              <w:jc w:val="left"/>
              <w:rPr/>
            </w:pPr>
            <w:r>
              <w:rPr/>
              <w:t> </w:t>
            </w:r>
          </w:p>
        </w:tc>
        <w:tc>
          <w:tcPr>
            <w:tcW w:w="21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146" w:type="dxa"/>
            <w:tcBorders/>
            <w:vAlign w:val="center"/>
          </w:tcPr>
          <w:p>
            <w:pPr>
              <w:pStyle w:val="TableContents"/>
              <w:bidi w:val="0"/>
              <w:spacing w:before="0" w:after="1"/>
              <w:ind w:left="0" w:right="0" w:hanging="0"/>
              <w:jc w:val="left"/>
              <w:rPr/>
            </w:pPr>
            <w:r>
              <w:rPr/>
              <w:t> </w:t>
            </w:r>
          </w:p>
        </w:tc>
        <w:tc>
          <w:tcPr>
            <w:tcW w:w="21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val="false"/>
          <w:i w:val="false"/>
          <w:caps w:val="false"/>
          <w:smallCaps w:val="false"/>
          <w:sz w:val="20"/>
        </w:rPr>
        <w:t>No</w:t>
      </w:r>
      <w:r>
        <w:rPr>
          <w:rFonts w:ascii="Times New Roman;Times;serif" w:hAnsi="Times New Roman;Times;serif"/>
          <w:sz w:val="20"/>
        </w:rPr>
        <w:t xml:space="preserve"> stock options were granted under this plan during the fiscal quarter ended September 30, 2023.</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significant assumptions used in the Black-Scholes option-pricing model on a weighted-average basis to determine the fair value of stock appreciation rights awards granted:</w:t>
      </w:r>
    </w:p>
    <w:tbl>
      <w:tblPr>
        <w:tblW w:w="4964" w:type="dxa"/>
        <w:jc w:val="left"/>
        <w:tblInd w:w="0" w:type="dxa"/>
        <w:tblLayout w:type="fixed"/>
        <w:tblCellMar>
          <w:top w:w="0" w:type="dxa"/>
          <w:left w:w="0" w:type="dxa"/>
          <w:bottom w:w="0" w:type="dxa"/>
          <w:right w:w="0" w:type="dxa"/>
        </w:tblCellMar>
      </w:tblPr>
      <w:tblGrid>
        <w:gridCol w:w="2131"/>
        <w:gridCol w:w="326"/>
        <w:gridCol w:w="2191"/>
        <w:gridCol w:w="31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53185" cy="175260"/>
                      <wp:effectExtent l="0" t="0" r="0" b="0"/>
                      <wp:wrapNone/>
                      <wp:docPr id="230" name="Frame230"/>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1"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91285" cy="175260"/>
                      <wp:effectExtent l="0" t="0" r="0" b="0"/>
                      <wp:wrapNone/>
                      <wp:docPr id="232" name="Frame232"/>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0660" cy="175260"/>
                      <wp:effectExtent l="0" t="0" r="0" b="0"/>
                      <wp:wrapNone/>
                      <wp:docPr id="233" name="Frame23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Fiscal Quarters Ended</w:t>
            </w:r>
          </w:p>
        </w:tc>
        <w:tc>
          <w:tcPr>
            <w:tcW w:w="3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25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bidi w:val="0"/>
              <w:spacing w:before="0" w:after="1"/>
              <w:ind w:left="0" w:right="0" w:hanging="0"/>
              <w:jc w:val="right"/>
              <w:rPr/>
            </w:pPr>
            <w:r>
              <w:rPr/>
              <w:t>​</w:t>
            </w:r>
          </w:p>
        </w:tc>
        <w:tc>
          <w:tcPr>
            <w:tcW w:w="21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vAlign w:val="center"/>
          </w:tcPr>
          <w:p>
            <w:pPr>
              <w:pStyle w:val="TableContents"/>
              <w:bidi w:val="0"/>
              <w:spacing w:before="0" w:after="1"/>
              <w:ind w:left="0" w:right="0" w:hanging="0"/>
              <w:jc w:val="right"/>
              <w:rPr/>
            </w:pPr>
            <w:r>
              <w:rPr/>
              <w:t>​</w:t>
            </w:r>
          </w:p>
        </w:tc>
        <w:tc>
          <w:tcPr>
            <w:tcW w:w="21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326" w:type="dxa"/>
            <w:tcBorders/>
            <w:shd w:fill="CCEEFF" w:val="clear"/>
            <w:vAlign w:val="center"/>
          </w:tcPr>
          <w:p>
            <w:pPr>
              <w:pStyle w:val="TableContents"/>
              <w:bidi w:val="0"/>
              <w:spacing w:before="0" w:after="1"/>
              <w:ind w:left="0" w:right="0" w:hanging="0"/>
              <w:jc w:val="right"/>
              <w:rPr/>
            </w:pPr>
            <w:r>
              <w:rPr/>
              <w:t>​</w:t>
            </w:r>
          </w:p>
        </w:tc>
        <w:tc>
          <w:tcPr>
            <w:tcW w:w="21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26" w:type="dxa"/>
            <w:tcBorders/>
            <w:vAlign w:val="center"/>
          </w:tcPr>
          <w:p>
            <w:pPr>
              <w:pStyle w:val="TableContents"/>
              <w:bidi w:val="0"/>
              <w:spacing w:before="0" w:after="1"/>
              <w:ind w:left="0" w:right="0" w:hanging="0"/>
              <w:jc w:val="right"/>
              <w:rPr/>
            </w:pPr>
            <w:r>
              <w:rPr/>
              <w:t>​</w:t>
            </w:r>
          </w:p>
        </w:tc>
        <w:tc>
          <w:tcPr>
            <w:tcW w:w="21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Restricted Stock Awards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represents the Company’s restricted stock awards activity during the three fiscal quarters ended September 30, 2023:</w:t>
      </w:r>
    </w:p>
    <w:p>
      <w:pPr>
        <w:pStyle w:val="TextBody"/>
        <w:bidi w:val="0"/>
        <w:spacing w:before="0" w:after="240"/>
        <w:ind w:left="0" w:right="0" w:firstLine="360"/>
        <w:jc w:val="left"/>
        <w:rPr/>
      </w:pPr>
      <w:r>
        <w:rPr/>
        <w:t>​</w:t>
      </w:r>
    </w:p>
    <w:tbl>
      <w:tblPr>
        <w:tblW w:w="6010" w:type="dxa"/>
        <w:jc w:val="left"/>
        <w:tblInd w:w="0" w:type="dxa"/>
        <w:tblLayout w:type="fixed"/>
        <w:tblCellMar>
          <w:top w:w="0" w:type="dxa"/>
          <w:left w:w="0" w:type="dxa"/>
          <w:bottom w:w="0" w:type="dxa"/>
          <w:right w:w="0" w:type="dxa"/>
        </w:tblCellMar>
      </w:tblPr>
      <w:tblGrid>
        <w:gridCol w:w="2986"/>
        <w:gridCol w:w="326"/>
        <w:gridCol w:w="1051"/>
        <w:gridCol w:w="326"/>
        <w:gridCol w:w="310"/>
        <w:gridCol w:w="1011"/>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896110" cy="175260"/>
                      <wp:effectExtent l="0" t="0" r="0" b="0"/>
                      <wp:wrapNone/>
                      <wp:docPr id="234" name="Frame234"/>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235" name="Frame2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67385" cy="175260"/>
                      <wp:effectExtent l="0" t="0" r="0" b="0"/>
                      <wp:wrapNone/>
                      <wp:docPr id="236" name="Frame23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96850" cy="175260"/>
                      <wp:effectExtent l="0" t="0" r="0" b="0"/>
                      <wp:wrapNone/>
                      <wp:docPr id="238" name="Frame238"/>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1985" cy="175260"/>
                      <wp:effectExtent l="0" t="0" r="0" b="0"/>
                      <wp:wrapNone/>
                      <wp:docPr id="239" name="Frame239"/>
                      <a:graphic xmlns:a="http://schemas.openxmlformats.org/drawingml/2006/main">
                        <a:graphicData uri="http://schemas.microsoft.com/office/word/2010/wordprocessingShape">
                          <wps:wsp>
                            <wps:cNvSpPr txBox="1"/>
                            <wps:spPr>
                              <a:xfrm>
                                <a:off x="0" y="0"/>
                                <a:ext cx="641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3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9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3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Grant-</w:t>
            </w:r>
          </w:p>
        </w:tc>
      </w:tr>
      <w:tr>
        <w:trPr/>
        <w:tc>
          <w:tcPr>
            <w:tcW w:w="29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13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 Fair Value</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January 1, 2023</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2,576,219</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19.00</w:t>
            </w:r>
          </w:p>
        </w:tc>
      </w:tr>
      <w:tr>
        <w:trPr/>
        <w:tc>
          <w:tcPr>
            <w:tcW w:w="2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 </w:t>
            </w:r>
          </w:p>
        </w:tc>
        <w:tc>
          <w:tcPr>
            <w:tcW w:w="1011"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(1,239,520)</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 </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19.00</w:t>
            </w:r>
          </w:p>
        </w:tc>
      </w:tr>
      <w:tr>
        <w:trPr/>
        <w:tc>
          <w:tcPr>
            <w:tcW w:w="2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(155,450)</w:t>
            </w:r>
          </w:p>
        </w:tc>
        <w:tc>
          <w:tcPr>
            <w:tcW w:w="326"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19.00</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September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1,181,249</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19.00</w:t>
            </w:r>
          </w:p>
        </w:tc>
      </w:tr>
    </w:tbl>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1236" w:name="Tc_ZDh8ExSupUeShSGp9-et-w_12_9"/>
      <w:bookmarkStart w:id="1237" w:name="Tc_nGXpxZ9nOUezxe8pvs89PA_12_4"/>
      <w:bookmarkStart w:id="1238" w:name="Tc_ioRbdBbixU-1Dx4o1dKElg_12_0"/>
      <w:bookmarkStart w:id="1239" w:name="Tc_PlSS_nv5EESAEw9TSWgWzg_11_10"/>
      <w:bookmarkStart w:id="1240" w:name="Tc_sRz6Ay9sxUWsW0NwWbjuSA_11_9"/>
      <w:bookmarkStart w:id="1241" w:name="Tc_I8eC34UpF02g4SkeOy-6ig_11_4"/>
      <w:bookmarkStart w:id="1242" w:name="Tc_qB4aPig3lkCGxIIwF94TJQ_11_0"/>
      <w:bookmarkStart w:id="1243" w:name="Tc_cDOpIEYWt0aGxYKYWoT65g_10_10"/>
      <w:bookmarkStart w:id="1244" w:name="Tc_sIbyiS2ZT0G_YvJVI9dnQQ_10_9"/>
      <w:bookmarkStart w:id="1245" w:name="Tc_Ei8QVUYu9UidDvgtbOLedQ_10_4"/>
      <w:bookmarkStart w:id="1246" w:name="Tc_KGoa21cBRkqpKmONMWCLBQ_10_0"/>
      <w:bookmarkStart w:id="1247" w:name="Tc_KCjXS7PeD0qO-QmUJhwLhQ_9_0"/>
      <w:bookmarkStart w:id="1248" w:name="Tc_f-soFGEJTkG-nA1bqjHwuw_8_5"/>
      <w:bookmarkStart w:id="1249" w:name="Tc_dzM_XRX6VEaMYdlIVbnGkQ_8_2"/>
      <w:bookmarkStart w:id="1250" w:name="Tc_tN2IZul93k-OjwK9E06BZQ_8_0"/>
      <w:bookmarkStart w:id="1251" w:name="Tc_zquNyRxUYkiaCN_7md6-IA_7_5"/>
      <w:bookmarkStart w:id="1252" w:name="Tc_KOcqKpj7_ECx9JCWZeHPcw_7_2"/>
      <w:bookmarkStart w:id="1253" w:name="Tc_HWkYhil2dUqh-MiF5K19bw_7_0"/>
      <w:bookmarkStart w:id="1254" w:name="Tc_X3zto2ED6EewDC5DSJrRag_6_4"/>
      <w:bookmarkStart w:id="1255" w:name="Tc_8lWVx0mLuEadwjk313f4yg_6_0"/>
      <w:bookmarkStart w:id="1256" w:name="Tc_58Uxz4AWHUu65zhrIMHzzQ_5_9"/>
      <w:bookmarkStart w:id="1257" w:name="Tc_LHgHrv87aUiWTemqA3bmsA_5_7"/>
      <w:bookmarkStart w:id="1258" w:name="Tc_Rau_rMngB0i97GuttSRb4w_4_9"/>
      <w:bookmarkStart w:id="1259" w:name="Tc_8rHrjojWEUOVi96eDPteJQ_4_7"/>
      <w:bookmarkStart w:id="1260" w:name="Tc_pxaEXwmFd0qdQ9UJQEujpg_4_4"/>
      <w:bookmarkStart w:id="1261" w:name="Tc_6WUq6yrLmUa7W3Sa7tYkxQ_4_2"/>
      <w:bookmarkStart w:id="1262" w:name="Tc_qq3Ti23N-0qDhQZfwYGgsQ_3_9"/>
      <w:bookmarkStart w:id="1263" w:name="Tc_SMNxQCAX90WTZHUpZe-Ncw_3_7"/>
      <w:bookmarkStart w:id="1264" w:name="Tc_2wS6ZSpUlk2stgc-HZp56A_3_4"/>
      <w:bookmarkStart w:id="1265" w:name="Tc_qYoKpfzGN0ON-B7UppkLuw_2_7"/>
      <w:bookmarkStart w:id="1266" w:name="Tc_r2pCl6Qc8kmnAME31b5ewQ_2_5"/>
      <w:bookmarkStart w:id="1267" w:name="Tc_JALCHUZsVUqAMUdaK-__QQ_1_7"/>
      <w:bookmarkStart w:id="1268" w:name="Tc_f0ZhFuPz80G7SHhqs1whmg_1_5"/>
      <w:bookmarkStart w:id="1269" w:name="_8305e173_5336_402d_9460_9896424ee2ee"/>
      <w:bookmarkStart w:id="1270" w:name="Tc_7dVOA_MLEkey76XNuhh81g_8_4"/>
      <w:bookmarkStart w:id="1271" w:name="Tc_BJ1BuLzaqk-RqiCzxlr7EQ_8_0"/>
      <w:bookmarkStart w:id="1272" w:name="Tc_hESbmNOsikOabrXs2vyKWg_7_0"/>
      <w:bookmarkStart w:id="1273" w:name="Tc_bxShMHPNm0uS5mge5qNRWg_6_0"/>
      <w:bookmarkStart w:id="1274" w:name="Tc_sNqQ0EkmyU2tcZZDICjZog_5_0"/>
      <w:bookmarkStart w:id="1275" w:name="Tc_Exo286vLL0KHpAZ9SFzvgg_4_4"/>
      <w:bookmarkStart w:id="1276" w:name="Tc_lOGeh0w6cEatV1Vbm4xr5Q_4_0"/>
      <w:bookmarkStart w:id="1277" w:name="Tc_zUrC2NDvNkCvYmU6Gf_HXQ_3_4"/>
      <w:bookmarkStart w:id="1278" w:name="Tc_pabJwch__Eyw6rLlic130Q_3_2"/>
      <w:bookmarkStart w:id="1279" w:name="Tc_HbQxfc15t0mLtYwT2ZtTKw_2_4"/>
      <w:bookmarkStart w:id="1280" w:name="Tc_DrJRs22naESsoJmwkQZJWA_1_4"/>
      <w:bookmarkStart w:id="1281" w:name="_4b0d2638_3068_4f4e_9b45_b62cce3d4cb0"/>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r>
        <w:rPr>
          <w:rFonts w:ascii="Times New Roman;Times;serif" w:hAnsi="Times New Roman;Times;serif"/>
          <w:b/>
          <w:i/>
          <w:sz w:val="20"/>
        </w:rPr>
        <w:t>Restricted Stock Units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represents the Company’s restricted stock units activity during the three fiscal quarters ended September 30, 2023:</w:t>
      </w:r>
    </w:p>
    <w:p>
      <w:pPr>
        <w:pStyle w:val="TextBody"/>
        <w:bidi w:val="0"/>
        <w:spacing w:before="0" w:after="240"/>
        <w:ind w:left="0" w:right="0" w:firstLine="360"/>
        <w:jc w:val="left"/>
        <w:rPr/>
      </w:pPr>
      <w:r>
        <w:rPr/>
        <w:t>​</w:t>
      </w:r>
    </w:p>
    <w:tbl>
      <w:tblPr>
        <w:tblW w:w="5890" w:type="dxa"/>
        <w:jc w:val="left"/>
        <w:tblInd w:w="0" w:type="dxa"/>
        <w:tblLayout w:type="fixed"/>
        <w:tblCellMar>
          <w:top w:w="0" w:type="dxa"/>
          <w:left w:w="0" w:type="dxa"/>
          <w:bottom w:w="0" w:type="dxa"/>
          <w:right w:w="0" w:type="dxa"/>
        </w:tblCellMar>
      </w:tblPr>
      <w:tblGrid>
        <w:gridCol w:w="2986"/>
        <w:gridCol w:w="326"/>
        <w:gridCol w:w="931"/>
        <w:gridCol w:w="326"/>
        <w:gridCol w:w="335"/>
        <w:gridCol w:w="986"/>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896110" cy="175260"/>
                      <wp:effectExtent l="0" t="0" r="0" b="0"/>
                      <wp:wrapNone/>
                      <wp:docPr id="240" name="Frame240"/>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41" name="Frame2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591185" cy="175260"/>
                      <wp:effectExtent l="0" t="0" r="0" b="0"/>
                      <wp:wrapNone/>
                      <wp:docPr id="242" name="Frame24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3" name="Frame2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2725" cy="175260"/>
                      <wp:effectExtent l="0" t="0" r="0" b="0"/>
                      <wp:wrapNone/>
                      <wp:docPr id="244" name="Frame244"/>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26110" cy="175260"/>
                      <wp:effectExtent l="0" t="0" r="0" b="0"/>
                      <wp:wrapNone/>
                      <wp:docPr id="245" name="Frame245"/>
                      <a:graphic xmlns:a="http://schemas.openxmlformats.org/drawingml/2006/main">
                        <a:graphicData uri="http://schemas.microsoft.com/office/word/2010/wordprocessingShape">
                          <wps:wsp>
                            <wps:cNvSpPr txBox="1"/>
                            <wps:spPr>
                              <a:xfrm>
                                <a:off x="0" y="0"/>
                                <a:ext cx="626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3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9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3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Grant-</w:t>
            </w:r>
          </w:p>
        </w:tc>
      </w:tr>
      <w:tr>
        <w:trPr/>
        <w:tc>
          <w:tcPr>
            <w:tcW w:w="29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w:t>
            </w:r>
          </w:p>
        </w:tc>
        <w:tc>
          <w:tcPr>
            <w:tcW w:w="13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 Fair Value</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January 1, 2023</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617,941</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w:t>
            </w:r>
          </w:p>
        </w:tc>
      </w:tr>
      <w:tr>
        <w:trPr/>
        <w:tc>
          <w:tcPr>
            <w:tcW w:w="2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2,232,040</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 </w:t>
            </w:r>
          </w:p>
        </w:tc>
        <w:tc>
          <w:tcPr>
            <w:tcW w:w="9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(243,420)</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 </w:t>
            </w:r>
          </w:p>
        </w:tc>
        <w:tc>
          <w:tcPr>
            <w:tcW w:w="9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10.42</w:t>
            </w:r>
          </w:p>
        </w:tc>
      </w:tr>
      <w:tr>
        <w:trPr/>
        <w:tc>
          <w:tcPr>
            <w:tcW w:w="2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(247,685)</w:t>
            </w:r>
          </w:p>
        </w:tc>
        <w:tc>
          <w:tcPr>
            <w:tcW w:w="326" w:type="dxa"/>
            <w:tcBorders/>
            <w:vAlign w:val="center"/>
          </w:tcPr>
          <w:p>
            <w:pPr>
              <w:pStyle w:val="TableContents"/>
              <w:bidi w:val="0"/>
              <w:spacing w:before="0" w:after="1"/>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September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2,358,876</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3.76</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represents the Company’s stock option activity during the three fiscal quarters ended September 30, 2023:</w:t>
      </w:r>
    </w:p>
    <w:p>
      <w:pPr>
        <w:pStyle w:val="TextBody"/>
        <w:bidi w:val="0"/>
        <w:spacing w:before="0" w:after="240"/>
        <w:ind w:left="0" w:right="0" w:firstLine="360"/>
        <w:jc w:val="left"/>
        <w:rPr/>
      </w:pPr>
      <w:r>
        <w:rPr/>
        <w:t>​</w:t>
      </w:r>
    </w:p>
    <w:tbl>
      <w:tblPr>
        <w:tblW w:w="10024" w:type="dxa"/>
        <w:jc w:val="left"/>
        <w:tblInd w:w="0" w:type="dxa"/>
        <w:tblLayout w:type="fixed"/>
        <w:tblCellMar>
          <w:top w:w="0" w:type="dxa"/>
          <w:left w:w="0" w:type="dxa"/>
          <w:bottom w:w="0" w:type="dxa"/>
          <w:right w:w="0" w:type="dxa"/>
        </w:tblCellMar>
      </w:tblPr>
      <w:tblGrid>
        <w:gridCol w:w="4246"/>
        <w:gridCol w:w="326"/>
        <w:gridCol w:w="931"/>
        <w:gridCol w:w="326"/>
        <w:gridCol w:w="235"/>
        <w:gridCol w:w="891"/>
        <w:gridCol w:w="326"/>
        <w:gridCol w:w="1201"/>
        <w:gridCol w:w="326"/>
        <w:gridCol w:w="380"/>
        <w:gridCol w:w="836"/>
      </w:tblGrid>
      <w:tr>
        <w:trPr/>
        <w:tc>
          <w:tcPr>
            <w:tcW w:w="4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696210" cy="175260"/>
                      <wp:effectExtent l="0" t="0" r="0" b="0"/>
                      <wp:wrapNone/>
                      <wp:docPr id="246" name="Frame246"/>
                      <a:graphic xmlns:a="http://schemas.openxmlformats.org/drawingml/2006/main">
                        <a:graphicData uri="http://schemas.microsoft.com/office/word/2010/wordprocessingShape">
                          <wps:wsp>
                            <wps:cNvSpPr txBox="1"/>
                            <wps:spPr>
                              <a:xfrm>
                                <a:off x="0" y="0"/>
                                <a:ext cx="269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7" name="Frame2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91185" cy="175260"/>
                      <wp:effectExtent l="0" t="0" r="0" b="0"/>
                      <wp:wrapNone/>
                      <wp:docPr id="248" name="Frame24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9" name="Frame2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49225" cy="175260"/>
                      <wp:effectExtent l="0" t="0" r="0" b="0"/>
                      <wp:wrapNone/>
                      <wp:docPr id="250" name="Frame250"/>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565785" cy="175260"/>
                      <wp:effectExtent l="0" t="0" r="0" b="0"/>
                      <wp:wrapNone/>
                      <wp:docPr id="251" name="Frame251"/>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762635" cy="175260"/>
                      <wp:effectExtent l="0" t="0" r="0" b="0"/>
                      <wp:wrapNone/>
                      <wp:docPr id="253" name="Frame253"/>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54" name="Frame2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41300" cy="175260"/>
                      <wp:effectExtent l="0" t="0" r="0" b="0"/>
                      <wp:wrapNone/>
                      <wp:docPr id="255" name="Frame255"/>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530860" cy="175260"/>
                      <wp:effectExtent l="0" t="0" r="0" b="0"/>
                      <wp:wrapNone/>
                      <wp:docPr id="256" name="Frame256"/>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35" w:type="dxa"/>
            <w:tcBorders/>
            <w:vAlign w:val="center"/>
          </w:tcPr>
          <w:p>
            <w:pPr>
              <w:pStyle w:val="TableContents"/>
              <w:bidi w:val="0"/>
              <w:spacing w:before="0" w:after="1"/>
              <w:ind w:left="0" w:right="0" w:hanging="0"/>
              <w:jc w:val="center"/>
              <w:rPr/>
            </w:pPr>
            <w:r>
              <w:rPr/>
              <w:t>​</w:t>
            </w:r>
          </w:p>
        </w:tc>
        <w:tc>
          <w:tcPr>
            <w:tcW w:w="8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left"/>
              <w:rPr/>
            </w:pPr>
            <w:r>
              <w:rPr/>
              <w:t>    </w:t>
            </w:r>
          </w:p>
        </w:tc>
        <w:tc>
          <w:tcPr>
            <w:tcW w:w="38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center"/>
              <w:rPr/>
            </w:pPr>
            <w:r>
              <w:rPr/>
              <w:t>​</w:t>
            </w:r>
          </w:p>
        </w:tc>
      </w:tr>
      <w:tr>
        <w:trPr/>
        <w:tc>
          <w:tcPr>
            <w:tcW w:w="42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center"/>
              <w:rPr/>
            </w:pPr>
            <w:r>
              <w:rPr/>
              <w:t>​</w:t>
            </w:r>
          </w:p>
        </w:tc>
        <w:tc>
          <w:tcPr>
            <w:tcW w:w="8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w:t>
            </w:r>
          </w:p>
        </w:tc>
        <w:tc>
          <w:tcPr>
            <w:tcW w:w="32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center"/>
              <w:rPr/>
            </w:pPr>
            <w:r>
              <w:rPr/>
              <w:t>​</w:t>
            </w:r>
          </w:p>
        </w:tc>
      </w:tr>
      <w:tr>
        <w:trPr/>
        <w:tc>
          <w:tcPr>
            <w:tcW w:w="42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 </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 </w:t>
            </w:r>
          </w:p>
        </w:tc>
      </w:tr>
      <w:tr>
        <w:trPr/>
        <w:tc>
          <w:tcPr>
            <w:tcW w:w="42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per Share</w:t>
            </w:r>
          </w:p>
        </w:tc>
        <w:tc>
          <w:tcPr>
            <w:tcW w:w="326" w:type="dxa"/>
            <w:tcBorders/>
            <w:vAlign w:val="center"/>
          </w:tcPr>
          <w:p>
            <w:pPr>
              <w:pStyle w:val="TableContents"/>
              <w:bidi w:val="0"/>
              <w:spacing w:before="0" w:after="1"/>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 Term</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 Value</w:t>
            </w:r>
          </w:p>
        </w:tc>
      </w:tr>
      <w:tr>
        <w:trPr/>
        <w:tc>
          <w:tcPr>
            <w:tcW w:w="42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35"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January 1, 2023</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1,914,670</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14.85</w:t>
            </w:r>
          </w:p>
        </w:tc>
        <w:tc>
          <w:tcPr>
            <w:tcW w:w="326"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pPr>
            <w:r>
              <w:rPr/>
              <w:t>​</w:t>
            </w:r>
          </w:p>
        </w:tc>
      </w:tr>
      <w:tr>
        <w:trPr/>
        <w:tc>
          <w:tcPr>
            <w:tcW w:w="4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 </w:t>
            </w:r>
          </w:p>
        </w:tc>
        <w:tc>
          <w:tcPr>
            <w:tcW w:w="836" w:type="dxa"/>
            <w:tcBorders/>
            <w:vAlign w:val="center"/>
          </w:tcPr>
          <w:p>
            <w:pPr>
              <w:pStyle w:val="TableContents"/>
              <w:bidi w:val="0"/>
              <w:spacing w:before="0" w:after="1"/>
              <w:ind w:left="0" w:right="0" w:hanging="0"/>
              <w:jc w:val="right"/>
              <w:rPr/>
            </w:pPr>
            <w:r>
              <w:rPr/>
              <w:t>  </w:t>
            </w:r>
          </w:p>
        </w:tc>
      </w:tr>
      <w:tr>
        <w:trPr/>
        <w:tc>
          <w:tcPr>
            <w:tcW w:w="4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8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 </w:t>
            </w:r>
          </w:p>
        </w:tc>
        <w:tc>
          <w:tcPr>
            <w:tcW w:w="836" w:type="dxa"/>
            <w:tcBorders/>
            <w:shd w:fill="CCEEFF" w:val="clear"/>
            <w:vAlign w:val="center"/>
          </w:tcPr>
          <w:p>
            <w:pPr>
              <w:pStyle w:val="TableContents"/>
              <w:bidi w:val="0"/>
              <w:spacing w:before="0" w:after="1"/>
              <w:ind w:left="0" w:right="0" w:hanging="0"/>
              <w:jc w:val="right"/>
              <w:rPr/>
            </w:pPr>
            <w:r>
              <w:rPr/>
              <w:t>  </w:t>
            </w:r>
          </w:p>
        </w:tc>
      </w:tr>
      <w:tr>
        <w:trPr/>
        <w:tc>
          <w:tcPr>
            <w:tcW w:w="4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(325,433)</w:t>
            </w:r>
          </w:p>
        </w:tc>
        <w:tc>
          <w:tcPr>
            <w:tcW w:w="326"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11.80</w:t>
            </w:r>
          </w:p>
        </w:tc>
        <w:tc>
          <w:tcPr>
            <w:tcW w:w="326" w:type="dxa"/>
            <w:tcBorders/>
            <w:vAlign w:val="center"/>
          </w:tcPr>
          <w:p>
            <w:pPr>
              <w:pStyle w:val="TableContents"/>
              <w:bidi w:val="0"/>
              <w:spacing w:before="0" w:after="1"/>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8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r>
      <w:tr>
        <w:trPr/>
        <w:tc>
          <w:tcPr>
            <w:tcW w:w="4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September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1,589,237</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15.47</w:t>
            </w:r>
          </w:p>
        </w:tc>
        <w:tc>
          <w:tcPr>
            <w:tcW w:w="326" w:type="dxa"/>
            <w:tcBorders/>
            <w:shd w:fill="CCEEFF" w:val="clear"/>
            <w:vAlign w:val="center"/>
          </w:tcPr>
          <w:p>
            <w:pPr>
              <w:pStyle w:val="TableContents"/>
              <w:bidi w:val="0"/>
              <w:spacing w:before="0" w:after="1"/>
              <w:ind w:left="0" w:right="0" w:hanging="0"/>
              <w:jc w:val="left"/>
              <w:rPr/>
            </w:pPr>
            <w:r>
              <w:rPr/>
              <w:t> </w:t>
            </w:r>
          </w:p>
        </w:tc>
        <w:tc>
          <w:tcPr>
            <w:tcW w:w="12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 and expected to vest at September 30, 2023</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1,589,237</w:t>
            </w:r>
          </w:p>
        </w:tc>
        <w:tc>
          <w:tcPr>
            <w:tcW w:w="326" w:type="dxa"/>
            <w:tcBorders/>
            <w:vAlign w:val="center"/>
          </w:tcPr>
          <w:p>
            <w:pPr>
              <w:pStyle w:val="TableContents"/>
              <w:bidi w:val="0"/>
              <w:spacing w:before="0" w:after="1"/>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15.47</w:t>
            </w:r>
          </w:p>
        </w:tc>
        <w:tc>
          <w:tcPr>
            <w:tcW w:w="326" w:type="dxa"/>
            <w:tcBorders/>
            <w:vAlign w:val="center"/>
          </w:tcPr>
          <w:p>
            <w:pPr>
              <w:pStyle w:val="TableContents"/>
              <w:bidi w:val="0"/>
              <w:spacing w:before="0" w:after="1"/>
              <w:ind w:left="0" w:right="0" w:hanging="0"/>
              <w:jc w:val="left"/>
              <w:rPr/>
            </w:pPr>
            <w:r>
              <w:rPr/>
              <w:t> </w:t>
            </w:r>
          </w:p>
        </w:tc>
        <w:tc>
          <w:tcPr>
            <w:tcW w:w="12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w:t>
            </w:r>
          </w:p>
        </w:tc>
        <w:tc>
          <w:tcPr>
            <w:tcW w:w="326" w:type="dxa"/>
            <w:tcBorders/>
            <w:vAlign w:val="center"/>
          </w:tcPr>
          <w:p>
            <w:pPr>
              <w:pStyle w:val="TableContents"/>
              <w:bidi w:val="0"/>
              <w:spacing w:before="0" w:after="1"/>
              <w:ind w:left="0" w:right="0" w:hanging="0"/>
              <w:jc w:val="left"/>
              <w:rPr/>
            </w:pPr>
            <w:r>
              <w:rPr/>
              <w:t>​</w:t>
            </w:r>
          </w:p>
        </w:tc>
        <w:tc>
          <w:tcPr>
            <w:tcW w:w="38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r>
      <w:tr>
        <w:trPr/>
        <w:tc>
          <w:tcPr>
            <w:tcW w:w="4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exercisable at September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583,527</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16.58</w:t>
            </w:r>
          </w:p>
        </w:tc>
        <w:tc>
          <w:tcPr>
            <w:tcW w:w="326" w:type="dxa"/>
            <w:tcBorders/>
            <w:shd w:fill="CCEEFF" w:val="clear"/>
            <w:vAlign w:val="center"/>
          </w:tcPr>
          <w:p>
            <w:pPr>
              <w:pStyle w:val="TableContents"/>
              <w:bidi w:val="0"/>
              <w:spacing w:before="0" w:after="1"/>
              <w:ind w:left="0" w:right="0" w:hanging="0"/>
              <w:jc w:val="left"/>
              <w:rPr/>
            </w:pPr>
            <w:r>
              <w:rPr/>
              <w:t> </w:t>
            </w:r>
          </w:p>
        </w:tc>
        <w:tc>
          <w:tcPr>
            <w:tcW w:w="12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caps w:val="false"/>
                <w:smallCaps w:val="false"/>
              </w:rPr>
            </w:pPr>
            <w:r>
              <w:rPr>
                <w:caps w:val="false"/>
                <w:smallCaps w:val="false"/>
              </w:rPr>
              <w:t>—</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12"/>
        </w:rPr>
      </w:pPr>
      <w:r>
        <w:rPr>
          <w:rFonts w:ascii="Times New Roman;Times;serif" w:hAnsi="Times New Roman;Times;serif"/>
          <w:sz w:val="20"/>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r>
        <w:rPr>
          <w:rFonts w:ascii="Times New Roman;Times;serif" w:hAnsi="Times New Roman;Times;serif"/>
          <w:sz w:val="12"/>
        </w:rPr>
        <w:t xml:space="preserv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 Appreciation Rights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fiscal quarter ended April 1, 2023, as a portion of the annual equity award grants to the Company’s executive officers, the Compensation Committee of the Board of Directors approved stock appreciation rights for an aggregate of 790,181 shares of the Company’s common stock, with a strike price of $3.24 per share (the “Contingent Grants”). At the time of such approval, the Company did not have enough shares of the Company’s common stock in the share pool under the 2021 Omnibus Equity Plan to support such grant. As of April 1, 2023, the Contingent Grants remained subject to stockholder approval of the First Amendment. On May 2, 2023, following stockholder approval of the First Amendment, the foregoing stock appreciation right awards became effective without condition.</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1282" w:name="Tc_eEB6OPxnPkyG4s5L5D2_Mw_12_10"/>
      <w:bookmarkStart w:id="1283" w:name="Tc_rWoGKpDZh0WVU64YuE4Faw_12_9"/>
      <w:bookmarkStart w:id="1284" w:name="Tc_p7Nk6OF4pk20jZzWmD2rDQ_12_5"/>
      <w:bookmarkStart w:id="1285" w:name="Tc_inNNz1QzukWu2rAytCnqzA_12_4"/>
      <w:bookmarkStart w:id="1286" w:name="Tc_wIZfJfKGzkG_qUVx8-cP3g_12_2"/>
      <w:bookmarkStart w:id="1287" w:name="Tc_gbRk6Q3zu0SBSom1a0bZ1w_12_0"/>
      <w:bookmarkStart w:id="1288" w:name="Tc_ABQdwrF2TEe61RGX5oOTPg_11_10"/>
      <w:bookmarkStart w:id="1289" w:name="Tc_C2LBixPSuE-p1j6p4We6uQ_11_9"/>
      <w:bookmarkStart w:id="1290" w:name="Tc_vZsQOoCOh0mo17VANFYGYQ_11_4"/>
      <w:bookmarkStart w:id="1291" w:name="Tc_ofFc2CL3VUO3szQfIFpoKA_11_0"/>
      <w:bookmarkStart w:id="1292" w:name="Tc_ta2z9HbMBkiuCobgbYnwhw_10_10"/>
      <w:bookmarkStart w:id="1293" w:name="Tc_4onlzspXBUWuwd7HNarVUg_10_9"/>
      <w:bookmarkStart w:id="1294" w:name="Tc_M8ULaXgDAUOlsA1oYXXs0w_10_4"/>
      <w:bookmarkStart w:id="1295" w:name="Tc_lkLLqUcrqEC8ChVO0VqLkA_10_0"/>
      <w:bookmarkStart w:id="1296" w:name="Tc_Lopcx5554EqNn_cKlwMB4A_9_0"/>
      <w:bookmarkStart w:id="1297" w:name="Tc_cpGsGPtBKkGIPRtYDrtu9A_8_5"/>
      <w:bookmarkStart w:id="1298" w:name="Tc_8DSZ90hAIkaVg9Nd4ZD6Tw_8_2"/>
      <w:bookmarkStart w:id="1299" w:name="Tc_fdJQpDzte0OcXOXhEuVtgw_8_0"/>
      <w:bookmarkStart w:id="1300" w:name="Tc_FkdGiBxVP0WbrNB4d_vHlg_7_0"/>
      <w:bookmarkStart w:id="1301" w:name="Tc_rLn6swjTe0-bTatbw0pPMQ_6_5"/>
      <w:bookmarkStart w:id="1302" w:name="Tc_sjFsqqMG3kiDe2LUyiHKgg_6_4"/>
      <w:bookmarkStart w:id="1303" w:name="Tc_LNSTO8rzl0O3sw7tU-LHGw_6_2"/>
      <w:bookmarkStart w:id="1304" w:name="Tc_wIJKw4rvvk63w2JzAJOGvg_6_0"/>
      <w:bookmarkStart w:id="1305" w:name="Tc_e5RaprG7_U-9pH9S3NYziQ_5_9"/>
      <w:bookmarkStart w:id="1306" w:name="Tc_g3_YgkNcVEKlvbndUZzUAA_5_7"/>
      <w:bookmarkStart w:id="1307" w:name="Tc_4RVa0tfj80mhljClAUhuhw_4_9"/>
      <w:bookmarkStart w:id="1308" w:name="Tc_LYytI9see0m_9RpTzFR19g_4_7"/>
      <w:bookmarkStart w:id="1309" w:name="Tc_wSMFRqq0yUyoRlP4GIOIBA_4_4"/>
      <w:bookmarkStart w:id="1310" w:name="Tc_maH7sIGI3Um5JJhj4JHD4Q_4_2"/>
      <w:bookmarkStart w:id="1311" w:name="Tc_D6I-f2cfCUKrhAdmlbgLIA_3_9"/>
      <w:bookmarkStart w:id="1312" w:name="Tc_WNT66u6rxUy3WL5Ie8lPpA_3_7"/>
      <w:bookmarkStart w:id="1313" w:name="Tc_RR66OFpqI02lDdP8o-7z7Q_3_4"/>
      <w:bookmarkStart w:id="1314" w:name="Tc_7CZtF8WdK0W5MhiblL3fqA_2_7"/>
      <w:bookmarkStart w:id="1315" w:name="Tc_W6YRxYuxaE6lbzMG7fHOfA_2_5"/>
      <w:bookmarkStart w:id="1316" w:name="Tc_LFyOa51LuEqUyCHH_8mnJg_1_7"/>
      <w:bookmarkStart w:id="1317" w:name="Tc_Afp88gqOVUWdongdMgnwRA_1_5"/>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r>
        <w:rPr>
          <w:rFonts w:ascii="Times New Roman;Times;serif" w:hAnsi="Times New Roman;Times;serif"/>
          <w:sz w:val="20"/>
        </w:rPr>
        <w:t>The following table represents the Company’s stock appreciation rights activity during the three fiscal quarters ended September 30, 2023:</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563"/>
        <w:gridCol w:w="326"/>
        <w:gridCol w:w="794"/>
        <w:gridCol w:w="326"/>
        <w:gridCol w:w="235"/>
        <w:gridCol w:w="891"/>
        <w:gridCol w:w="326"/>
        <w:gridCol w:w="1201"/>
        <w:gridCol w:w="326"/>
        <w:gridCol w:w="380"/>
        <w:gridCol w:w="837"/>
      </w:tblGrid>
      <w:tr>
        <w:trPr/>
        <w:tc>
          <w:tcPr>
            <w:tcW w:w="4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897505" cy="175260"/>
                      <wp:effectExtent l="0" t="0" r="0" b="0"/>
                      <wp:wrapNone/>
                      <wp:docPr id="257" name="Frame257"/>
                      <a:graphic xmlns:a="http://schemas.openxmlformats.org/drawingml/2006/main">
                        <a:graphicData uri="http://schemas.microsoft.com/office/word/2010/wordprocessingShape">
                          <wps:wsp>
                            <wps:cNvSpPr txBox="1"/>
                            <wps:spPr>
                              <a:xfrm>
                                <a:off x="0" y="0"/>
                                <a:ext cx="2897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8" name="Frame2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504190" cy="175260"/>
                      <wp:effectExtent l="0" t="0" r="0" b="0"/>
                      <wp:wrapNone/>
                      <wp:docPr id="259" name="Frame259"/>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60" name="Frame2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49225" cy="175260"/>
                      <wp:effectExtent l="0" t="0" r="0" b="0"/>
                      <wp:wrapNone/>
                      <wp:docPr id="261" name="Frame261"/>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565785" cy="175260"/>
                      <wp:effectExtent l="0" t="0" r="0" b="0"/>
                      <wp:wrapNone/>
                      <wp:docPr id="262" name="Frame262"/>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762635" cy="175260"/>
                      <wp:effectExtent l="0" t="0" r="0" b="0"/>
                      <wp:wrapNone/>
                      <wp:docPr id="264" name="Frame264"/>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5"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41300" cy="175260"/>
                      <wp:effectExtent l="0" t="0" r="0" b="0"/>
                      <wp:wrapNone/>
                      <wp:docPr id="266" name="Frame266"/>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531495" cy="175260"/>
                      <wp:effectExtent l="0" t="0" r="0" b="0"/>
                      <wp:wrapNone/>
                      <wp:docPr id="267" name="Frame267"/>
                      <a:graphic xmlns:a="http://schemas.openxmlformats.org/drawingml/2006/main">
                        <a:graphicData uri="http://schemas.microsoft.com/office/word/2010/wordprocessingShape">
                          <wps:wsp>
                            <wps:cNvSpPr txBox="1"/>
                            <wps:spPr>
                              <a:xfrm>
                                <a:off x="0" y="0"/>
                                <a:ext cx="531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35" w:type="dxa"/>
            <w:tcBorders/>
            <w:vAlign w:val="center"/>
          </w:tcPr>
          <w:p>
            <w:pPr>
              <w:pStyle w:val="TableContents"/>
              <w:bidi w:val="0"/>
              <w:spacing w:before="0" w:after="1"/>
              <w:ind w:left="0" w:right="0" w:hanging="0"/>
              <w:jc w:val="center"/>
              <w:rPr/>
            </w:pPr>
            <w:r>
              <w:rPr/>
              <w:t>​</w:t>
            </w:r>
          </w:p>
        </w:tc>
        <w:tc>
          <w:tcPr>
            <w:tcW w:w="8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left"/>
              <w:rPr/>
            </w:pPr>
            <w:r>
              <w:rPr/>
              <w:t>    </w:t>
            </w:r>
          </w:p>
        </w:tc>
        <w:tc>
          <w:tcPr>
            <w:tcW w:w="380" w:type="dxa"/>
            <w:tcBorders/>
            <w:vAlign w:val="center"/>
          </w:tcPr>
          <w:p>
            <w:pPr>
              <w:pStyle w:val="TableContents"/>
              <w:bidi w:val="0"/>
              <w:spacing w:before="0" w:after="1"/>
              <w:ind w:left="0" w:right="0" w:hanging="0"/>
              <w:jc w:val="left"/>
              <w:rPr/>
            </w:pPr>
            <w:r>
              <w:rPr/>
              <w:t>​</w:t>
            </w:r>
          </w:p>
        </w:tc>
        <w:tc>
          <w:tcPr>
            <w:tcW w:w="837" w:type="dxa"/>
            <w:tcBorders/>
            <w:vAlign w:val="center"/>
          </w:tcPr>
          <w:p>
            <w:pPr>
              <w:pStyle w:val="TableContents"/>
              <w:bidi w:val="0"/>
              <w:spacing w:before="0" w:after="1"/>
              <w:ind w:left="0" w:right="0" w:hanging="0"/>
              <w:jc w:val="center"/>
              <w:rPr/>
            </w:pPr>
            <w:r>
              <w:rPr/>
              <w:t>​</w:t>
            </w:r>
          </w:p>
        </w:tc>
      </w:tr>
      <w:tr>
        <w:trPr/>
        <w:tc>
          <w:tcPr>
            <w:tcW w:w="45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center"/>
              <w:rPr/>
            </w:pPr>
            <w:r>
              <w:rPr/>
              <w:t>​</w:t>
            </w:r>
          </w:p>
        </w:tc>
        <w:tc>
          <w:tcPr>
            <w:tcW w:w="8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w:t>
            </w:r>
          </w:p>
        </w:tc>
        <w:tc>
          <w:tcPr>
            <w:tcW w:w="32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837" w:type="dxa"/>
            <w:tcBorders/>
            <w:vAlign w:val="center"/>
          </w:tcPr>
          <w:p>
            <w:pPr>
              <w:pStyle w:val="TableContents"/>
              <w:bidi w:val="0"/>
              <w:spacing w:before="0" w:after="1"/>
              <w:ind w:left="0" w:right="0" w:hanging="0"/>
              <w:jc w:val="center"/>
              <w:rPr/>
            </w:pPr>
            <w:r>
              <w:rPr/>
              <w:t>​</w:t>
            </w:r>
          </w:p>
        </w:tc>
      </w:tr>
      <w:tr>
        <w:trPr/>
        <w:tc>
          <w:tcPr>
            <w:tcW w:w="45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 </w:t>
            </w:r>
          </w:p>
        </w:tc>
        <w:tc>
          <w:tcPr>
            <w:tcW w:w="326" w:type="dxa"/>
            <w:tcBorders/>
            <w:vAlign w:val="center"/>
          </w:tcPr>
          <w:p>
            <w:pPr>
              <w:pStyle w:val="TableContents"/>
              <w:bidi w:val="0"/>
              <w:spacing w:before="0" w:after="1"/>
              <w:ind w:left="0" w:right="0" w:hanging="0"/>
              <w:jc w:val="left"/>
              <w:rPr/>
            </w:pPr>
            <w:r>
              <w:rPr/>
              <w:t>​</w:t>
            </w:r>
          </w:p>
        </w:tc>
        <w:tc>
          <w:tcPr>
            <w:tcW w:w="121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 </w:t>
            </w:r>
          </w:p>
        </w:tc>
      </w:tr>
      <w:tr>
        <w:trPr/>
        <w:tc>
          <w:tcPr>
            <w:tcW w:w="45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per Share</w:t>
            </w:r>
          </w:p>
        </w:tc>
        <w:tc>
          <w:tcPr>
            <w:tcW w:w="326" w:type="dxa"/>
            <w:tcBorders/>
            <w:vAlign w:val="center"/>
          </w:tcPr>
          <w:p>
            <w:pPr>
              <w:pStyle w:val="TableContents"/>
              <w:bidi w:val="0"/>
              <w:spacing w:before="0" w:after="1"/>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 Term</w:t>
            </w:r>
          </w:p>
        </w:tc>
        <w:tc>
          <w:tcPr>
            <w:tcW w:w="326" w:type="dxa"/>
            <w:tcBorders/>
            <w:vAlign w:val="center"/>
          </w:tcPr>
          <w:p>
            <w:pPr>
              <w:pStyle w:val="TableContents"/>
              <w:bidi w:val="0"/>
              <w:spacing w:before="0" w:after="1"/>
              <w:ind w:left="0" w:right="0" w:hanging="0"/>
              <w:jc w:val="left"/>
              <w:rPr/>
            </w:pPr>
            <w:r>
              <w:rPr/>
              <w:t>    </w:t>
            </w:r>
          </w:p>
        </w:tc>
        <w:tc>
          <w:tcPr>
            <w:tcW w:w="12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 Value</w:t>
            </w:r>
          </w:p>
        </w:tc>
      </w:tr>
      <w:tr>
        <w:trPr/>
        <w:tc>
          <w:tcPr>
            <w:tcW w:w="45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35"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26" w:type="dxa"/>
            <w:tcBorders/>
            <w:vAlign w:val="center"/>
          </w:tcPr>
          <w:p>
            <w:pPr>
              <w:pStyle w:val="TableContents"/>
              <w:bidi w:val="0"/>
              <w:spacing w:before="0" w:after="1"/>
              <w:ind w:left="0" w:right="0" w:hanging="0"/>
              <w:jc w:val="left"/>
              <w:rPr/>
            </w:pPr>
            <w:r>
              <w:rPr/>
              <w:t>​</w:t>
            </w:r>
          </w:p>
        </w:tc>
        <w:tc>
          <w:tcPr>
            <w:tcW w:w="121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5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January 1, 2023</w:t>
            </w:r>
          </w:p>
        </w:tc>
        <w:tc>
          <w:tcPr>
            <w:tcW w:w="326" w:type="dxa"/>
            <w:tcBorders/>
            <w:shd w:fill="CCEEFF" w:val="clear"/>
            <w:vAlign w:val="center"/>
          </w:tcPr>
          <w:p>
            <w:pPr>
              <w:pStyle w:val="TableContents"/>
              <w:bidi w:val="0"/>
              <w:spacing w:before="0" w:after="1"/>
              <w:ind w:left="0" w:right="0" w:hanging="0"/>
              <w:jc w:val="left"/>
              <w:rPr/>
            </w:pPr>
            <w:r>
              <w:rPr/>
              <w:t> </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837" w:type="dxa"/>
            <w:tcBorders/>
            <w:shd w:fill="CCEEFF" w:val="clear"/>
            <w:vAlign w:val="center"/>
          </w:tcPr>
          <w:p>
            <w:pPr>
              <w:pStyle w:val="TableContents"/>
              <w:bidi w:val="0"/>
              <w:spacing w:before="0" w:after="1"/>
              <w:ind w:left="0" w:right="0" w:hanging="0"/>
              <w:jc w:val="right"/>
              <w:rPr/>
            </w:pPr>
            <w:r>
              <w:rPr/>
              <w:t>​</w:t>
            </w:r>
          </w:p>
        </w:tc>
      </w:tr>
      <w:tr>
        <w:trPr/>
        <w:tc>
          <w:tcPr>
            <w:tcW w:w="45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7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790,181</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w:t>
            </w:r>
          </w:p>
        </w:tc>
        <w:tc>
          <w:tcPr>
            <w:tcW w:w="326"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 </w:t>
            </w:r>
          </w:p>
        </w:tc>
        <w:tc>
          <w:tcPr>
            <w:tcW w:w="837" w:type="dxa"/>
            <w:tcBorders/>
            <w:vAlign w:val="center"/>
          </w:tcPr>
          <w:p>
            <w:pPr>
              <w:pStyle w:val="TableContents"/>
              <w:bidi w:val="0"/>
              <w:spacing w:before="0" w:after="1"/>
              <w:ind w:left="0" w:right="0" w:hanging="0"/>
              <w:jc w:val="right"/>
              <w:rPr/>
            </w:pPr>
            <w:r>
              <w:rPr/>
              <w:t>  </w:t>
            </w:r>
          </w:p>
        </w:tc>
      </w:tr>
      <w:tr>
        <w:trPr/>
        <w:tc>
          <w:tcPr>
            <w:tcW w:w="45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1"/>
              <w:ind w:left="0" w:right="0" w:hanging="0"/>
              <w:jc w:val="left"/>
              <w:rPr/>
            </w:pPr>
            <w:r>
              <w:rPr/>
              <w:t> </w:t>
            </w:r>
          </w:p>
        </w:tc>
        <w:tc>
          <w:tcPr>
            <w:tcW w:w="79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8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 </w:t>
            </w:r>
          </w:p>
        </w:tc>
        <w:tc>
          <w:tcPr>
            <w:tcW w:w="837" w:type="dxa"/>
            <w:tcBorders/>
            <w:shd w:fill="CCEEFF" w:val="clear"/>
            <w:vAlign w:val="center"/>
          </w:tcPr>
          <w:p>
            <w:pPr>
              <w:pStyle w:val="TableContents"/>
              <w:bidi w:val="0"/>
              <w:spacing w:before="0" w:after="1"/>
              <w:ind w:left="0" w:right="0" w:hanging="0"/>
              <w:jc w:val="right"/>
              <w:rPr/>
            </w:pPr>
            <w:r>
              <w:rPr/>
              <w:t>  </w:t>
            </w:r>
          </w:p>
        </w:tc>
      </w:tr>
      <w:tr>
        <w:trPr/>
        <w:tc>
          <w:tcPr>
            <w:tcW w:w="45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1"/>
              <w:ind w:left="0" w:right="0" w:hanging="0"/>
              <w:jc w:val="left"/>
              <w:rPr/>
            </w:pPr>
            <w:r>
              <w:rPr/>
              <w:t> </w:t>
            </w:r>
          </w:p>
        </w:tc>
        <w:tc>
          <w:tcPr>
            <w:tcW w:w="7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(93,256)</w:t>
            </w:r>
          </w:p>
        </w:tc>
        <w:tc>
          <w:tcPr>
            <w:tcW w:w="326"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w:t>
            </w:r>
          </w:p>
        </w:tc>
        <w:tc>
          <w:tcPr>
            <w:tcW w:w="326" w:type="dxa"/>
            <w:tcBorders/>
            <w:vAlign w:val="center"/>
          </w:tcPr>
          <w:p>
            <w:pPr>
              <w:pStyle w:val="TableContents"/>
              <w:bidi w:val="0"/>
              <w:spacing w:before="0" w:after="1"/>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8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7"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r>
      <w:tr>
        <w:trPr/>
        <w:tc>
          <w:tcPr>
            <w:tcW w:w="45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September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7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696,925</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w:t>
            </w:r>
          </w:p>
        </w:tc>
        <w:tc>
          <w:tcPr>
            <w:tcW w:w="326" w:type="dxa"/>
            <w:tcBorders/>
            <w:shd w:fill="CCEEFF" w:val="clear"/>
            <w:vAlign w:val="center"/>
          </w:tcPr>
          <w:p>
            <w:pPr>
              <w:pStyle w:val="TableContents"/>
              <w:bidi w:val="0"/>
              <w:spacing w:before="0" w:after="1"/>
              <w:ind w:left="0" w:right="0" w:hanging="0"/>
              <w:jc w:val="left"/>
              <w:rPr/>
            </w:pPr>
            <w:r>
              <w:rPr/>
              <w:t> </w:t>
            </w:r>
          </w:p>
        </w:tc>
        <w:tc>
          <w:tcPr>
            <w:tcW w:w="12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9.59</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5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 and expected to vest at September 30, 2023</w:t>
            </w:r>
          </w:p>
        </w:tc>
        <w:tc>
          <w:tcPr>
            <w:tcW w:w="326" w:type="dxa"/>
            <w:tcBorders/>
            <w:vAlign w:val="center"/>
          </w:tcPr>
          <w:p>
            <w:pPr>
              <w:pStyle w:val="TableContents"/>
              <w:bidi w:val="0"/>
              <w:spacing w:before="0" w:after="1"/>
              <w:ind w:left="0" w:right="0" w:hanging="0"/>
              <w:jc w:val="left"/>
              <w:rPr/>
            </w:pPr>
            <w:r>
              <w:rPr/>
              <w:t> </w:t>
            </w:r>
          </w:p>
        </w:tc>
        <w:tc>
          <w:tcPr>
            <w:tcW w:w="79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696,925</w:t>
            </w:r>
          </w:p>
        </w:tc>
        <w:tc>
          <w:tcPr>
            <w:tcW w:w="326" w:type="dxa"/>
            <w:tcBorders/>
            <w:vAlign w:val="center"/>
          </w:tcPr>
          <w:p>
            <w:pPr>
              <w:pStyle w:val="TableContents"/>
              <w:bidi w:val="0"/>
              <w:spacing w:before="0" w:after="1"/>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w:t>
            </w:r>
          </w:p>
        </w:tc>
        <w:tc>
          <w:tcPr>
            <w:tcW w:w="326" w:type="dxa"/>
            <w:tcBorders/>
            <w:vAlign w:val="center"/>
          </w:tcPr>
          <w:p>
            <w:pPr>
              <w:pStyle w:val="TableContents"/>
              <w:bidi w:val="0"/>
              <w:spacing w:before="0" w:after="1"/>
              <w:ind w:left="0" w:right="0" w:hanging="0"/>
              <w:jc w:val="left"/>
              <w:rPr/>
            </w:pPr>
            <w:r>
              <w:rPr/>
              <w:t> </w:t>
            </w:r>
          </w:p>
        </w:tc>
        <w:tc>
          <w:tcPr>
            <w:tcW w:w="12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9.59</w:t>
            </w:r>
          </w:p>
        </w:tc>
        <w:tc>
          <w:tcPr>
            <w:tcW w:w="326" w:type="dxa"/>
            <w:tcBorders/>
            <w:vAlign w:val="center"/>
          </w:tcPr>
          <w:p>
            <w:pPr>
              <w:pStyle w:val="TableContents"/>
              <w:bidi w:val="0"/>
              <w:spacing w:before="0" w:after="1"/>
              <w:ind w:left="0" w:right="0" w:hanging="0"/>
              <w:jc w:val="left"/>
              <w:rPr/>
            </w:pPr>
            <w:r>
              <w:rPr/>
              <w:t>​</w:t>
            </w:r>
          </w:p>
        </w:tc>
        <w:tc>
          <w:tcPr>
            <w:tcW w:w="38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r>
      <w:tr>
        <w:trPr/>
        <w:tc>
          <w:tcPr>
            <w:tcW w:w="45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appreciation rights exercisable at September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7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pPr>
            <w:r>
              <w:rPr/>
              <w:t>—</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aggregate intrinsic value of stock appreciation rights is calculated as the difference between the strike price of the stock appreciation rights and the fair value of the Company’s common stock for those stock appreciation rights that had strike prices lower than the fair value of the Company’s common stock.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 stock appreciation rights were granted under this plan during the fiscal quarter ended September 30, 2023.</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1318" w:name="Tc_Uqb9gSdzgEWMlfGLMGV78g_11_11"/>
      <w:bookmarkStart w:id="1319" w:name="Tc_5UZsuTkD1EGuKal48fhl_Q_11_8"/>
      <w:bookmarkStart w:id="1320" w:name="Tc_udjZCTc9UUy3CJXFgsZ0qg_11_5"/>
      <w:bookmarkStart w:id="1321" w:name="Tc_5ckQ53fWY0urYgduAl08FQ_11_2"/>
      <w:bookmarkStart w:id="1322" w:name="Tc_6LDhOQi1tUeknkPOH80xVg_11_0"/>
      <w:bookmarkStart w:id="1323" w:name="Tc_P5XKtKK8VkWVo4M14MyYeg_10_11"/>
      <w:bookmarkStart w:id="1324" w:name="Tc_Y1VyR94GLkaXu0PpkbrRTw_10_8"/>
      <w:bookmarkStart w:id="1325" w:name="Tc_xC54hXsvekea554x20j1KA_10_5"/>
      <w:bookmarkStart w:id="1326" w:name="Tc_sBYrxkqJQkm5TlskzDxLmw_10_2"/>
      <w:bookmarkStart w:id="1327" w:name="Tc_Q7j8RWDAHkSI3Aw0TM84nQ_10_0"/>
      <w:bookmarkStart w:id="1328" w:name="Tc_n8jmdh9vDEuPsS7gE341nw_9_0"/>
      <w:bookmarkStart w:id="1329" w:name="Tc_vWLB_D6o1kevGKKnZFgXvA_8_0"/>
      <w:bookmarkStart w:id="1330" w:name="Tc_A6lulR4tjEOGz2G0qKTasg_7_0"/>
      <w:bookmarkStart w:id="1331" w:name="Tc_E40FXocDMUaMm_n7i3QP7A_6_0"/>
      <w:bookmarkStart w:id="1332" w:name="Tc_f1lBNd9xVk-1zEzzHgxHGw_5_0"/>
      <w:bookmarkStart w:id="1333" w:name="Tc_UkCa61oT6U6GnYv6Abzfzg_4_11"/>
      <w:bookmarkStart w:id="1334" w:name="Tc_nVb57dQJck2Q2qwny6c6lw_4_8"/>
      <w:bookmarkStart w:id="1335" w:name="Tc_wmCYfs_RJUWUpWroDDhEig_4_5"/>
      <w:bookmarkStart w:id="1336" w:name="Tc_zmt5iJLGs0KNl4pCvBz0kg_4_2"/>
      <w:bookmarkStart w:id="1337" w:name="Tc_NNSXtR_XJkioiKUYUN-Maw_4_0"/>
      <w:bookmarkStart w:id="1338" w:name="Tc_eaxSjZmqmkumUaesFKKUiA_3_0"/>
      <w:bookmarkStart w:id="1339" w:name="Tc_NFQFXTuVUkix-_3Scq-qmA_2_11"/>
      <w:bookmarkStart w:id="1340" w:name="Tc_xcULjS4g80-3wICUgiDGNw_2_8"/>
      <w:bookmarkStart w:id="1341" w:name="Tc_0zflRUhNw0232E8XfnRMKQ_2_5"/>
      <w:bookmarkStart w:id="1342" w:name="Tc_9nuO5hOnyUepmTExvL0_bA_2_2"/>
      <w:bookmarkStart w:id="1343" w:name="Tc_UgFUk1EBLEqlHa6Su2QUMQ_1_8"/>
      <w:bookmarkStart w:id="1344" w:name="Tc_US2DL0ivXUWg49HCxyfR6Q_1_2"/>
      <w:bookmarkStart w:id="1345" w:name="_065a5b5b_3268_4f3f_a61a_b3b3393cf1ca"/>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r>
        <w:rPr>
          <w:rFonts w:ascii="Times New Roman;Times;serif" w:hAnsi="Times New Roman;Times;serif"/>
          <w:b/>
          <w:sz w:val="20"/>
        </w:rPr>
        <w:t>13. NET INCOME (LOSS) PER SHARE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Basic and diluted net income (loss) per share attributable to common stockholders was calculated as follows (in thousands, except share and per share data):</w:t>
      </w:r>
    </w:p>
    <w:p>
      <w:pPr>
        <w:pStyle w:val="TextBody"/>
        <w:bidi w:val="0"/>
        <w:spacing w:before="0" w:after="24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3178"/>
        <w:gridCol w:w="326"/>
        <w:gridCol w:w="223"/>
        <w:gridCol w:w="1208"/>
        <w:gridCol w:w="326"/>
        <w:gridCol w:w="211"/>
        <w:gridCol w:w="1141"/>
        <w:gridCol w:w="326"/>
        <w:gridCol w:w="223"/>
        <w:gridCol w:w="1208"/>
        <w:gridCol w:w="326"/>
        <w:gridCol w:w="211"/>
        <w:gridCol w:w="1141"/>
        <w:gridCol w:w="157"/>
      </w:tblGrid>
      <w:tr>
        <w:trPr/>
        <w:tc>
          <w:tcPr>
            <w:tcW w:w="3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18030" cy="175260"/>
                      <wp:effectExtent l="0" t="0" r="0" b="0"/>
                      <wp:wrapNone/>
                      <wp:docPr id="268" name="Frame268"/>
                      <a:graphic xmlns:a="http://schemas.openxmlformats.org/drawingml/2006/main">
                        <a:graphicData uri="http://schemas.microsoft.com/office/word/2010/wordprocessingShape">
                          <wps:wsp>
                            <wps:cNvSpPr txBox="1"/>
                            <wps:spPr>
                              <a:xfrm>
                                <a:off x="0" y="0"/>
                                <a:ext cx="2018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175260"/>
                      <wp:effectExtent l="0" t="0" r="0" b="0"/>
                      <wp:wrapNone/>
                      <wp:docPr id="269" name="Frame2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41605" cy="175260"/>
                      <wp:effectExtent l="0" t="0" r="0" b="0"/>
                      <wp:wrapNone/>
                      <wp:docPr id="270" name="Frame270"/>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767080" cy="175260"/>
                      <wp:effectExtent l="0" t="0" r="0" b="0"/>
                      <wp:wrapNone/>
                      <wp:docPr id="271" name="Frame271"/>
                      <a:graphic xmlns:a="http://schemas.openxmlformats.org/drawingml/2006/main">
                        <a:graphicData uri="http://schemas.microsoft.com/office/word/2010/wordprocessingShape">
                          <wps:wsp>
                            <wps:cNvSpPr txBox="1"/>
                            <wps:spPr>
                              <a:xfrm>
                                <a:off x="0" y="0"/>
                                <a:ext cx="767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3" name="Frame2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724535" cy="175260"/>
                      <wp:effectExtent l="0" t="0" r="0" b="0"/>
                      <wp:wrapNone/>
                      <wp:docPr id="274" name="Frame27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41605" cy="175260"/>
                      <wp:effectExtent l="0" t="0" r="0" b="0"/>
                      <wp:wrapNone/>
                      <wp:docPr id="276" name="Frame276"/>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767080" cy="175260"/>
                      <wp:effectExtent l="0" t="0" r="0" b="0"/>
                      <wp:wrapNone/>
                      <wp:docPr id="277" name="Frame277"/>
                      <a:graphic xmlns:a="http://schemas.openxmlformats.org/drawingml/2006/main">
                        <a:graphicData uri="http://schemas.microsoft.com/office/word/2010/wordprocessingShape">
                          <wps:wsp>
                            <wps:cNvSpPr txBox="1"/>
                            <wps:spPr>
                              <a:xfrm>
                                <a:off x="0" y="0"/>
                                <a:ext cx="767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3985" cy="175260"/>
                      <wp:effectExtent l="0" t="0" r="0" b="0"/>
                      <wp:wrapNone/>
                      <wp:docPr id="279" name="Frame2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724535" cy="175260"/>
                      <wp:effectExtent l="0" t="0" r="0" b="0"/>
                      <wp:wrapNone/>
                      <wp:docPr id="280" name="Frame28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99695" cy="175260"/>
                      <wp:effectExtent l="0" t="0" r="0" b="0"/>
                      <wp:wrapNone/>
                      <wp:docPr id="281" name="Frame281"/>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7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10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c>
          <w:tcPr>
            <w:tcW w:w="326" w:type="dxa"/>
            <w:tcBorders/>
            <w:vAlign w:val="center"/>
          </w:tcPr>
          <w:p>
            <w:pPr>
              <w:pStyle w:val="TableContents"/>
              <w:bidi w:val="0"/>
              <w:spacing w:before="0" w:after="0"/>
              <w:ind w:left="0" w:right="0" w:hanging="0"/>
              <w:jc w:val="left"/>
              <w:rPr/>
            </w:pPr>
            <w:r>
              <w:rPr/>
              <w:t>​</w:t>
            </w:r>
          </w:p>
        </w:tc>
        <w:tc>
          <w:tcPr>
            <w:tcW w:w="310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Fiscal Quarters Ended</w:t>
            </w:r>
          </w:p>
        </w:tc>
        <w:tc>
          <w:tcPr>
            <w:tcW w:w="15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317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4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 2022</w:t>
            </w:r>
          </w:p>
        </w:tc>
        <w:tc>
          <w:tcPr>
            <w:tcW w:w="326" w:type="dxa"/>
            <w:tcBorders/>
            <w:vAlign w:val="center"/>
          </w:tcPr>
          <w:p>
            <w:pPr>
              <w:pStyle w:val="TableContents"/>
              <w:bidi w:val="0"/>
              <w:spacing w:before="0" w:after="0"/>
              <w:ind w:left="0" w:right="0" w:hanging="0"/>
              <w:jc w:val="left"/>
              <w:rPr/>
            </w:pPr>
            <w:r>
              <w:rPr/>
              <w:t>    </w:t>
            </w:r>
          </w:p>
        </w:tc>
        <w:tc>
          <w:tcPr>
            <w:tcW w:w="14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 2022</w:t>
            </w:r>
          </w:p>
        </w:tc>
        <w:tc>
          <w:tcPr>
            <w:tcW w:w="15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31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26" w:type="dxa"/>
            <w:tcBorders/>
            <w:shd w:fill="CCEEFF" w:val="clear"/>
            <w:vAlign w:val="center"/>
          </w:tcPr>
          <w:p>
            <w:pPr>
              <w:pStyle w:val="TableContents"/>
              <w:bidi w:val="0"/>
              <w:spacing w:before="0" w:after="0"/>
              <w:ind w:left="0" w:right="0" w:hanging="0"/>
              <w:jc w:val="center"/>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120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120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31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326" w:type="dxa"/>
            <w:tcBorders/>
            <w:vAlign w:val="center"/>
          </w:tcPr>
          <w:p>
            <w:pPr>
              <w:pStyle w:val="TableContents"/>
              <w:bidi w:val="0"/>
              <w:spacing w:before="0" w:after="0"/>
              <w:ind w:left="0" w:right="0" w:hanging="0"/>
              <w:jc w:val="center"/>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11,876</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13,339</w:t>
            </w:r>
          </w:p>
        </w:tc>
        <w:tc>
          <w:tcPr>
            <w:tcW w:w="1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1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26" w:type="dxa"/>
            <w:tcBorders/>
            <w:shd w:fill="CCEEFF" w:val="clear"/>
            <w:vAlign w:val="center"/>
          </w:tcPr>
          <w:p>
            <w:pPr>
              <w:pStyle w:val="TableContents"/>
              <w:bidi w:val="0"/>
              <w:spacing w:before="0" w:after="0"/>
              <w:ind w:left="0" w:right="0" w:hanging="0"/>
              <w:jc w:val="left"/>
              <w:rPr/>
            </w:pPr>
            <w:r>
              <w:rPr/>
              <w:t> </w:t>
            </w:r>
          </w:p>
        </w:tc>
        <w:tc>
          <w:tcPr>
            <w:tcW w:w="223" w:type="dxa"/>
            <w:tcBorders/>
            <w:shd w:fill="CCEEFF" w:val="clear"/>
            <w:vAlign w:val="center"/>
          </w:tcPr>
          <w:p>
            <w:pPr>
              <w:pStyle w:val="TableContents"/>
              <w:bidi w:val="0"/>
              <w:spacing w:before="0" w:after="0"/>
              <w:ind w:left="0" w:right="0" w:hanging="0"/>
              <w:jc w:val="left"/>
              <w:rPr/>
            </w:pPr>
            <w:r>
              <w:rPr/>
              <w:t>​</w:t>
            </w:r>
          </w:p>
        </w:tc>
        <w:tc>
          <w:tcPr>
            <w:tcW w:w="1208"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1208"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  </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31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w:t>
            </w:r>
          </w:p>
        </w:tc>
        <w:tc>
          <w:tcPr>
            <w:tcW w:w="32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w:t>
            </w:r>
          </w:p>
        </w:tc>
        <w:tc>
          <w:tcPr>
            <w:tcW w:w="120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120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157" w:type="dxa"/>
            <w:tcBorders/>
            <w:vAlign w:val="center"/>
          </w:tcPr>
          <w:p>
            <w:pPr>
              <w:pStyle w:val="TableContents"/>
              <w:bidi w:val="0"/>
              <w:spacing w:before="0" w:after="0"/>
              <w:ind w:left="0" w:right="0" w:hanging="0"/>
              <w:jc w:val="right"/>
              <w:rPr/>
            </w:pPr>
            <w:r>
              <w:rPr/>
              <w:t>​</w:t>
            </w:r>
          </w:p>
        </w:tc>
      </w:tr>
      <w:tr>
        <w:trPr/>
        <w:tc>
          <w:tcPr>
            <w:tcW w:w="31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113,538,533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113,171,655</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112,629,851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113,521,425</w:t>
            </w:r>
          </w:p>
        </w:tc>
        <w:tc>
          <w:tcPr>
            <w:tcW w:w="1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1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114,656,761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113,202,846</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112,629,851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114,867,164</w:t>
            </w:r>
          </w:p>
        </w:tc>
        <w:tc>
          <w:tcPr>
            <w:tcW w:w="1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1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 attributable to common stockholders:</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120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120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31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0.10</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0.12</w:t>
            </w:r>
          </w:p>
        </w:tc>
        <w:tc>
          <w:tcPr>
            <w:tcW w:w="1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1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0.10</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0.12</w:t>
            </w:r>
          </w:p>
        </w:tc>
        <w:tc>
          <w:tcPr>
            <w:tcW w:w="1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17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w:t>
            </w:r>
          </w:p>
        </w:tc>
        <w:tc>
          <w:tcPr>
            <w:tcW w:w="120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w:t>
            </w:r>
          </w:p>
        </w:tc>
        <w:tc>
          <w:tcPr>
            <w:tcW w:w="120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pPr>
            <w:r>
              <w:rPr/>
              <w:t>​</w:t>
            </w:r>
          </w:p>
        </w:tc>
        <w:tc>
          <w:tcPr>
            <w:tcW w:w="157"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bookmarkStart w:id="1346" w:name="Tc_vXdmri0Gz06_b4JAnzctaw_6_8"/>
      <w:bookmarkStart w:id="1347" w:name="Tc_8ZvZNViYP0aYUlum9yIkKg_6_4"/>
      <w:bookmarkStart w:id="1348" w:name="Tc_om4o7pFJW0CxxmCidVgXkA_6_0"/>
      <w:bookmarkStart w:id="1349" w:name="Tc_TcLuNIER3UK-sSjIskpegw_5_0"/>
      <w:bookmarkStart w:id="1350" w:name="Tc_tM3T0RBONUunSSrXGvvQpg_4_0"/>
      <w:bookmarkStart w:id="1351" w:name="Tc_KFVr8NCSUUm04Asc6vMq5Q_3_0"/>
      <w:bookmarkStart w:id="1352" w:name="Tc_RWUcIFTciUavlnig4RZ9zg_2_8"/>
      <w:bookmarkStart w:id="1353" w:name="Tc_dAnEaT2jbkqv8Zy-13mPlg_2_6"/>
      <w:bookmarkStart w:id="1354" w:name="Tc_ofpJou4QDkKdSkJLfoWVOw_2_4"/>
      <w:bookmarkStart w:id="1355" w:name="Tc_Nk_1lG9c10yl13gPsc6MsA_2_2"/>
      <w:bookmarkStart w:id="1356" w:name="Tc_s8iKYhQkO026Jmapo_mAww_1_6"/>
      <w:bookmarkStart w:id="1357" w:name="Tc_IuTC_U0PGE6GGXKoJtW4Fw_1_2"/>
      <w:bookmarkEnd w:id="1346"/>
      <w:bookmarkEnd w:id="1347"/>
      <w:bookmarkEnd w:id="1348"/>
      <w:bookmarkEnd w:id="1349"/>
      <w:bookmarkEnd w:id="1350"/>
      <w:bookmarkEnd w:id="1351"/>
      <w:bookmarkEnd w:id="1352"/>
      <w:bookmarkEnd w:id="1353"/>
      <w:bookmarkEnd w:id="1354"/>
      <w:bookmarkEnd w:id="1355"/>
      <w:bookmarkEnd w:id="1356"/>
      <w:bookmarkEnd w:id="1357"/>
      <w:r>
        <w:rPr>
          <w:rFonts w:ascii="Times New Roman;Times;serif" w:hAnsi="Times New Roman;Times;serif"/>
          <w:sz w:val="20"/>
        </w:rPr>
        <w:t>As of September 30, 2023 and December 31, 2022, 113,574,696 and 112,091,756 shares of common stock were issued and outstanding for accounting purposes, respectively.</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includes the number of shares that may be dilutive common shares in the future that were not included in the computation of diluted net income (loss) per share because the effect was anti-dilutive:</w:t>
      </w:r>
    </w:p>
    <w:p>
      <w:pPr>
        <w:pStyle w:val="TextBody"/>
        <w:bidi w:val="0"/>
        <w:spacing w:before="0" w:after="240"/>
        <w:ind w:left="0" w:right="0" w:firstLine="360"/>
        <w:jc w:val="left"/>
        <w:rPr/>
      </w:pPr>
      <w:r>
        <w:rPr/>
        <w:t>​</w:t>
      </w:r>
    </w:p>
    <w:tbl>
      <w:tblPr>
        <w:tblW w:w="9184" w:type="dxa"/>
        <w:jc w:val="left"/>
        <w:tblInd w:w="0" w:type="dxa"/>
        <w:tblLayout w:type="fixed"/>
        <w:tblCellMar>
          <w:top w:w="0" w:type="dxa"/>
          <w:left w:w="0" w:type="dxa"/>
          <w:bottom w:w="0" w:type="dxa"/>
          <w:right w:w="0" w:type="dxa"/>
        </w:tblCellMar>
      </w:tblPr>
      <w:tblGrid>
        <w:gridCol w:w="2161"/>
        <w:gridCol w:w="326"/>
        <w:gridCol w:w="1546"/>
        <w:gridCol w:w="326"/>
        <w:gridCol w:w="1291"/>
        <w:gridCol w:w="326"/>
        <w:gridCol w:w="1546"/>
        <w:gridCol w:w="326"/>
        <w:gridCol w:w="133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372235" cy="175260"/>
                      <wp:effectExtent l="0" t="0" r="0" b="0"/>
                      <wp:wrapNone/>
                      <wp:docPr id="282" name="Frame282"/>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83" name="Frame2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981710" cy="175260"/>
                      <wp:effectExtent l="0" t="0" r="0" b="0"/>
                      <wp:wrapNone/>
                      <wp:docPr id="284" name="Frame284"/>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7010" cy="175260"/>
                      <wp:effectExtent l="0" t="0" r="0" b="0"/>
                      <wp:wrapNone/>
                      <wp:docPr id="285" name="Frame2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819785" cy="175260"/>
                      <wp:effectExtent l="0" t="0" r="0" b="0"/>
                      <wp:wrapNone/>
                      <wp:docPr id="286" name="Frame286"/>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87" name="Frame2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981710" cy="175260"/>
                      <wp:effectExtent l="0" t="0" r="0" b="0"/>
                      <wp:wrapNone/>
                      <wp:docPr id="288" name="Frame288"/>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07010" cy="175260"/>
                      <wp:effectExtent l="0" t="0" r="0" b="0"/>
                      <wp:wrapNone/>
                      <wp:docPr id="289" name="Frame2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848360" cy="175260"/>
                      <wp:effectExtent l="0" t="0" r="0" b="0"/>
                      <wp:wrapNone/>
                      <wp:docPr id="290" name="Frame290"/>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316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c>
          <w:tcPr>
            <w:tcW w:w="326" w:type="dxa"/>
            <w:tcBorders/>
            <w:vAlign w:val="center"/>
          </w:tcPr>
          <w:p>
            <w:pPr>
              <w:pStyle w:val="TableContents"/>
              <w:bidi w:val="0"/>
              <w:spacing w:before="0" w:after="1"/>
              <w:ind w:left="0" w:right="0" w:hanging="0"/>
              <w:jc w:val="left"/>
              <w:rPr/>
            </w:pPr>
            <w:r>
              <w:rPr/>
              <w:t>    </w:t>
            </w:r>
          </w:p>
        </w:tc>
        <w:tc>
          <w:tcPr>
            <w:tcW w:w="320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Fiscal Quarters Ended</w: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1"/>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October 1, 2022</w:t>
            </w:r>
          </w:p>
        </w:tc>
        <w:tc>
          <w:tcPr>
            <w:tcW w:w="326" w:type="dxa"/>
            <w:tcBorders/>
            <w:vAlign w:val="center"/>
          </w:tcPr>
          <w:p>
            <w:pPr>
              <w:pStyle w:val="TableContents"/>
              <w:bidi w:val="0"/>
              <w:spacing w:before="0" w:after="1"/>
              <w:ind w:left="0" w:right="0" w:hanging="0"/>
              <w:jc w:val="left"/>
              <w:rPr/>
            </w:pPr>
            <w:r>
              <w:rPr/>
              <w:t>​</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1"/>
              <w:ind w:left="0" w:right="0" w:hanging="0"/>
              <w:jc w:val="left"/>
              <w:rPr/>
            </w:pPr>
            <w:r>
              <w:rPr/>
              <w:t>    </w:t>
            </w:r>
          </w:p>
        </w:tc>
        <w:tc>
          <w:tcPr>
            <w:tcW w:w="13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October 1, 2022</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awards</w:t>
            </w:r>
          </w:p>
        </w:tc>
        <w:tc>
          <w:tcPr>
            <w:tcW w:w="32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64,329</w:t>
            </w:r>
          </w:p>
        </w:tc>
        <w:tc>
          <w:tcPr>
            <w:tcW w:w="32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3,842,873</w:t>
            </w:r>
          </w:p>
        </w:tc>
        <w:tc>
          <w:tcPr>
            <w:tcW w:w="32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909,375</w:t>
            </w:r>
          </w:p>
        </w:tc>
        <w:tc>
          <w:tcPr>
            <w:tcW w:w="326" w:type="dxa"/>
            <w:tcBorders/>
            <w:shd w:fill="CCEEFF" w:val="clear"/>
            <w:vAlign w:val="center"/>
          </w:tcPr>
          <w:p>
            <w:pPr>
              <w:pStyle w:val="TableContents"/>
              <w:bidi w:val="0"/>
              <w:spacing w:before="0" w:after="1"/>
              <w:ind w:left="0" w:right="0" w:hanging="0"/>
              <w:jc w:val="left"/>
              <w:rPr/>
            </w:pPr>
            <w:r>
              <w:rPr/>
              <w:t> </w:t>
            </w:r>
          </w:p>
        </w:tc>
        <w:tc>
          <w:tcPr>
            <w:tcW w:w="13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1,280,958</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32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57,885</w:t>
            </w:r>
          </w:p>
        </w:tc>
        <w:tc>
          <w:tcPr>
            <w:tcW w:w="32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212,183</w:t>
            </w:r>
          </w:p>
        </w:tc>
        <w:tc>
          <w:tcPr>
            <w:tcW w:w="32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220,255</w:t>
            </w:r>
          </w:p>
        </w:tc>
        <w:tc>
          <w:tcPr>
            <w:tcW w:w="326" w:type="dxa"/>
            <w:tcBorders/>
            <w:vAlign w:val="center"/>
          </w:tcPr>
          <w:p>
            <w:pPr>
              <w:pStyle w:val="TableContents"/>
              <w:bidi w:val="0"/>
              <w:spacing w:before="0" w:after="1"/>
              <w:ind w:left="0" w:right="0" w:hanging="0"/>
              <w:jc w:val="left"/>
              <w:rPr/>
            </w:pPr>
            <w:r>
              <w:rPr/>
              <w:t> </w:t>
            </w:r>
          </w:p>
        </w:tc>
        <w:tc>
          <w:tcPr>
            <w:tcW w:w="13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108,570</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2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1,644,520</w:t>
            </w:r>
          </w:p>
        </w:tc>
        <w:tc>
          <w:tcPr>
            <w:tcW w:w="32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1,963,331</w:t>
            </w:r>
          </w:p>
        </w:tc>
        <w:tc>
          <w:tcPr>
            <w:tcW w:w="326" w:type="dxa"/>
            <w:tcBorders/>
            <w:shd w:fill="CCEEFF" w:val="clear"/>
            <w:vAlign w:val="center"/>
          </w:tcPr>
          <w:p>
            <w:pPr>
              <w:pStyle w:val="TableContents"/>
              <w:bidi w:val="0"/>
              <w:spacing w:before="0" w:after="1"/>
              <w:ind w:left="0" w:right="0" w:hanging="0"/>
              <w:jc w:val="righ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1,753,740</w:t>
            </w:r>
          </w:p>
        </w:tc>
        <w:tc>
          <w:tcPr>
            <w:tcW w:w="326" w:type="dxa"/>
            <w:tcBorders/>
            <w:shd w:fill="CCEEFF" w:val="clear"/>
            <w:vAlign w:val="center"/>
          </w:tcPr>
          <w:p>
            <w:pPr>
              <w:pStyle w:val="TableContents"/>
              <w:bidi w:val="0"/>
              <w:spacing w:before="0" w:after="1"/>
              <w:ind w:left="0" w:right="0" w:hanging="0"/>
              <w:jc w:val="left"/>
              <w:rPr/>
            </w:pPr>
            <w:r>
              <w:rPr/>
              <w:t> </w:t>
            </w:r>
          </w:p>
        </w:tc>
        <w:tc>
          <w:tcPr>
            <w:tcW w:w="13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1,655,462</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appreciation rights</w:t>
            </w:r>
          </w:p>
        </w:tc>
        <w:tc>
          <w:tcPr>
            <w:tcW w:w="32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738,940</w:t>
            </w:r>
          </w:p>
        </w:tc>
        <w:tc>
          <w:tcPr>
            <w:tcW w:w="32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422,874</w:t>
            </w:r>
          </w:p>
        </w:tc>
        <w:tc>
          <w:tcPr>
            <w:tcW w:w="326" w:type="dxa"/>
            <w:tcBorders/>
            <w:vAlign w:val="center"/>
          </w:tcPr>
          <w:p>
            <w:pPr>
              <w:pStyle w:val="TableContents"/>
              <w:bidi w:val="0"/>
              <w:spacing w:before="0" w:after="1"/>
              <w:ind w:left="0" w:right="0" w:hanging="0"/>
              <w:jc w:val="left"/>
              <w:rPr/>
            </w:pPr>
            <w:r>
              <w:rPr/>
              <w:t>​</w:t>
            </w:r>
          </w:p>
        </w:tc>
        <w:tc>
          <w:tcPr>
            <w:tcW w:w="1336" w:type="dxa"/>
            <w:tcBorders/>
            <w:vAlign w:val="center"/>
          </w:tcPr>
          <w:p>
            <w:pPr>
              <w:pStyle w:val="TableContents"/>
              <w:bidi w:val="0"/>
              <w:spacing w:before="0" w:after="1"/>
              <w:ind w:left="0" w:right="70" w:hanging="0"/>
              <w:jc w:val="right"/>
              <w:rPr/>
            </w:pPr>
            <w:r>
              <w:rPr/>
              <w:t>—</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14. RELATED PARTY TRANSACTIONS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BrightAI Services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Starting in 2020, BrightAI has rendered services to the Company, for which the cost has been capitalized as internal-use software. A co-founder of BrightAI Services has served on the Company’s Board of Directors since December 9, 2020. In December 2022, the Company executed an additional agreement with BrightAI for the provision of hardware to run the technology developed by BrightAI and the Company. During the three fiscal quarters ended September 30, 2023 and the fiscal year ended December 31, 2022, the Company incurred $0.8 million and $0.2 million, respectively, associated with services performed by BrightAI, which is recorded as construction in progress within property and equipment, net on the condensed consolidated balance sheet as of September 30, 2023. As of September 30, 2023 and December 31, 2022, the Company had accounts payable related to BrightAI of $0.0 million and $0.4 million, respectively.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Expense Reimbursement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entered into a Stockholders’ Agreement with the Sponsor and Wynnchurch Capital, L.P. on April 27, 2021. The Stockholders’ Agreement requires the Company to reimburse the Sponsor and Wynnchurch Capital, L.P. for their reasonable out-of-pocket costs and expenses in connection with monitoring and overseeing their investment in the Company.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recognized no amount and $0.2 million for the reimbursement of out-of-pocket costs and expenses to Wynnchurch Capital, L.P. and no amounts for the reimbursement of out-of-pocket costs and expenses to the Sponsor during the fiscal quarter and three fiscal quarters ended September 30, 2023, respectively. The Company recognized $0.2 million for the reimbursement of out-of-pocket costs and expenses to the Sponsor and $0.1 million for the reimbursement of out-of-pocket costs and expenses to the Wynnchurch Capital, L.P. during the fiscal quarter and the three fiscal quarters ended October 1, 2022. As of both September 30, 2023 and December 31, 2022, there was less than $0.1 million outstanding amounts payable to the Sponsor and no outstanding amounts payable to Wynnchurch Capital, L.P.</w:t>
      </w:r>
    </w:p>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15. RESTRUCTURING COSTS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During the second and third fiscal quarters of 2023, the Company initiated an additional cost reduction plan focused on efforts to improve efficiencies and decrease costs. The plan involved a reduction in the Company’s workforce as well as closures of various manufacturing facilities. The Company expects to incur charges for employee severance and related costs, as well as fixed asset and facility related expenses, of approximately $2.8 million. During the quarter ended September 30, 2023, the Company recognized costs related to the plan totaling $1.8 million, comprised primarily of $1.0 million for severance and related costs and $0.8 million relating to the facility closures. These charges were included in cost of sales and selling, general, and administrative expenses in the condensed consolidated statements of operations. The remaining costs under the plan of approximately $1.0 million are expected to be incurred and recognized in the fourth fiscal quarter of 2023. The Company had an exit or disposal cost related liability of $0.3 million as of September 30, 2023 and no liability as of December 31, 2022.</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1358" w:name="Item2ManagementsDiscussionandAnalysisofF"/>
      <w:bookmarkStart w:id="1359" w:name="_36ea437d_0ee8_4cc8_80d1_42bd2193dd22"/>
      <w:bookmarkEnd w:id="1358"/>
      <w:bookmarkEnd w:id="1359"/>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in conjunction with our condensed consolidated financial statements and related notes appearing elsewhere in this Quarterly Report on Form 10-Q and our 2022 Annual Report on Form 10-K filed with the Securities and Exchange Commission, or SEC, on March 7, 2023 (the “Annual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Cautionary Note Regarding Forward-Looking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statements in this report constitute forward-looking statements within the meaning of the Private Securities Litigation Reform Act of 1995. All statements contained in this report other than statements of historical fact may constitute forward-looking statements, including statements regarding our future operating results and financial position, our business strategy and plans, business and market trends, our objectives for future operations, macroeconomic and geopolitical conditions, the implementation of our cost reduction plans and expected annualized cost savings, a potential non-cash impairment charge for goodwill</w:t>
      </w:r>
      <w:r>
        <w:rPr>
          <w:rFonts w:ascii="Times New Roman;Times;serif" w:hAnsi="Times New Roman;Times;serif"/>
          <w:color w:val="B5082E"/>
          <w:sz w:val="20"/>
        </w:rPr>
        <w:t xml:space="preserve">, </w:t>
      </w:r>
      <w:r>
        <w:rPr>
          <w:rFonts w:ascii="Times New Roman;Times;serif" w:hAnsi="Times New Roman;Times;serif"/>
          <w:sz w:val="20"/>
        </w:rPr>
        <w:t>and the sufficiency of our cash balances, working capital and cash generated from operating, investing, and financing activities for our future liquidity and capital resource needs. These forward-looking statements are generally identified by the use of forward-looking terminology, including the terms “anticipate,” “believe,” “confident,” “continue,” “could,” “estimate,” “expect,” “intend,” “likely,” “may,” “plan,” “possible,” “potential,” “predict,” “project,” “should,” “target,” “will,” “would” and, in each case, their negative or other various or comparable terminology.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 those set forth under “Risk Factors,” “Management's Discussion and Analysis of Financial Condition and Results of Operations” and elsewhere in the Annual Report and as described in other subsequent reports we file or furnish with the SEC, including elsewhere in this Quarterly Report on Form 10-Q. For similar reasons, our past results may not be a reliable indicator of future performance and trends. We encourage you to read this report and our other filings with the SEC carefully. You also should be aware that these risk factors and other information may not described every risk that we face. Additional risks and uncertainties not currently known to us or that we currently deem to be immaterial also may affect us. We operate in a very competitive and rapidly changing environment, and new risks emerge from time to time. Although we believe that the expectations reflected in the forward-looking statements are reasonable and our expectations based on third-party information and projections are from sources that management believes to be reputable, we cannot guarantee future results, levels of activities, performance, or achievements.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These forward-looking statements reflect our views with respect to future events as of the date of this Quarterly Report on Form 10-Q or the date specified herein, and we have based these forward-looking statements on our current expectations and projections about future events and trends. Given these uncertainties, you should not place undue reliance on these forward-looking statements. Except as required by law, we undertake no obligation to update or review publicly any forward-looking statements, whether as a result of new information, future events or otherwise after the date of this Quarterly Report on Form 10-Q. We anticipate that subsequent events and developments will cause our views to change. Our forward-looking statements do not reflect the potential impact of any future acquisitions, merger, dispositions, joint ventures, or investments we may undertake. We qualify all of our forward-looking statements by these cautionary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lineRule="auto" w:line="240" w:before="0" w:after="240"/>
        <w:ind w:left="0" w:right="0" w:firstLine="360"/>
        <w:jc w:val="left"/>
        <w:rPr>
          <w:rFonts w:ascii="Times New Roman;Times;serif" w:hAnsi="Times New Roman;Times;serif"/>
          <w:sz w:val="20"/>
        </w:rPr>
      </w:pPr>
      <w:r>
        <w:rPr>
          <w:rFonts w:ascii="Times New Roman;Times;serif" w:hAnsi="Times New Roman;Times;serif"/>
          <w:sz w:val="20"/>
        </w:rPr>
        <w:t>We are the largest designer, manufacturer, and marketer of in-ground residential swimming pools in North America, Australia, and New Zealand. We hold the #1 position in North America in every product category in which we compete. We believe that we are the most sought-after brand in the pool industry and the only pool company that has established a direct relationship with the homeowner. We are Latham, The Pool Company</w:t>
      </w:r>
      <w:r>
        <w:rPr>
          <w:rFonts w:ascii="Times New Roman;Times;serif" w:hAnsi="Times New Roman;Times;serif"/>
          <w:sz w:val="15"/>
        </w:rPr>
        <w:t>TM</w:t>
      </w:r>
      <w:r>
        <w:rPr>
          <w:rFonts w:ascii="Times New Roman;Times;serif" w:hAnsi="Times New Roman;Times;serif"/>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With an operating history that spans over 65 years, we offer the industry’s broadest portfolio of pools and related products, including in-ground swimming pools, pool liners, and pool covers.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a heritage of innovation. In an industry that has traditionally marketed on a business-to-business basis (pool manufacturer to dealer), we pioneered the first “direct-to-homeowner” digital and social marketing strategy that has transformed the homeowner’s purchase journey. Through this marketing strategy, we are able to create demand for our pools and to provide high quality, purchase-ready consumer leads to our dealer partners.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Partnership with our dealers is integral to our collective success, and we have enjoyed long-tenured relationships averaging over 14 years. We support our dealer network with business development tools, co-branded marketing programs, and in-house training.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operations consist of approximately 2,000 employees across over 30 locations. The full resources of our Company are dedicated to designing and manufacturing high-quality pool products, with the homeowner in mind, and to position ourselves as a value-added partner to our dealers.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our business as one operating and reportable segment that designs, manufactures, and markets in-ground swimming pools, liners, and covers.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Highlights for the fiscal quarter ended September 30, 2023</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net sales of 15.1%, or $28.6 million, to $160.8 million for the fiscal quarter ended September 30, 2023, compared to $189.4 million for the fiscal quarter ended October 1, 2022.</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net income of $5.7 million to $6.2 million and representing a 3.8% net income margin for the fiscal quarter ended September 30, 2023, compared to net income of $11.9 million for the fiscal quarter ended October 1, 2022.</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Adjusted EBITDA (as defined below) of $6.2 million to $36.1 million for the fiscal quarter ended September 30, 2023, compared to $42.3 million for the fiscal quarter ended October 1, 2022.</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Highlights for the three fiscal quarters ended September 30, 2023</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net sales of 19.1%, or $112.2 million, to $475.6 million for the three fiscal quarters ended September 30, 2023, compared to $587.8 million for the three fiscal quarters ended October 1, 2022.</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net income of $15.8 million to a net loss of $2.5 million and representing a 0.5% net loss margin for the three fiscal quarters ended September 30, 2023, compared to net income of $13.3 million for the three fiscal quarters ended October 1, 2022.</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Adjusted EBITDA (as defined below) of $60.8 million to $78.1 million for the three fiscal quarters ended September 30, 2023, compared to $138.9 million for the three fiscal quarters ended October 1, 2022.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Business Update</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Market conditions continue to evolve. As anticipated, ongoing macroeconomic challenges are weighing on consumer spending and demand. This is resulting in a decline in U.S. new in-ground residential pool installations in 2023 and we expect this to continue into 2024. We continue to make progress executing our strategy to drive material conversion from concrete to fiberglass swimming pools, supported by our continued momentum on our lead generation efforts and dealer strategy. We continue to take a disciplined approach to capital investments, with the focus on the completion of previously announced projects. This includes the completion of our Kingston, Ontario facility in April 2023 as well as our acquired fiberglass manufacturing assets in Seminole, Oklahoma.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have responded to economic uncertainty with immediate actions to reduce our costs. In the fourth fiscal quarter of 2022, we approved a cost reduction plan and expect to realize $12.0 million of savings during the 2023 fiscal year. During the second and third fiscal quarters of 2023, we initiated additional plans to further reduce our manufacturing overhead, headcount, and discretionary spend. We expect to realize an additional $12.0 million of annualized savings from the plans implemented in 2023, with $6.0 million expected to be realized this fiscal year and therefore a total of $18.0 million of cost savings in 2023, with the remaining $6.0 million expected to be realized in 2024. </w:t>
      </w:r>
    </w:p>
    <w:p>
      <w:pPr>
        <w:pStyle w:val="TextBody"/>
        <w:shd w:fill="FFFFFF" w:val="clear"/>
        <w:bidi w:val="0"/>
        <w:spacing w:before="0" w:after="240"/>
        <w:ind w:left="403" w:right="0" w:hanging="0"/>
        <w:jc w:val="left"/>
        <w:rPr>
          <w:rFonts w:ascii="Times New Roman;Times;serif" w:hAnsi="Times New Roman;Times;serif"/>
          <w:b/>
          <w:i/>
          <w:sz w:val="20"/>
        </w:rPr>
      </w:pPr>
      <w:r>
        <w:rPr>
          <w:rFonts w:ascii="Times New Roman;Times;serif" w:hAnsi="Times New Roman;Times;serif"/>
          <w:b/>
          <w:i/>
          <w:sz w:val="20"/>
        </w:rPr>
        <w:t>Leadership Transition</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October 24, 2023, we announced that Oliver Gloe was appointed as our Chief Financial Officer effective November 13, 2023. J. Mark Borseth concurrently will step down as our Interim Chief Financial Officer and resume his previous role of Strategic Advisor through the end of 2023.</w:t>
      </w:r>
    </w:p>
    <w:p>
      <w:pPr>
        <w:pStyle w:val="TextBody"/>
        <w:bidi w:val="0"/>
        <w:spacing w:before="0" w:after="240"/>
        <w:ind w:left="0" w:right="0" w:hanging="0"/>
        <w:jc w:val="left"/>
        <w:rPr>
          <w:caps w:val="false"/>
          <w:smallCaps w:val="false"/>
        </w:rPr>
      </w:pPr>
      <w:r>
        <w:rPr>
          <w:caps w:val="false"/>
          <w:smallCaps w:val="false"/>
        </w:rPr>
        <w:t>​</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Performance Indicators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Sales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derive our revenue from the design, manufacture, and sale of in-ground swimming pools, pool covers, and pool liners. We sell fiberglass pools, which are one-piece manufactured fiberglass pools that are ready to be installed in a consumer’s backyard, and custom vinyl pools, which are manufactured pools that are made out of non-corrosive steel, aluminum, or composite polymer frame, on top of which a vinyl liner is installed. We sell liners for the interior surface of vinyl pools (including pools that were not manufactured by us). We also sell all-season covers, which are winterizing mesh or solid pool covers that protect pools against debris and cold or inclement weather, and automatic safety covers for pools that can be operated with a switch.</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sales are made through one-step and two-step business-to-business distribution channels. In our one-step distribution channel, we sell our products directly to dealers who, in turn, sell our products to consumers. In our two-step distribution channel, we sell our products to distributors who warehouse our products and sell them on to dealers, who ultimately sell our products to consumers.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Each product shipped is considered to be one performance obligation. With the exception of our extended service warranties and our custom product contracts, we recognize our revenue when control of our promised goods is transferred to our customers, either upon shipment or arrival at our customer’s destination depending upon the terms of the purchase order. Sales are recognized net of any estimated rebates, returns, allowances, cash discounts, or other sales incentives. Revenue that is derived from our extended service warranties, which are separately priced and sold, is recognized over the term of the contracts. Revenue from custom products is recognized over time utilizing an input method that compares the cost of cumulative work-in-process to date to the most current estimates for the entire cost of the performance obligation.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Gross Margin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Gross margin is gross profit as a percentage of our net sales. Gross margin depends upon several factors, such as the prices we charge buyers, changes in prices of raw materials, the volume and relative sales mix among product lines, and plant performance, among other factors. Gross margin is also impacted by the costs of distribution and occupancy costs, which can vary.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gross profit is variable in nature and generally follows changes in net sales. The components of our cost of sales may not be comparable to the components of cost of sales or similar measures of other companies. As a result, our gross profit and gross margin may not be comparable to similar data made available by other companies.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Adjusted EBITDA and Adjusted EBITDA Margin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use Adjusted EBITDA and Adjusted EBITDA margin to supplement GAAP measures of performance to evaluate the effectiveness of our business strategies, to make budgeting decisions, to utilize as a significant performance metric in our annual management incentive bonus plan compensation and to compare our performance against that of other peer companies using similar measures. We define Adjusted EBITDA as net income (loss) plus (i) depreciation and amortization, (ii) interest expense, net, (iii) income tax (benefit) expense, (iv) loss (gain) on sale and disposal of property and equipment, (v) restructuring charges, (vi) stock-based compensation expense, (vii) unrealized losses (gains) on foreign currency transactions, (viii) strategic initiative costs, (ix) acquisition and integration related costs, (x) loss on extinguishment of debt, (xi) underwriting fees related to offering of common stock, (xii) Odessa fire and (xiii) other items that we do not believe are indicative of our core operating performance. We believe excluding these items allows for better comparison of our financial results across reporting periods.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define Adjusted EBITDA margin as Adjusted EBITDA divided by net sales. Our definitions of Adjusted EBITDA and Adjusted EBITDA margin may not be comparable to similarly titled measures of other companies.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For a discussion of Adjusted EBITDA and Adjusted EBITDA margin, including how such non-GAAP measures provide useful information to investors, how management utilizes them and the limitations on their use, and the reconciliation of Adjusted EBITDA to net income (loss), the most directly comparable GAAP financial measure, and our calculation of Adjusted EBITDA margin, see “—Non-GAAP Financial Measures” below.</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Fiscal Quarter Ended September 30, 2023 Compared to Fiscal Quarter Ended October 1, 2022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our results of operations for the fiscal quarter ended September 30, 2023 and October 1, 2022:</w:t>
      </w:r>
    </w:p>
    <w:tbl>
      <w:tblPr>
        <w:tblW w:w="10205" w:type="dxa"/>
        <w:jc w:val="left"/>
        <w:tblInd w:w="0" w:type="dxa"/>
        <w:tblLayout w:type="fixed"/>
        <w:tblCellMar>
          <w:top w:w="0" w:type="dxa"/>
          <w:left w:w="0" w:type="dxa"/>
          <w:bottom w:w="0" w:type="dxa"/>
          <w:right w:w="0" w:type="dxa"/>
        </w:tblCellMar>
      </w:tblPr>
      <w:tblGrid>
        <w:gridCol w:w="2307"/>
        <w:gridCol w:w="326"/>
        <w:gridCol w:w="257"/>
        <w:gridCol w:w="953"/>
        <w:gridCol w:w="326"/>
        <w:gridCol w:w="766"/>
        <w:gridCol w:w="361"/>
        <w:gridCol w:w="235"/>
        <w:gridCol w:w="873"/>
        <w:gridCol w:w="326"/>
        <w:gridCol w:w="647"/>
        <w:gridCol w:w="361"/>
        <w:gridCol w:w="211"/>
        <w:gridCol w:w="759"/>
        <w:gridCol w:w="326"/>
        <w:gridCol w:w="850"/>
        <w:gridCol w:w="321"/>
      </w:tblGrid>
      <w:tr>
        <w:trPr/>
        <w:tc>
          <w:tcPr>
            <w:tcW w:w="2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464945" cy="175260"/>
                      <wp:effectExtent l="0" t="0" r="0" b="0"/>
                      <wp:wrapNone/>
                      <wp:docPr id="291" name="Frame291"/>
                      <a:graphic xmlns:a="http://schemas.openxmlformats.org/drawingml/2006/main">
                        <a:graphicData uri="http://schemas.microsoft.com/office/word/2010/wordprocessingShape">
                          <wps:wsp>
                            <wps:cNvSpPr txBox="1"/>
                            <wps:spPr>
                              <a:xfrm>
                                <a:off x="0" y="0"/>
                                <a:ext cx="146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2" name="Frame2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63195" cy="175260"/>
                      <wp:effectExtent l="0" t="0" r="0" b="0"/>
                      <wp:wrapNone/>
                      <wp:docPr id="293" name="Frame293"/>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05155" cy="175260"/>
                      <wp:effectExtent l="0" t="0" r="0" b="0"/>
                      <wp:wrapNone/>
                      <wp:docPr id="294" name="Frame294"/>
                      <a:graphic xmlns:a="http://schemas.openxmlformats.org/drawingml/2006/main">
                        <a:graphicData uri="http://schemas.microsoft.com/office/word/2010/wordprocessingShape">
                          <wps:wsp>
                            <wps:cNvSpPr txBox="1"/>
                            <wps:spPr>
                              <a:xfrm>
                                <a:off x="0" y="0"/>
                                <a:ext cx="605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95" name="Frame2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86410" cy="175260"/>
                      <wp:effectExtent l="0" t="0" r="0" b="0"/>
                      <wp:wrapNone/>
                      <wp:docPr id="296" name="Frame29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29235" cy="175260"/>
                      <wp:effectExtent l="0" t="0" r="0" b="0"/>
                      <wp:wrapNone/>
                      <wp:docPr id="297" name="Frame29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49225" cy="175260"/>
                      <wp:effectExtent l="0" t="0" r="0" b="0"/>
                      <wp:wrapNone/>
                      <wp:docPr id="298" name="Frame298"/>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554355" cy="175260"/>
                      <wp:effectExtent l="0" t="0" r="0" b="0"/>
                      <wp:wrapNone/>
                      <wp:docPr id="299" name="Frame299"/>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300" name="Frame3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410845" cy="175260"/>
                      <wp:effectExtent l="0" t="0" r="0" b="0"/>
                      <wp:wrapNone/>
                      <wp:docPr id="301" name="Frame301"/>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29235" cy="175260"/>
                      <wp:effectExtent l="0" t="0" r="0" b="0"/>
                      <wp:wrapNone/>
                      <wp:docPr id="302" name="Frame30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33985" cy="175260"/>
                      <wp:effectExtent l="0" t="0" r="0" b="0"/>
                      <wp:wrapNone/>
                      <wp:docPr id="303" name="Frame3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481965" cy="175260"/>
                      <wp:effectExtent l="0" t="0" r="0" b="0"/>
                      <wp:wrapNone/>
                      <wp:docPr id="304" name="Frame304"/>
                      <a:graphic xmlns:a="http://schemas.openxmlformats.org/drawingml/2006/main">
                        <a:graphicData uri="http://schemas.microsoft.com/office/word/2010/wordprocessingShape">
                          <wps:wsp>
                            <wps:cNvSpPr txBox="1"/>
                            <wps:spPr>
                              <a:xfrm>
                                <a:off x="0" y="0"/>
                                <a:ext cx="481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07010" cy="175260"/>
                      <wp:effectExtent l="0" t="0" r="0" b="0"/>
                      <wp:wrapNone/>
                      <wp:docPr id="305" name="Frame3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539750" cy="175260"/>
                      <wp:effectExtent l="0" t="0" r="0" b="0"/>
                      <wp:wrapNone/>
                      <wp:docPr id="306" name="Frame306"/>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3835" cy="175260"/>
                      <wp:effectExtent l="0" t="0" r="0" b="0"/>
                      <wp:wrapNone/>
                      <wp:docPr id="307" name="Frame307"/>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0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251"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c>
          <w:tcPr>
            <w:tcW w:w="321" w:type="dxa"/>
            <w:tcBorders/>
            <w:vAlign w:val="center"/>
          </w:tcPr>
          <w:p>
            <w:pPr>
              <w:pStyle w:val="TableContents"/>
              <w:bidi w:val="0"/>
              <w:spacing w:before="0" w:after="1"/>
              <w:ind w:left="0" w:right="0" w:hanging="0"/>
              <w:jc w:val="left"/>
              <w:rPr/>
            </w:pPr>
            <w:r>
              <w:rPr/>
              <w:t> </w:t>
            </w:r>
          </w:p>
        </w:tc>
      </w:tr>
      <w:tr>
        <w:trPr/>
        <w:tc>
          <w:tcPr>
            <w:tcW w:w="230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0"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 of</w:t>
            </w:r>
            <w:r>
              <w:rPr>
                <w:rFonts w:ascii="Times New Roman;Times;serif" w:hAnsi="Times New Roman;Times;serif"/>
                <w:sz w:val="16"/>
              </w:rPr>
              <w:t> </w:t>
            </w:r>
            <w:r>
              <w:rPr>
                <w:rFonts w:ascii="Times New Roman;Times;serif" w:hAnsi="Times New Roman;Times;serif"/>
                <w:b/>
                <w:sz w:val="16"/>
              </w:rPr>
              <w:t>Net</w:t>
            </w:r>
          </w:p>
        </w:tc>
        <w:tc>
          <w:tcPr>
            <w:tcW w:w="361" w:type="dxa"/>
            <w:tcBorders/>
            <w:vAlign w:val="center"/>
          </w:tcPr>
          <w:p>
            <w:pPr>
              <w:pStyle w:val="TableContents"/>
              <w:bidi w:val="0"/>
              <w:spacing w:before="0" w:after="1"/>
              <w:ind w:left="0" w:right="0" w:hanging="0"/>
              <w:jc w:val="left"/>
              <w:rPr/>
            </w:pPr>
            <w:r>
              <w:rPr/>
              <w:t>​</w:t>
            </w:r>
          </w:p>
        </w:tc>
        <w:tc>
          <w:tcPr>
            <w:tcW w:w="1108"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64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Net</w:t>
            </w:r>
          </w:p>
        </w:tc>
        <w:tc>
          <w:tcPr>
            <w:tcW w:w="361" w:type="dxa"/>
            <w:tcBorders/>
            <w:vAlign w:val="center"/>
          </w:tcPr>
          <w:p>
            <w:pPr>
              <w:pStyle w:val="TableContents"/>
              <w:bidi w:val="0"/>
              <w:spacing w:before="0" w:after="1"/>
              <w:ind w:left="0" w:right="0" w:hanging="0"/>
              <w:jc w:val="left"/>
              <w:rPr/>
            </w:pPr>
            <w:r>
              <w:rPr/>
              <w:t>​</w:t>
            </w:r>
          </w:p>
        </w:tc>
        <w:tc>
          <w:tcPr>
            <w:tcW w:w="970"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Change </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Change in % </w:t>
            </w:r>
            <w:r>
              <w:rPr>
                <w:rFonts w:ascii="Times New Roman;Times;serif" w:hAnsi="Times New Roman;Times;serif"/>
                <w:sz w:val="16"/>
              </w:rPr>
              <w:t> </w:t>
            </w:r>
          </w:p>
        </w:tc>
        <w:tc>
          <w:tcPr>
            <w:tcW w:w="321" w:type="dxa"/>
            <w:tcBorders/>
            <w:vAlign w:val="center"/>
          </w:tcPr>
          <w:p>
            <w:pPr>
              <w:pStyle w:val="TableContents"/>
              <w:bidi w:val="0"/>
              <w:spacing w:before="0" w:after="1"/>
              <w:ind w:left="0" w:right="0" w:hanging="0"/>
              <w:jc w:val="left"/>
              <w:rPr/>
            </w:pPr>
            <w:r>
              <w:rPr/>
              <w:t> </w:t>
            </w:r>
          </w:p>
        </w:tc>
      </w:tr>
      <w:tr>
        <w:trPr/>
        <w:tc>
          <w:tcPr>
            <w:tcW w:w="230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61" w:type="dxa"/>
            <w:tcBorders/>
            <w:vAlign w:val="center"/>
          </w:tcPr>
          <w:p>
            <w:pPr>
              <w:pStyle w:val="TableContents"/>
              <w:bidi w:val="0"/>
              <w:spacing w:before="0" w:after="1"/>
              <w:ind w:left="0" w:right="0" w:hanging="0"/>
              <w:jc w:val="left"/>
              <w:rPr/>
            </w:pPr>
            <w:r>
              <w:rPr/>
              <w:t>    </w:t>
            </w:r>
          </w:p>
        </w:tc>
        <w:tc>
          <w:tcPr>
            <w:tcW w:w="110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October 1, 2022</w:t>
            </w:r>
          </w:p>
        </w:tc>
        <w:tc>
          <w:tcPr>
            <w:tcW w:w="326" w:type="dxa"/>
            <w:tcBorders/>
            <w:vAlign w:val="center"/>
          </w:tcPr>
          <w:p>
            <w:pPr>
              <w:pStyle w:val="TableContents"/>
              <w:bidi w:val="0"/>
              <w:spacing w:before="0" w:after="1"/>
              <w:ind w:left="0" w:right="0" w:hanging="0"/>
              <w:jc w:val="left"/>
              <w:rPr/>
            </w:pPr>
            <w:r>
              <w:rPr/>
              <w:t>    </w:t>
            </w:r>
          </w:p>
        </w:tc>
        <w:tc>
          <w:tcPr>
            <w:tcW w:w="64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61" w:type="dxa"/>
            <w:tcBorders/>
            <w:vAlign w:val="center"/>
          </w:tcPr>
          <w:p>
            <w:pPr>
              <w:pStyle w:val="TableContents"/>
              <w:bidi w:val="0"/>
              <w:spacing w:before="0" w:after="1"/>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85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Net Sales</w:t>
            </w:r>
          </w:p>
        </w:tc>
        <w:tc>
          <w:tcPr>
            <w:tcW w:w="321" w:type="dxa"/>
            <w:tcBorders/>
            <w:vAlign w:val="center"/>
          </w:tcPr>
          <w:p>
            <w:pPr>
              <w:pStyle w:val="TableContents"/>
              <w:bidi w:val="0"/>
              <w:spacing w:before="0" w:after="1"/>
              <w:ind w:left="0" w:right="0" w:hanging="0"/>
              <w:jc w:val="left"/>
              <w:rPr/>
            </w:pPr>
            <w:r>
              <w:rPr/>
              <w:t> </w:t>
            </w:r>
          </w:p>
        </w:tc>
      </w:tr>
      <w:tr>
        <w:trPr/>
        <w:tc>
          <w:tcPr>
            <w:tcW w:w="10205" w:type="dxa"/>
            <w:gridSpan w:val="17"/>
            <w:tcBorders/>
            <w:vAlign w:val="center"/>
          </w:tcPr>
          <w:p>
            <w:pPr>
              <w:pStyle w:val="TableContents"/>
              <w:bidi w:val="0"/>
              <w:spacing w:before="0" w:after="283"/>
              <w:ind w:left="0" w:right="0" w:hanging="0"/>
              <w:jc w:val="left"/>
              <w:rPr>
                <w:sz w:val="4"/>
                <w:szCs w:val="4"/>
              </w:rPr>
            </w:pPr>
            <w:r>
              <w:rPr>
                <w:sz w:val="4"/>
                <w:szCs w:val="4"/>
              </w:rPr>
            </w:r>
          </w:p>
        </w:tc>
      </w:tr>
      <w:tr>
        <w:trPr/>
        <w:tc>
          <w:tcPr>
            <w:tcW w:w="230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251" w:type="dxa"/>
            <w:gridSpan w:val="1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21" w:type="dxa"/>
            <w:tcBorders/>
            <w:vAlign w:val="center"/>
          </w:tcPr>
          <w:p>
            <w:pPr>
              <w:pStyle w:val="TableContents"/>
              <w:bidi w:val="0"/>
              <w:spacing w:before="0" w:after="1"/>
              <w:ind w:left="0" w:right="0" w:hanging="0"/>
              <w:jc w:val="left"/>
              <w:rPr/>
            </w:pPr>
            <w:r>
              <w:rPr/>
              <w:t> </w:t>
            </w:r>
          </w:p>
        </w:tc>
      </w:tr>
      <w:tr>
        <w:trPr/>
        <w:tc>
          <w:tcPr>
            <w:tcW w:w="2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160,778</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189,398</w:t>
            </w:r>
          </w:p>
        </w:tc>
        <w:tc>
          <w:tcPr>
            <w:tcW w:w="326" w:type="dxa"/>
            <w:tcBorders/>
            <w:shd w:fill="CCEEFF" w:val="clear"/>
            <w:vAlign w:val="center"/>
          </w:tcPr>
          <w:p>
            <w:pPr>
              <w:pStyle w:val="TableContents"/>
              <w:bidi w:val="0"/>
              <w:spacing w:before="0" w:after="1"/>
              <w:ind w:left="0" w:right="0" w:hanging="0"/>
              <w:jc w:val="left"/>
              <w:rPr/>
            </w:pPr>
            <w:r>
              <w:rPr/>
              <w:t>​</w:t>
            </w:r>
          </w:p>
        </w:tc>
        <w:tc>
          <w:tcPr>
            <w:tcW w:w="6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(28,620)</w:t>
            </w:r>
          </w:p>
        </w:tc>
        <w:tc>
          <w:tcPr>
            <w:tcW w:w="326"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0.0 </w:t>
            </w:r>
          </w:p>
        </w:tc>
        <w:tc>
          <w:tcPr>
            <w:tcW w:w="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0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112,633</w:t>
            </w:r>
          </w:p>
        </w:tc>
        <w:tc>
          <w:tcPr>
            <w:tcW w:w="326" w:type="dxa"/>
            <w:tcBorders/>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130,521</w:t>
            </w:r>
          </w:p>
        </w:tc>
        <w:tc>
          <w:tcPr>
            <w:tcW w:w="326" w:type="dxa"/>
            <w:tcBorders/>
            <w:vAlign w:val="center"/>
          </w:tcPr>
          <w:p>
            <w:pPr>
              <w:pStyle w:val="TableContents"/>
              <w:bidi w:val="0"/>
              <w:spacing w:before="0" w:after="1"/>
              <w:ind w:left="0" w:right="0" w:hanging="0"/>
              <w:jc w:val="left"/>
              <w:rPr/>
            </w:pPr>
            <w:r>
              <w:rPr/>
              <w:t> </w:t>
            </w:r>
          </w:p>
        </w:tc>
        <w:tc>
          <w:tcPr>
            <w:tcW w:w="6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(17,888)</w:t>
            </w:r>
          </w:p>
        </w:tc>
        <w:tc>
          <w:tcPr>
            <w:tcW w:w="326" w:type="dxa"/>
            <w:tcBorders/>
            <w:vAlign w:val="center"/>
          </w:tcPr>
          <w:p>
            <w:pPr>
              <w:pStyle w:val="TableContents"/>
              <w:bidi w:val="0"/>
              <w:spacing w:before="0" w:after="1"/>
              <w:ind w:left="0" w:right="0" w:hanging="0"/>
              <w:jc w:val="left"/>
              <w:rPr/>
            </w:pPr>
            <w:r>
              <w:rPr/>
              <w:t> </w:t>
            </w:r>
          </w:p>
        </w:tc>
        <w:tc>
          <w:tcPr>
            <w:tcW w:w="8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1.2 </w:t>
            </w:r>
          </w:p>
        </w:tc>
        <w:tc>
          <w:tcPr>
            <w:tcW w:w="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 </w:t>
            </w:r>
          </w:p>
        </w:tc>
        <w:tc>
          <w:tcPr>
            <w:tcW w:w="9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48,145</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5" w:type="dxa"/>
            <w:tcBorders/>
            <w:shd w:fill="CCEEFF" w:val="clear"/>
            <w:vAlign w:val="center"/>
          </w:tcPr>
          <w:p>
            <w:pPr>
              <w:pStyle w:val="TableContents"/>
              <w:bidi w:val="0"/>
              <w:spacing w:before="0" w:after="1"/>
              <w:ind w:left="0" w:right="0" w:hanging="0"/>
              <w:jc w:val="left"/>
              <w:rPr/>
            </w:pPr>
            <w:r>
              <w:rPr/>
              <w:t> </w:t>
            </w:r>
          </w:p>
        </w:tc>
        <w:tc>
          <w:tcPr>
            <w:tcW w:w="8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58,877</w:t>
            </w:r>
          </w:p>
        </w:tc>
        <w:tc>
          <w:tcPr>
            <w:tcW w:w="326" w:type="dxa"/>
            <w:tcBorders/>
            <w:shd w:fill="CCEEFF" w:val="clear"/>
            <w:vAlign w:val="center"/>
          </w:tcPr>
          <w:p>
            <w:pPr>
              <w:pStyle w:val="TableContents"/>
              <w:bidi w:val="0"/>
              <w:spacing w:before="0" w:after="1"/>
              <w:ind w:left="0" w:right="0" w:hanging="0"/>
              <w:jc w:val="left"/>
              <w:rPr/>
            </w:pPr>
            <w:r>
              <w:rPr/>
              <w:t> </w:t>
            </w:r>
          </w:p>
        </w:tc>
        <w:tc>
          <w:tcPr>
            <w:tcW w:w="6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(10,732)</w:t>
            </w:r>
          </w:p>
        </w:tc>
        <w:tc>
          <w:tcPr>
            <w:tcW w:w="326" w:type="dxa"/>
            <w:tcBorders/>
            <w:shd w:fill="CCEEFF" w:val="clear"/>
            <w:vAlign w:val="center"/>
          </w:tcPr>
          <w:p>
            <w:pPr>
              <w:pStyle w:val="TableContents"/>
              <w:bidi w:val="0"/>
              <w:spacing w:before="0" w:after="1"/>
              <w:ind w:left="0" w:right="0" w:hanging="0"/>
              <w:jc w:val="left"/>
              <w:rPr/>
            </w:pPr>
            <w:r>
              <w:rPr/>
              <w:t> </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0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95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47"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5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pPr>
            <w:r>
              <w:rPr/>
              <w:t>​</w:t>
            </w:r>
          </w:p>
        </w:tc>
        <w:tc>
          <w:tcPr>
            <w:tcW w:w="321" w:type="dxa"/>
            <w:tcBorders/>
            <w:vAlign w:val="center"/>
          </w:tcPr>
          <w:p>
            <w:pPr>
              <w:pStyle w:val="TableContents"/>
              <w:bidi w:val="0"/>
              <w:spacing w:before="0" w:after="1"/>
              <w:ind w:left="0" w:right="0" w:hanging="0"/>
              <w:jc w:val="left"/>
              <w:rPr/>
            </w:pPr>
            <w:r>
              <w:rPr/>
              <w:t>​</w:t>
            </w:r>
          </w:p>
        </w:tc>
      </w:tr>
      <w:tr>
        <w:trPr/>
        <w:tc>
          <w:tcPr>
            <w:tcW w:w="2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 </w:t>
            </w:r>
          </w:p>
        </w:tc>
        <w:tc>
          <w:tcPr>
            <w:tcW w:w="9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23,431</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5" w:type="dxa"/>
            <w:tcBorders/>
            <w:shd w:fill="CCEEFF" w:val="clear"/>
            <w:vAlign w:val="center"/>
          </w:tcPr>
          <w:p>
            <w:pPr>
              <w:pStyle w:val="TableContents"/>
              <w:bidi w:val="0"/>
              <w:spacing w:before="0" w:after="1"/>
              <w:ind w:left="0" w:right="0" w:hanging="0"/>
              <w:jc w:val="left"/>
              <w:rPr/>
            </w:pPr>
            <w:r>
              <w:rPr/>
              <w:t> </w:t>
            </w:r>
          </w:p>
        </w:tc>
        <w:tc>
          <w:tcPr>
            <w:tcW w:w="8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26,749</w:t>
            </w:r>
          </w:p>
        </w:tc>
        <w:tc>
          <w:tcPr>
            <w:tcW w:w="326" w:type="dxa"/>
            <w:tcBorders/>
            <w:shd w:fill="CCEEFF" w:val="clear"/>
            <w:vAlign w:val="center"/>
          </w:tcPr>
          <w:p>
            <w:pPr>
              <w:pStyle w:val="TableContents"/>
              <w:bidi w:val="0"/>
              <w:spacing w:before="0" w:after="1"/>
              <w:ind w:left="0" w:right="0" w:hanging="0"/>
              <w:jc w:val="left"/>
              <w:rPr/>
            </w:pPr>
            <w:r>
              <w:rPr/>
              <w:t> </w:t>
            </w:r>
          </w:p>
        </w:tc>
        <w:tc>
          <w:tcPr>
            <w:tcW w:w="6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(3,318)</w:t>
            </w:r>
          </w:p>
        </w:tc>
        <w:tc>
          <w:tcPr>
            <w:tcW w:w="326" w:type="dxa"/>
            <w:tcBorders/>
            <w:shd w:fill="CCEEFF" w:val="clear"/>
            <w:vAlign w:val="center"/>
          </w:tcPr>
          <w:p>
            <w:pPr>
              <w:pStyle w:val="TableContents"/>
              <w:bidi w:val="0"/>
              <w:spacing w:before="0" w:after="1"/>
              <w:ind w:left="0" w:right="0" w:hanging="0"/>
              <w:jc w:val="left"/>
              <w:rPr/>
            </w:pPr>
            <w:r>
              <w:rPr/>
              <w:t> </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0.5 </w:t>
            </w:r>
          </w:p>
        </w:tc>
        <w:tc>
          <w:tcPr>
            <w:tcW w:w="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0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326"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6,635</w:t>
            </w:r>
          </w:p>
        </w:tc>
        <w:tc>
          <w:tcPr>
            <w:tcW w:w="326" w:type="dxa"/>
            <w:tcBorders/>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7,156</w:t>
            </w:r>
          </w:p>
        </w:tc>
        <w:tc>
          <w:tcPr>
            <w:tcW w:w="326" w:type="dxa"/>
            <w:tcBorders/>
            <w:vAlign w:val="center"/>
          </w:tcPr>
          <w:p>
            <w:pPr>
              <w:pStyle w:val="TableContents"/>
              <w:bidi w:val="0"/>
              <w:spacing w:before="0" w:after="1"/>
              <w:ind w:left="0" w:right="0" w:hanging="0"/>
              <w:jc w:val="left"/>
              <w:rPr/>
            </w:pPr>
            <w:r>
              <w:rPr/>
              <w:t> </w:t>
            </w:r>
          </w:p>
        </w:tc>
        <w:tc>
          <w:tcPr>
            <w:tcW w:w="6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w:t>
            </w:r>
          </w:p>
        </w:tc>
        <w:tc>
          <w:tcPr>
            <w:tcW w:w="326" w:type="dxa"/>
            <w:tcBorders/>
            <w:vAlign w:val="center"/>
          </w:tcPr>
          <w:p>
            <w:pPr>
              <w:pStyle w:val="TableContents"/>
              <w:bidi w:val="0"/>
              <w:spacing w:before="0" w:after="1"/>
              <w:ind w:left="0" w:right="0" w:hanging="0"/>
              <w:jc w:val="left"/>
              <w:rPr/>
            </w:pPr>
            <w:r>
              <w:rPr/>
              <w:t> </w:t>
            </w:r>
          </w:p>
        </w:tc>
        <w:tc>
          <w:tcPr>
            <w:tcW w:w="8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0.3 </w:t>
            </w:r>
          </w:p>
        </w:tc>
        <w:tc>
          <w:tcPr>
            <w:tcW w:w="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 </w:t>
            </w:r>
          </w:p>
        </w:tc>
        <w:tc>
          <w:tcPr>
            <w:tcW w:w="9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18,079</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5" w:type="dxa"/>
            <w:tcBorders/>
            <w:shd w:fill="CCEEFF" w:val="clear"/>
            <w:vAlign w:val="center"/>
          </w:tcPr>
          <w:p>
            <w:pPr>
              <w:pStyle w:val="TableContents"/>
              <w:bidi w:val="0"/>
              <w:spacing w:before="0" w:after="1"/>
              <w:ind w:left="0" w:right="0" w:hanging="0"/>
              <w:jc w:val="left"/>
              <w:rPr/>
            </w:pPr>
            <w:r>
              <w:rPr/>
              <w:t> </w:t>
            </w:r>
          </w:p>
        </w:tc>
        <w:tc>
          <w:tcPr>
            <w:tcW w:w="8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24,972</w:t>
            </w:r>
          </w:p>
        </w:tc>
        <w:tc>
          <w:tcPr>
            <w:tcW w:w="326" w:type="dxa"/>
            <w:tcBorders/>
            <w:shd w:fill="CCEEFF" w:val="clear"/>
            <w:vAlign w:val="center"/>
          </w:tcPr>
          <w:p>
            <w:pPr>
              <w:pStyle w:val="TableContents"/>
              <w:bidi w:val="0"/>
              <w:spacing w:before="0" w:after="1"/>
              <w:ind w:left="0" w:right="0" w:hanging="0"/>
              <w:jc w:val="left"/>
              <w:rPr/>
            </w:pPr>
            <w:r>
              <w:rPr/>
              <w:t> </w:t>
            </w:r>
          </w:p>
        </w:tc>
        <w:tc>
          <w:tcPr>
            <w:tcW w:w="6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(6,893)</w:t>
            </w:r>
          </w:p>
        </w:tc>
        <w:tc>
          <w:tcPr>
            <w:tcW w:w="326" w:type="dxa"/>
            <w:tcBorders/>
            <w:shd w:fill="CCEEFF" w:val="clear"/>
            <w:vAlign w:val="center"/>
          </w:tcPr>
          <w:p>
            <w:pPr>
              <w:pStyle w:val="TableContents"/>
              <w:bidi w:val="0"/>
              <w:spacing w:before="0" w:after="1"/>
              <w:ind w:left="0" w:right="0" w:hanging="0"/>
              <w:jc w:val="left"/>
              <w:rPr/>
            </w:pPr>
            <w:r>
              <w:rPr/>
              <w:t> </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0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expense: </w:t>
            </w:r>
          </w:p>
        </w:tc>
        <w:tc>
          <w:tcPr>
            <w:tcW w:w="32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 </w:t>
            </w:r>
          </w:p>
        </w:tc>
        <w:tc>
          <w:tcPr>
            <w:tcW w:w="95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7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47"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5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850" w:type="dxa"/>
            <w:tcBorders/>
            <w:vAlign w:val="center"/>
          </w:tcPr>
          <w:p>
            <w:pPr>
              <w:pStyle w:val="TableContents"/>
              <w:bidi w:val="0"/>
              <w:spacing w:before="0" w:after="1"/>
              <w:ind w:left="0" w:right="0" w:hanging="0"/>
              <w:jc w:val="right"/>
              <w:rPr/>
            </w:pPr>
            <w:r>
              <w:rPr/>
              <w:t>​</w:t>
            </w:r>
          </w:p>
        </w:tc>
        <w:tc>
          <w:tcPr>
            <w:tcW w:w="321" w:type="dxa"/>
            <w:tcBorders/>
            <w:vAlign w:val="center"/>
          </w:tcPr>
          <w:p>
            <w:pPr>
              <w:pStyle w:val="TableContents"/>
              <w:bidi w:val="0"/>
              <w:spacing w:before="0" w:after="1"/>
              <w:ind w:left="0" w:right="0" w:hanging="0"/>
              <w:jc w:val="left"/>
              <w:rPr/>
            </w:pPr>
            <w:r>
              <w:rPr/>
              <w:t>​</w:t>
            </w:r>
          </w:p>
        </w:tc>
      </w:tr>
      <w:tr>
        <w:trPr/>
        <w:tc>
          <w:tcPr>
            <w:tcW w:w="2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 </w:t>
            </w:r>
          </w:p>
        </w:tc>
        <w:tc>
          <w:tcPr>
            <w:tcW w:w="9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5,980</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5" w:type="dxa"/>
            <w:tcBorders/>
            <w:shd w:fill="CCEEFF" w:val="clear"/>
            <w:vAlign w:val="center"/>
          </w:tcPr>
          <w:p>
            <w:pPr>
              <w:pStyle w:val="TableContents"/>
              <w:bidi w:val="0"/>
              <w:spacing w:before="0" w:after="1"/>
              <w:ind w:left="0" w:right="0" w:hanging="0"/>
              <w:jc w:val="left"/>
              <w:rPr/>
            </w:pPr>
            <w:r>
              <w:rPr/>
              <w:t> </w:t>
            </w:r>
          </w:p>
        </w:tc>
        <w:tc>
          <w:tcPr>
            <w:tcW w:w="8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4,264</w:t>
            </w:r>
          </w:p>
        </w:tc>
        <w:tc>
          <w:tcPr>
            <w:tcW w:w="326" w:type="dxa"/>
            <w:tcBorders/>
            <w:shd w:fill="CCEEFF" w:val="clear"/>
            <w:vAlign w:val="center"/>
          </w:tcPr>
          <w:p>
            <w:pPr>
              <w:pStyle w:val="TableContents"/>
              <w:bidi w:val="0"/>
              <w:spacing w:before="0" w:after="1"/>
              <w:ind w:left="0" w:right="0" w:hanging="0"/>
              <w:jc w:val="left"/>
              <w:rPr/>
            </w:pPr>
            <w:r>
              <w:rPr/>
              <w:t> </w:t>
            </w:r>
          </w:p>
        </w:tc>
        <w:tc>
          <w:tcPr>
            <w:tcW w:w="6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1,716</w:t>
            </w:r>
          </w:p>
        </w:tc>
        <w:tc>
          <w:tcPr>
            <w:tcW w:w="326" w:type="dxa"/>
            <w:tcBorders/>
            <w:shd w:fill="CCEEFF" w:val="clear"/>
            <w:vAlign w:val="center"/>
          </w:tcPr>
          <w:p>
            <w:pPr>
              <w:pStyle w:val="TableContents"/>
              <w:bidi w:val="0"/>
              <w:spacing w:before="0" w:after="1"/>
              <w:ind w:left="0" w:right="0" w:hanging="0"/>
              <w:jc w:val="left"/>
              <w:rPr/>
            </w:pPr>
            <w:r>
              <w:rPr/>
              <w:t> </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1.4 </w:t>
            </w:r>
          </w:p>
        </w:tc>
        <w:tc>
          <w:tcPr>
            <w:tcW w:w="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0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2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95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5" w:type="dxa"/>
            <w:tcBorders/>
            <w:vAlign w:val="center"/>
          </w:tcPr>
          <w:p>
            <w:pPr>
              <w:pStyle w:val="TableContents"/>
              <w:bidi w:val="0"/>
              <w:spacing w:before="0" w:after="1"/>
              <w:ind w:left="0" w:right="0" w:hanging="0"/>
              <w:jc w:val="left"/>
              <w:rPr/>
            </w:pPr>
            <w:r>
              <w:rPr/>
              <w:t> </w:t>
            </w:r>
          </w:p>
        </w:tc>
        <w:tc>
          <w:tcPr>
            <w:tcW w:w="87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47"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75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0.0 </w:t>
            </w:r>
          </w:p>
        </w:tc>
        <w:tc>
          <w:tcPr>
            <w:tcW w:w="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326" w:type="dxa"/>
            <w:tcBorders/>
            <w:shd w:fill="CCEEFF" w:val="clear"/>
            <w:vAlign w:val="center"/>
          </w:tcPr>
          <w:p>
            <w:pPr>
              <w:pStyle w:val="TableContents"/>
              <w:bidi w:val="0"/>
              <w:spacing w:before="0" w:after="1"/>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1,031</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1,052</w:t>
            </w:r>
          </w:p>
        </w:tc>
        <w:tc>
          <w:tcPr>
            <w:tcW w:w="326" w:type="dxa"/>
            <w:tcBorders/>
            <w:shd w:fill="CCEEFF" w:val="clear"/>
            <w:vAlign w:val="center"/>
          </w:tcPr>
          <w:p>
            <w:pPr>
              <w:pStyle w:val="TableContents"/>
              <w:bidi w:val="0"/>
              <w:spacing w:before="0" w:after="1"/>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1"/>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0.2 </w:t>
            </w:r>
          </w:p>
        </w:tc>
        <w:tc>
          <w:tcPr>
            <w:tcW w:w="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0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326"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7,011</w:t>
            </w:r>
          </w:p>
        </w:tc>
        <w:tc>
          <w:tcPr>
            <w:tcW w:w="326" w:type="dxa"/>
            <w:tcBorders/>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5,316</w:t>
            </w:r>
          </w:p>
        </w:tc>
        <w:tc>
          <w:tcPr>
            <w:tcW w:w="326" w:type="dxa"/>
            <w:tcBorders/>
            <w:vAlign w:val="center"/>
          </w:tcPr>
          <w:p>
            <w:pPr>
              <w:pStyle w:val="TableContents"/>
              <w:bidi w:val="0"/>
              <w:spacing w:before="0" w:after="1"/>
              <w:ind w:left="0" w:right="0" w:hanging="0"/>
              <w:jc w:val="left"/>
              <w:rPr/>
            </w:pPr>
            <w:r>
              <w:rPr/>
              <w:t> </w:t>
            </w:r>
          </w:p>
        </w:tc>
        <w:tc>
          <w:tcPr>
            <w:tcW w:w="6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1,695</w:t>
            </w:r>
          </w:p>
        </w:tc>
        <w:tc>
          <w:tcPr>
            <w:tcW w:w="326" w:type="dxa"/>
            <w:tcBorders/>
            <w:vAlign w:val="center"/>
          </w:tcPr>
          <w:p>
            <w:pPr>
              <w:pStyle w:val="TableContents"/>
              <w:bidi w:val="0"/>
              <w:spacing w:before="0" w:after="1"/>
              <w:ind w:left="0" w:right="0" w:hanging="0"/>
              <w:jc w:val="left"/>
              <w:rPr/>
            </w:pPr>
            <w:r>
              <w:rPr/>
              <w:t> </w:t>
            </w:r>
          </w:p>
        </w:tc>
        <w:tc>
          <w:tcPr>
            <w:tcW w:w="8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1.6 </w:t>
            </w:r>
          </w:p>
        </w:tc>
        <w:tc>
          <w:tcPr>
            <w:tcW w:w="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from equity method investment</w:t>
            </w:r>
          </w:p>
        </w:tc>
        <w:tc>
          <w:tcPr>
            <w:tcW w:w="32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 </w:t>
            </w:r>
          </w:p>
        </w:tc>
        <w:tc>
          <w:tcPr>
            <w:tcW w:w="9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1,771</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5" w:type="dxa"/>
            <w:tcBorders/>
            <w:shd w:fill="CCEEFF" w:val="clear"/>
            <w:vAlign w:val="center"/>
          </w:tcPr>
          <w:p>
            <w:pPr>
              <w:pStyle w:val="TableContents"/>
              <w:bidi w:val="0"/>
              <w:spacing w:before="0" w:after="1"/>
              <w:ind w:left="0" w:right="0" w:hanging="0"/>
              <w:jc w:val="left"/>
              <w:rPr/>
            </w:pPr>
            <w:r>
              <w:rPr/>
              <w:t> </w:t>
            </w:r>
          </w:p>
        </w:tc>
        <w:tc>
          <w:tcPr>
            <w:tcW w:w="8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1,329</w:t>
            </w:r>
          </w:p>
        </w:tc>
        <w:tc>
          <w:tcPr>
            <w:tcW w:w="326" w:type="dxa"/>
            <w:tcBorders/>
            <w:shd w:fill="CCEEFF" w:val="clear"/>
            <w:vAlign w:val="center"/>
          </w:tcPr>
          <w:p>
            <w:pPr>
              <w:pStyle w:val="TableContents"/>
              <w:bidi w:val="0"/>
              <w:spacing w:before="0" w:after="1"/>
              <w:ind w:left="0" w:right="0" w:hanging="0"/>
              <w:jc w:val="left"/>
              <w:rPr/>
            </w:pPr>
            <w:r>
              <w:rPr/>
              <w:t> </w:t>
            </w:r>
          </w:p>
        </w:tc>
        <w:tc>
          <w:tcPr>
            <w:tcW w:w="6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w:t>
            </w:r>
          </w:p>
        </w:tc>
        <w:tc>
          <w:tcPr>
            <w:tcW w:w="326" w:type="dxa"/>
            <w:tcBorders/>
            <w:shd w:fill="CCEEFF" w:val="clear"/>
            <w:vAlign w:val="center"/>
          </w:tcPr>
          <w:p>
            <w:pPr>
              <w:pStyle w:val="TableContents"/>
              <w:bidi w:val="0"/>
              <w:spacing w:before="0" w:after="1"/>
              <w:ind w:left="0" w:right="0" w:hanging="0"/>
              <w:jc w:val="left"/>
              <w:rPr/>
            </w:pPr>
            <w:r>
              <w:rPr/>
              <w:t> </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0.5 </w:t>
            </w:r>
          </w:p>
        </w:tc>
        <w:tc>
          <w:tcPr>
            <w:tcW w:w="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0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26"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12,839</w:t>
            </w:r>
          </w:p>
        </w:tc>
        <w:tc>
          <w:tcPr>
            <w:tcW w:w="326" w:type="dxa"/>
            <w:tcBorders/>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20,985</w:t>
            </w:r>
          </w:p>
        </w:tc>
        <w:tc>
          <w:tcPr>
            <w:tcW w:w="326" w:type="dxa"/>
            <w:tcBorders/>
            <w:vAlign w:val="center"/>
          </w:tcPr>
          <w:p>
            <w:pPr>
              <w:pStyle w:val="TableContents"/>
              <w:bidi w:val="0"/>
              <w:spacing w:before="0" w:after="1"/>
              <w:ind w:left="0" w:right="0" w:hanging="0"/>
              <w:jc w:val="left"/>
              <w:rPr/>
            </w:pPr>
            <w:r>
              <w:rPr/>
              <w:t> </w:t>
            </w:r>
          </w:p>
        </w:tc>
        <w:tc>
          <w:tcPr>
            <w:tcW w:w="6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(8,146)</w:t>
            </w:r>
          </w:p>
        </w:tc>
        <w:tc>
          <w:tcPr>
            <w:tcW w:w="326" w:type="dxa"/>
            <w:tcBorders/>
            <w:vAlign w:val="center"/>
          </w:tcPr>
          <w:p>
            <w:pPr>
              <w:pStyle w:val="TableContents"/>
              <w:bidi w:val="0"/>
              <w:spacing w:before="0" w:after="1"/>
              <w:ind w:left="0" w:right="0" w:hanging="0"/>
              <w:jc w:val="left"/>
              <w:rPr/>
            </w:pPr>
            <w:r>
              <w:rPr/>
              <w:t> </w:t>
            </w:r>
          </w:p>
        </w:tc>
        <w:tc>
          <w:tcPr>
            <w:tcW w:w="8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 </w:t>
            </w:r>
          </w:p>
        </w:tc>
        <w:tc>
          <w:tcPr>
            <w:tcW w:w="9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6,686</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5" w:type="dxa"/>
            <w:tcBorders/>
            <w:shd w:fill="CCEEFF" w:val="clear"/>
            <w:vAlign w:val="center"/>
          </w:tcPr>
          <w:p>
            <w:pPr>
              <w:pStyle w:val="TableContents"/>
              <w:bidi w:val="0"/>
              <w:spacing w:before="0" w:after="1"/>
              <w:ind w:left="0" w:right="0" w:hanging="0"/>
              <w:jc w:val="left"/>
              <w:rPr/>
            </w:pPr>
            <w:r>
              <w:rPr/>
              <w:t> </w:t>
            </w:r>
          </w:p>
        </w:tc>
        <w:tc>
          <w:tcPr>
            <w:tcW w:w="8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9,109</w:t>
            </w:r>
          </w:p>
        </w:tc>
        <w:tc>
          <w:tcPr>
            <w:tcW w:w="326" w:type="dxa"/>
            <w:tcBorders/>
            <w:shd w:fill="CCEEFF" w:val="clear"/>
            <w:vAlign w:val="center"/>
          </w:tcPr>
          <w:p>
            <w:pPr>
              <w:pStyle w:val="TableContents"/>
              <w:bidi w:val="0"/>
              <w:spacing w:before="0" w:after="1"/>
              <w:ind w:left="0" w:right="0" w:hanging="0"/>
              <w:jc w:val="left"/>
              <w:rPr/>
            </w:pPr>
            <w:r>
              <w:rPr/>
              <w:t> </w:t>
            </w:r>
          </w:p>
        </w:tc>
        <w:tc>
          <w:tcPr>
            <w:tcW w:w="6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(2,423)</w:t>
            </w:r>
          </w:p>
        </w:tc>
        <w:tc>
          <w:tcPr>
            <w:tcW w:w="326" w:type="dxa"/>
            <w:tcBorders/>
            <w:shd w:fill="CCEEFF" w:val="clear"/>
            <w:vAlign w:val="center"/>
          </w:tcPr>
          <w:p>
            <w:pPr>
              <w:pStyle w:val="TableContents"/>
              <w:bidi w:val="0"/>
              <w:spacing w:before="0" w:after="1"/>
              <w:ind w:left="0" w:right="0" w:hanging="0"/>
              <w:jc w:val="left"/>
              <w:rPr/>
            </w:pPr>
            <w:r>
              <w:rPr/>
              <w:t> </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0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1"/>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6,153</w:t>
            </w:r>
          </w:p>
        </w:tc>
        <w:tc>
          <w:tcPr>
            <w:tcW w:w="326" w:type="dxa"/>
            <w:tcBorders/>
            <w:vAlign w:val="center"/>
          </w:tcPr>
          <w:p>
            <w:pPr>
              <w:pStyle w:val="TableContents"/>
              <w:bidi w:val="0"/>
              <w:spacing w:before="0" w:after="1"/>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11,876</w:t>
            </w:r>
          </w:p>
        </w:tc>
        <w:tc>
          <w:tcPr>
            <w:tcW w:w="326" w:type="dxa"/>
            <w:tcBorders/>
            <w:vAlign w:val="center"/>
          </w:tcPr>
          <w:p>
            <w:pPr>
              <w:pStyle w:val="TableContents"/>
              <w:bidi w:val="0"/>
              <w:spacing w:before="0" w:after="1"/>
              <w:ind w:left="0" w:right="0" w:hanging="0"/>
              <w:jc w:val="left"/>
              <w:rPr/>
            </w:pPr>
            <w:r>
              <w:rPr/>
              <w:t> </w:t>
            </w:r>
          </w:p>
        </w:tc>
        <w:tc>
          <w:tcPr>
            <w:tcW w:w="64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(5,723)</w:t>
            </w:r>
          </w:p>
        </w:tc>
        <w:tc>
          <w:tcPr>
            <w:tcW w:w="326" w:type="dxa"/>
            <w:tcBorders/>
            <w:vAlign w:val="center"/>
          </w:tcPr>
          <w:p>
            <w:pPr>
              <w:pStyle w:val="TableContents"/>
              <w:bidi w:val="0"/>
              <w:spacing w:before="0" w:after="1"/>
              <w:ind w:left="0" w:right="0" w:hanging="0"/>
              <w:jc w:val="left"/>
              <w:rPr/>
            </w:pPr>
            <w:r>
              <w:rPr/>
              <w:t> </w:t>
            </w:r>
          </w:p>
        </w:tc>
        <w:tc>
          <w:tcPr>
            <w:tcW w:w="8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07"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Adjusted EBITDA</w:t>
            </w:r>
            <w:r>
              <w:rPr>
                <w:rFonts w:ascii="Times New Roman;Times;serif" w:hAnsi="Times New Roman;Times;serif"/>
                <w:sz w:val="15"/>
              </w:rPr>
              <w:t xml:space="preserve">(a) </w:t>
            </w:r>
          </w:p>
        </w:tc>
        <w:tc>
          <w:tcPr>
            <w:tcW w:w="326" w:type="dxa"/>
            <w:tcBorders/>
            <w:shd w:fill="CCEEFF" w:val="clear"/>
            <w:vAlign w:val="center"/>
          </w:tcPr>
          <w:p>
            <w:pPr>
              <w:pStyle w:val="TableContents"/>
              <w:bidi w:val="0"/>
              <w:spacing w:before="0" w:after="1"/>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36,083</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42,252</w:t>
            </w:r>
          </w:p>
        </w:tc>
        <w:tc>
          <w:tcPr>
            <w:tcW w:w="326" w:type="dxa"/>
            <w:tcBorders/>
            <w:shd w:fill="CCEEFF" w:val="clear"/>
            <w:vAlign w:val="center"/>
          </w:tcPr>
          <w:p>
            <w:pPr>
              <w:pStyle w:val="TableContents"/>
              <w:bidi w:val="0"/>
              <w:spacing w:before="0" w:after="1"/>
              <w:ind w:left="0" w:right="0" w:hanging="0"/>
              <w:jc w:val="left"/>
              <w:rPr/>
            </w:pPr>
            <w:r>
              <w:rPr/>
              <w:t> </w:t>
            </w:r>
          </w:p>
        </w:tc>
        <w:tc>
          <w:tcPr>
            <w:tcW w:w="6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(6,169)</w:t>
            </w:r>
          </w:p>
        </w:tc>
        <w:tc>
          <w:tcPr>
            <w:tcW w:w="326" w:type="dxa"/>
            <w:tcBorders/>
            <w:shd w:fill="CCEEFF" w:val="clear"/>
            <w:vAlign w:val="center"/>
          </w:tcPr>
          <w:p>
            <w:pPr>
              <w:pStyle w:val="TableContents"/>
              <w:bidi w:val="0"/>
              <w:spacing w:before="0" w:after="1"/>
              <w:ind w:left="0" w:right="0" w:hanging="0"/>
              <w:jc w:val="left"/>
              <w:rPr/>
            </w:pPr>
            <w:r>
              <w:rPr/>
              <w:t> </w:t>
            </w:r>
          </w:p>
        </w:tc>
        <w:tc>
          <w:tcPr>
            <w:tcW w:w="8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0.1 </w:t>
            </w:r>
          </w:p>
        </w:tc>
        <w:tc>
          <w:tcPr>
            <w:tcW w:w="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________________________________________</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Adjusted EBITDA is a non-GAAP measure. See “Non-GAAP Financial Measures” for a reconciliation to net income, the most directly comparable GAAP measure, and for information regarding our use of Adjusted EBITDA.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Sales</w:t>
      </w:r>
    </w:p>
    <w:p>
      <w:pPr>
        <w:pStyle w:val="TextBody"/>
        <w:bidi w:val="0"/>
        <w:spacing w:before="0" w:after="240"/>
        <w:ind w:left="0" w:right="0" w:firstLine="360"/>
        <w:jc w:val="left"/>
        <w:rPr>
          <w:rFonts w:ascii="Times New Roman;Times;serif" w:hAnsi="Times New Roman;Times;serif"/>
          <w:sz w:val="20"/>
        </w:rPr>
      </w:pPr>
      <w:bookmarkStart w:id="1360" w:name="_20f2c2e8_1c0e_4821_adc5_249c6b141559"/>
      <w:bookmarkEnd w:id="1360"/>
      <w:r>
        <w:rPr>
          <w:rFonts w:ascii="Times New Roman;Times;serif" w:hAnsi="Times New Roman;Times;serif"/>
          <w:sz w:val="20"/>
        </w:rPr>
        <w:t>Net sales were $160.8 million for the fiscal quarter ended September 30, 2023, compared to $189.4 million for the fiscal quarter ended October 1, 2022. The $28.6 million, or 15.1%, decrease in net sales was because of a $32.8 million decrease in sales volume, partially offset by a $4.2 million increase from higher pricing. The volume decrease was primarily driven by continued macroeconomic challenges. The decrease in total net sales of $28.6 million across our product lines consisted of $19.5 million for in-ground swimming pools, $4.7 million for liners and $4.5 million for covers.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Sales and Gross Margin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Cost of sales was $112.6 million for the fiscal quarter ended September 30, 2023, compared to $130.5 million for the fiscal quarter ended October 1, 2022. Gross margin decreased by 1.2%, to 29.9% of net sales for the fiscal quarter ended September 30, 2023, compared to 31.1% of net sales for the fiscal quarter ended October 1, 2022. The $17.9 million, or 13.7%, decrease in cost of sales was primarily the result of the decrease in sales volume and a $0.6 million decrease in non-cash stock-based compensation expense. The 1.2% decrease in gross margin was primarily driven by reduced net sales, the right sizing of our inventory and the sell-through of higher cost inventory, partially offset by some material cost deflation, benefits from pricing levels and improving fixed costs as a result of our cost reduction actions.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General, and Administrative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Selling, general, and administrative expense was $23.4 million for the fiscal quarter ended September 30, 2023, compared to $26.7 million for the fiscal quarter ended October 1, 2022, and increased as a percentage of net sales by 0.5%. The $3.3 million, or 12.4%, decrease in selling, general, and administrative expense was primarily driven by a $4.1 million decrease in non-cash stock-based compensation expense and lower employee incentive accruals.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Amortization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Amortization was $6.6 million for the fiscal quarter ended September 30, 2023, compared to $7.2 million for the fiscal quarter ended October 1, 2022. The $0.6 million, or 7.3%, decrease in amortization was driven by certain definite-lived intangible assets becoming fully amortized during the fiscal year ended December 31,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Interest expense, net was $6.0 million for the fiscal quarter ended September 30, 2023, compared to $4.3 million for the fiscal quarter ended October 1, 2022. The $1.7 million, or 40.2%, increase in interest expense, net was primarily the result of a higher effective interest rate, compared to the fiscal quarter ended October 1, 2022, partially offset by the change in the fair value of our interest rate swaps. Interest expense, net for the fiscal quarter ended September 30, 2023 was impacted by an unrealized gain of $1.1 million related to the change in fair value of our interest rate swaps compared to an unrealized gain of $0.3 million for the fiscal quarter ended October 1,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Expense,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expense, net was $1.0 million for the fiscal quarter ended September 30, 2023, compared to $1.1 million for fiscal quarter ended October 1, 2022. The $0.1 million decrease in other expense was primarily driven by a favorable change in net foreign currency transaction gains and losses associated with our international subsidiaries.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Earnings from Equity Method Investment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Earnings from our equity method investment in Premier Pools &amp; Spa were $1.8 million for the fiscal quarter ended September 30, 2023, compared to $1.3 million for the fiscal quarter ended October 1, 2022, because of the financial performance of Premier Pools &amp; Spa.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Income tax expense was $6.7 million for the fiscal quarter ended September 30, 2023, compared to income tax expense of $9.1 million for the fiscal quarter ended October 1, 2022. Our effective tax rate was 52.1% for the fiscal quarter ended September 30, 2023, compared to 43.4% for the fiscal quarter ended October 1, 2022. The difference between the U.S. federal statutory income tax rate and our effective income tax rate for both the fiscal quarters ended September 30, 2023 and October 1, 2022 was primarily attributable to the discrete impact of stock-based compensation expense for which there is no associated tax benefit.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Income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income was $6.2 million for the fiscal quarter ended September 30, 2023, compared to $11.9 million for the fiscal quarter ended October 1, 2022. The $5.7 million, or 48.2%, decrease in net income was primarily because of the factors described above.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Income Margin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income margin was 3.8% for the fiscal quarter ended September 30, 2023, compared to 6.3% for the fiscal quarter ended October 1, 2022. The 2.5% decrease in net income margin was driven by a $5.7 million decrease in net income and a $28.6 million decrease in net sales, compared to the fiscal quarter ended October 1, 2022 because of the factors described above.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Adjusted EBITDA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Adjusted EBITDA was $36.1 million for the fiscal quarter ended September 30, 2023, compared to $42.3 million for the fiscal quarter ended October 1, 2022. The $6.2 million, or 14.6%, decrease in Adjusted EBITDA was primarily because of the decrease in net sales, partially offset by the reduction in SG&amp;A expenses, as well as the other factors described above.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Adjusted EBITDA Margin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Adjusted EBITDA margin was 22.4% for the fiscal quarter ended September 30, 2023, compared to 22.3% for the fiscal quarter ended October 1, 2022. The 0.1% increase in Adjusted EBITDA margin was primarily because of a $6.2 million decrease in Adjusted EBITDA and a $28.6 million decrease in net sales, compared to the fiscal quarter ended October 1, 2022, which were impacted by the factors described above.</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Three Fiscal Quarters Ended September 30, 2023 Compared to Three Fiscal Quarters Ended October 1, 2022</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summarizes our results of operations for the three fiscal quarters ended September 30, 2023 and October 1, 2022:</w:t>
      </w:r>
    </w:p>
    <w:p>
      <w:pPr>
        <w:pStyle w:val="TextBody"/>
        <w:bidi w:val="0"/>
        <w:spacing w:before="0" w:after="24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1962"/>
        <w:gridCol w:w="326"/>
        <w:gridCol w:w="232"/>
        <w:gridCol w:w="860"/>
        <w:gridCol w:w="326"/>
        <w:gridCol w:w="811"/>
        <w:gridCol w:w="361"/>
        <w:gridCol w:w="222"/>
        <w:gridCol w:w="823"/>
        <w:gridCol w:w="326"/>
        <w:gridCol w:w="811"/>
        <w:gridCol w:w="361"/>
        <w:gridCol w:w="211"/>
        <w:gridCol w:w="851"/>
        <w:gridCol w:w="326"/>
        <w:gridCol w:w="985"/>
        <w:gridCol w:w="411"/>
      </w:tblGrid>
      <w:tr>
        <w:trPr/>
        <w:tc>
          <w:tcPr>
            <w:tcW w:w="1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245870" cy="175260"/>
                      <wp:effectExtent l="0" t="0" r="0" b="0"/>
                      <wp:wrapNone/>
                      <wp:docPr id="308" name="Frame308"/>
                      <a:graphic xmlns:a="http://schemas.openxmlformats.org/drawingml/2006/main">
                        <a:graphicData uri="http://schemas.microsoft.com/office/word/2010/wordprocessingShape">
                          <wps:wsp>
                            <wps:cNvSpPr txBox="1"/>
                            <wps:spPr>
                              <a:xfrm>
                                <a:off x="0" y="0"/>
                                <a:ext cx="1245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07010" cy="175260"/>
                      <wp:effectExtent l="0" t="0" r="0" b="0"/>
                      <wp:wrapNone/>
                      <wp:docPr id="309" name="Frame3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47320" cy="175260"/>
                      <wp:effectExtent l="0" t="0" r="0" b="0"/>
                      <wp:wrapNone/>
                      <wp:docPr id="310" name="Frame310"/>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546100" cy="175260"/>
                      <wp:effectExtent l="0" t="0" r="0" b="0"/>
                      <wp:wrapNone/>
                      <wp:docPr id="311" name="Frame311"/>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7010" cy="175260"/>
                      <wp:effectExtent l="0" t="0" r="0" b="0"/>
                      <wp:wrapNone/>
                      <wp:docPr id="312" name="Frame3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514985" cy="175260"/>
                      <wp:effectExtent l="0" t="0" r="0" b="0"/>
                      <wp:wrapNone/>
                      <wp:docPr id="313" name="Frame31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29235" cy="175260"/>
                      <wp:effectExtent l="0" t="0" r="0" b="0"/>
                      <wp:wrapNone/>
                      <wp:docPr id="314" name="Frame31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40970" cy="175260"/>
                      <wp:effectExtent l="0" t="0" r="0" b="0"/>
                      <wp:wrapNone/>
                      <wp:docPr id="315" name="Frame315"/>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522605" cy="175260"/>
                      <wp:effectExtent l="0" t="0" r="0" b="0"/>
                      <wp:wrapNone/>
                      <wp:docPr id="316" name="Frame316"/>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7" name="Frame3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514985" cy="175260"/>
                      <wp:effectExtent l="0" t="0" r="0" b="0"/>
                      <wp:wrapNone/>
                      <wp:docPr id="318" name="Frame31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29235" cy="175260"/>
                      <wp:effectExtent l="0" t="0" r="0" b="0"/>
                      <wp:wrapNone/>
                      <wp:docPr id="319" name="Frame31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3985" cy="175260"/>
                      <wp:effectExtent l="0" t="0" r="0" b="0"/>
                      <wp:wrapNone/>
                      <wp:docPr id="320" name="Frame3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540385" cy="175260"/>
                      <wp:effectExtent l="0" t="0" r="0" b="0"/>
                      <wp:wrapNone/>
                      <wp:docPr id="321" name="Frame321"/>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22" name="Frame3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25475" cy="175260"/>
                      <wp:effectExtent l="0" t="0" r="0" b="0"/>
                      <wp:wrapNone/>
                      <wp:docPr id="323" name="Frame323"/>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60985" cy="175260"/>
                      <wp:effectExtent l="0" t="0" r="0" b="0"/>
                      <wp:wrapNone/>
                      <wp:docPr id="324" name="Frame324"/>
                      <a:graphic xmlns:a="http://schemas.openxmlformats.org/drawingml/2006/main">
                        <a:graphicData uri="http://schemas.microsoft.com/office/word/2010/wordprocessingShape">
                          <wps:wsp>
                            <wps:cNvSpPr txBox="1"/>
                            <wps:spPr>
                              <a:xfrm>
                                <a:off x="0" y="0"/>
                                <a:ext cx="260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6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506"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Fiscal Quarters Ended</w:t>
            </w:r>
          </w:p>
        </w:tc>
        <w:tc>
          <w:tcPr>
            <w:tcW w:w="411" w:type="dxa"/>
            <w:tcBorders/>
            <w:vAlign w:val="center"/>
          </w:tcPr>
          <w:p>
            <w:pPr>
              <w:pStyle w:val="TableContents"/>
              <w:bidi w:val="0"/>
              <w:spacing w:before="0" w:after="1"/>
              <w:ind w:left="0" w:right="0" w:hanging="0"/>
              <w:jc w:val="left"/>
              <w:rPr/>
            </w:pPr>
            <w:r>
              <w:rPr/>
              <w:t> </w:t>
            </w:r>
          </w:p>
        </w:tc>
      </w:tr>
      <w:tr>
        <w:trPr/>
        <w:tc>
          <w:tcPr>
            <w:tcW w:w="196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center"/>
              <w:rPr/>
            </w:pPr>
            <w:r>
              <w:rPr/>
              <w:t>​</w:t>
            </w:r>
          </w:p>
        </w:tc>
        <w:tc>
          <w:tcPr>
            <w:tcW w:w="86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Net </w:t>
            </w:r>
          </w:p>
        </w:tc>
        <w:tc>
          <w:tcPr>
            <w:tcW w:w="361"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center"/>
              <w:rPr/>
            </w:pPr>
            <w:r>
              <w:rPr/>
              <w:t>​</w:t>
            </w:r>
          </w:p>
        </w:tc>
        <w:tc>
          <w:tcPr>
            <w:tcW w:w="82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Net </w:t>
            </w:r>
          </w:p>
        </w:tc>
        <w:tc>
          <w:tcPr>
            <w:tcW w:w="361" w:type="dxa"/>
            <w:tcBorders/>
            <w:vAlign w:val="center"/>
          </w:tcPr>
          <w:p>
            <w:pPr>
              <w:pStyle w:val="TableContents"/>
              <w:bidi w:val="0"/>
              <w:spacing w:before="0" w:after="1"/>
              <w:ind w:left="0" w:right="0" w:hanging="0"/>
              <w:jc w:val="left"/>
              <w:rPr/>
            </w:pPr>
            <w:r>
              <w:rPr/>
              <w:t>​</w:t>
            </w:r>
          </w:p>
        </w:tc>
        <w:tc>
          <w:tcPr>
            <w:tcW w:w="10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26"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in % </w:t>
            </w:r>
          </w:p>
        </w:tc>
        <w:tc>
          <w:tcPr>
            <w:tcW w:w="411" w:type="dxa"/>
            <w:tcBorders/>
            <w:vAlign w:val="center"/>
          </w:tcPr>
          <w:p>
            <w:pPr>
              <w:pStyle w:val="TableContents"/>
              <w:bidi w:val="0"/>
              <w:spacing w:before="0" w:after="1"/>
              <w:ind w:left="0" w:right="0" w:hanging="0"/>
              <w:jc w:val="left"/>
              <w:rPr/>
            </w:pPr>
            <w:r>
              <w:rPr/>
              <w:t> </w:t>
            </w:r>
          </w:p>
        </w:tc>
      </w:tr>
      <w:tr>
        <w:trPr/>
        <w:tc>
          <w:tcPr>
            <w:tcW w:w="196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61" w:type="dxa"/>
            <w:tcBorders/>
            <w:vAlign w:val="center"/>
          </w:tcPr>
          <w:p>
            <w:pPr>
              <w:pStyle w:val="TableContents"/>
              <w:bidi w:val="0"/>
              <w:spacing w:before="0" w:after="1"/>
              <w:ind w:left="0" w:right="0" w:hanging="0"/>
              <w:jc w:val="left"/>
              <w:rPr/>
            </w:pPr>
            <w:r>
              <w:rPr/>
              <w:t>    </w:t>
            </w:r>
          </w:p>
        </w:tc>
        <w:tc>
          <w:tcPr>
            <w:tcW w:w="10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October 1, 2022</w:t>
            </w:r>
          </w:p>
        </w:tc>
        <w:tc>
          <w:tcPr>
            <w:tcW w:w="326" w:type="dxa"/>
            <w:tcBorders/>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61" w:type="dxa"/>
            <w:tcBorders/>
            <w:vAlign w:val="center"/>
          </w:tcPr>
          <w:p>
            <w:pPr>
              <w:pStyle w:val="TableContents"/>
              <w:bidi w:val="0"/>
              <w:spacing w:before="0" w:after="1"/>
              <w:ind w:left="0" w:right="0" w:hanging="0"/>
              <w:jc w:val="left"/>
              <w:rPr/>
            </w:pPr>
            <w:r>
              <w:rPr/>
              <w:t>    </w:t>
            </w:r>
          </w:p>
        </w:tc>
        <w:tc>
          <w:tcPr>
            <w:tcW w:w="10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98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Net Sales</w:t>
            </w:r>
          </w:p>
        </w:tc>
        <w:tc>
          <w:tcPr>
            <w:tcW w:w="411" w:type="dxa"/>
            <w:tcBorders/>
            <w:vAlign w:val="center"/>
          </w:tcPr>
          <w:p>
            <w:pPr>
              <w:pStyle w:val="TableContents"/>
              <w:bidi w:val="0"/>
              <w:spacing w:before="0" w:after="1"/>
              <w:ind w:left="0" w:right="0" w:hanging="0"/>
              <w:jc w:val="left"/>
              <w:rPr/>
            </w:pPr>
            <w:r>
              <w:rPr/>
              <w:t> </w:t>
            </w:r>
          </w:p>
        </w:tc>
      </w:tr>
      <w:tr>
        <w:trPr/>
        <w:tc>
          <w:tcPr>
            <w:tcW w:w="10205" w:type="dxa"/>
            <w:gridSpan w:val="17"/>
            <w:tcBorders/>
            <w:vAlign w:val="center"/>
          </w:tcPr>
          <w:p>
            <w:pPr>
              <w:pStyle w:val="TableContents"/>
              <w:bidi w:val="0"/>
              <w:spacing w:before="0" w:after="283"/>
              <w:ind w:left="0" w:right="0" w:hanging="0"/>
              <w:jc w:val="left"/>
              <w:rPr>
                <w:sz w:val="4"/>
                <w:szCs w:val="4"/>
              </w:rPr>
            </w:pPr>
            <w:r>
              <w:rPr>
                <w:sz w:val="4"/>
                <w:szCs w:val="4"/>
              </w:rPr>
            </w:r>
          </w:p>
        </w:tc>
      </w:tr>
      <w:tr>
        <w:trPr/>
        <w:tc>
          <w:tcPr>
            <w:tcW w:w="196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506" w:type="dxa"/>
            <w:gridSpan w:val="1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411" w:type="dxa"/>
            <w:tcBorders/>
            <w:vAlign w:val="center"/>
          </w:tcPr>
          <w:p>
            <w:pPr>
              <w:pStyle w:val="TableContents"/>
              <w:bidi w:val="0"/>
              <w:spacing w:before="0" w:after="1"/>
              <w:ind w:left="0" w:right="0" w:hanging="0"/>
              <w:jc w:val="left"/>
              <w:rPr/>
            </w:pPr>
            <w:r>
              <w:rPr/>
              <w:t>​</w:t>
            </w:r>
          </w:p>
        </w:tc>
      </w:tr>
      <w:tr>
        <w:trPr/>
        <w:tc>
          <w:tcPr>
            <w:tcW w:w="19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475,625</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587,812</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(112,187)</w:t>
            </w:r>
          </w:p>
        </w:tc>
        <w:tc>
          <w:tcPr>
            <w:tcW w:w="326" w:type="dxa"/>
            <w:tcBorders/>
            <w:shd w:fill="CCEEFF" w:val="clear"/>
            <w:vAlign w:val="center"/>
          </w:tcPr>
          <w:p>
            <w:pPr>
              <w:pStyle w:val="TableContents"/>
              <w:bidi w:val="0"/>
              <w:spacing w:before="0" w:after="1"/>
              <w:ind w:left="0" w:right="0" w:hanging="0"/>
              <w:jc w:val="left"/>
              <w:rPr/>
            </w:pPr>
            <w:r>
              <w:rPr/>
              <w:t> </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0.0 </w:t>
            </w:r>
          </w:p>
        </w:tc>
        <w:tc>
          <w:tcPr>
            <w:tcW w:w="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343,877</w:t>
            </w:r>
          </w:p>
        </w:tc>
        <w:tc>
          <w:tcPr>
            <w:tcW w:w="326" w:type="dxa"/>
            <w:tcBorders/>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2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390,674</w:t>
            </w:r>
          </w:p>
        </w:tc>
        <w:tc>
          <w:tcPr>
            <w:tcW w:w="326" w:type="dxa"/>
            <w:tcBorders/>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(46,797)</w:t>
            </w:r>
          </w:p>
        </w:tc>
        <w:tc>
          <w:tcPr>
            <w:tcW w:w="326" w:type="dxa"/>
            <w:tcBorders/>
            <w:vAlign w:val="center"/>
          </w:tcPr>
          <w:p>
            <w:pPr>
              <w:pStyle w:val="TableContents"/>
              <w:bidi w:val="0"/>
              <w:spacing w:before="0" w:after="1"/>
              <w:ind w:left="0" w:right="0" w:hanging="0"/>
              <w:jc w:val="left"/>
              <w:rPr/>
            </w:pPr>
            <w:r>
              <w:rPr/>
              <w:t> </w:t>
            </w:r>
          </w:p>
        </w:tc>
        <w:tc>
          <w:tcPr>
            <w:tcW w:w="9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5.8 </w:t>
            </w:r>
          </w:p>
        </w:tc>
        <w:tc>
          <w:tcPr>
            <w:tcW w:w="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131,748</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22"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197,138</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(65,390)</w:t>
            </w:r>
          </w:p>
        </w:tc>
        <w:tc>
          <w:tcPr>
            <w:tcW w:w="326" w:type="dxa"/>
            <w:tcBorders/>
            <w:shd w:fill="CCEEFF" w:val="clear"/>
            <w:vAlign w:val="center"/>
          </w:tcPr>
          <w:p>
            <w:pPr>
              <w:pStyle w:val="TableContents"/>
              <w:bidi w:val="0"/>
              <w:spacing w:before="0" w:after="1"/>
              <w:ind w:left="0" w:right="0" w:hanging="0"/>
              <w:jc w:val="left"/>
              <w:rPr/>
            </w:pPr>
            <w:r>
              <w:rPr/>
              <w:t> </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6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8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left"/>
              <w:rPr/>
            </w:pPr>
            <w:r>
              <w:rPr/>
              <w:t>​</w:t>
            </w:r>
          </w:p>
        </w:tc>
        <w:tc>
          <w:tcPr>
            <w:tcW w:w="411" w:type="dxa"/>
            <w:tcBorders/>
            <w:vAlign w:val="center"/>
          </w:tcPr>
          <w:p>
            <w:pPr>
              <w:pStyle w:val="TableContents"/>
              <w:bidi w:val="0"/>
              <w:spacing w:before="0" w:after="1"/>
              <w:ind w:left="0" w:right="0" w:hanging="0"/>
              <w:jc w:val="left"/>
              <w:rPr/>
            </w:pPr>
            <w:r>
              <w:rPr/>
              <w:t>​</w:t>
            </w:r>
          </w:p>
        </w:tc>
      </w:tr>
      <w:tr>
        <w:trPr/>
        <w:tc>
          <w:tcPr>
            <w:tcW w:w="19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86,697</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22"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113,778</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(27,081)</w:t>
            </w:r>
          </w:p>
        </w:tc>
        <w:tc>
          <w:tcPr>
            <w:tcW w:w="326" w:type="dxa"/>
            <w:tcBorders/>
            <w:shd w:fill="CCEEFF" w:val="clear"/>
            <w:vAlign w:val="center"/>
          </w:tcPr>
          <w:p>
            <w:pPr>
              <w:pStyle w:val="TableContents"/>
              <w:bidi w:val="0"/>
              <w:spacing w:before="0" w:after="1"/>
              <w:ind w:left="0" w:right="0" w:hanging="0"/>
              <w:jc w:val="left"/>
              <w:rPr/>
            </w:pPr>
            <w:r>
              <w:rPr/>
              <w:t> </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Underwriting fees related to offering of common stock</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22" w:type="dxa"/>
            <w:tcBorders/>
            <w:vAlign w:val="center"/>
          </w:tcPr>
          <w:p>
            <w:pPr>
              <w:pStyle w:val="TableContents"/>
              <w:bidi w:val="0"/>
              <w:spacing w:before="0" w:after="1"/>
              <w:ind w:left="0" w:right="0" w:hanging="0"/>
              <w:jc w:val="left"/>
              <w:rPr/>
            </w:pPr>
            <w:r>
              <w:rPr/>
              <w:t>​</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11,437</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(11,437)</w:t>
            </w:r>
          </w:p>
        </w:tc>
        <w:tc>
          <w:tcPr>
            <w:tcW w:w="326"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9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19,902</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2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21,504</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(1,602)</w:t>
            </w:r>
          </w:p>
        </w:tc>
        <w:tc>
          <w:tcPr>
            <w:tcW w:w="326" w:type="dxa"/>
            <w:tcBorders/>
            <w:shd w:fill="CCEEFF" w:val="clear"/>
            <w:vAlign w:val="center"/>
          </w:tcPr>
          <w:p>
            <w:pPr>
              <w:pStyle w:val="TableContents"/>
              <w:bidi w:val="0"/>
              <w:spacing w:before="0" w:after="1"/>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0.5 </w:t>
            </w:r>
          </w:p>
        </w:tc>
        <w:tc>
          <w:tcPr>
            <w:tcW w:w="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25,149</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22"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50,419</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8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(25,270)</w:t>
            </w:r>
          </w:p>
        </w:tc>
        <w:tc>
          <w:tcPr>
            <w:tcW w:w="326" w:type="dxa"/>
            <w:tcBorders/>
            <w:vAlign w:val="center"/>
          </w:tcPr>
          <w:p>
            <w:pPr>
              <w:pStyle w:val="TableContents"/>
              <w:bidi w:val="0"/>
              <w:spacing w:before="0" w:after="1"/>
              <w:ind w:left="0" w:right="0" w:hanging="0"/>
              <w:jc w:val="left"/>
              <w:rPr/>
            </w:pPr>
            <w:r>
              <w:rPr/>
              <w:t> </w:t>
            </w:r>
          </w:p>
        </w:tc>
        <w:tc>
          <w:tcPr>
            <w:tcW w:w="9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expense: </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6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85" w:type="dxa"/>
            <w:tcBorders/>
            <w:shd w:fill="CCEEFF" w:val="clear"/>
            <w:vAlign w:val="center"/>
          </w:tcPr>
          <w:p>
            <w:pPr>
              <w:pStyle w:val="TableContents"/>
              <w:bidi w:val="0"/>
              <w:spacing w:before="0" w:after="1"/>
              <w:ind w:left="0" w:right="0" w:hanging="0"/>
              <w:jc w:val="right"/>
              <w:rPr/>
            </w:pPr>
            <w:r>
              <w:rPr/>
              <w:t>  </w:t>
            </w:r>
          </w:p>
        </w:tc>
        <w:tc>
          <w:tcPr>
            <w:tcW w:w="411" w:type="dxa"/>
            <w:tcBorders/>
            <w:shd w:fill="CCEEFF" w:val="clear"/>
            <w:vAlign w:val="center"/>
          </w:tcPr>
          <w:p>
            <w:pPr>
              <w:pStyle w:val="TableContents"/>
              <w:bidi w:val="0"/>
              <w:spacing w:before="0" w:after="1"/>
              <w:ind w:left="0" w:right="0" w:hanging="0"/>
              <w:jc w:val="left"/>
              <w:rPr/>
            </w:pPr>
            <w:r>
              <w:rPr/>
              <w:t>​</w:t>
            </w:r>
          </w:p>
        </w:tc>
      </w:tr>
      <w:tr>
        <w:trPr/>
        <w:tc>
          <w:tcPr>
            <w:tcW w:w="19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21,270</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22"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9,193</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8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12,077</w:t>
            </w:r>
          </w:p>
        </w:tc>
        <w:tc>
          <w:tcPr>
            <w:tcW w:w="326" w:type="dxa"/>
            <w:tcBorders/>
            <w:vAlign w:val="center"/>
          </w:tcPr>
          <w:p>
            <w:pPr>
              <w:pStyle w:val="TableContents"/>
              <w:bidi w:val="0"/>
              <w:spacing w:before="0" w:after="1"/>
              <w:ind w:left="0" w:right="0" w:hanging="0"/>
              <w:jc w:val="left"/>
              <w:rPr/>
            </w:pPr>
            <w:r>
              <w:rPr/>
              <w:t> </w:t>
            </w:r>
          </w:p>
        </w:tc>
        <w:tc>
          <w:tcPr>
            <w:tcW w:w="9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2.9 </w:t>
            </w:r>
          </w:p>
        </w:tc>
        <w:tc>
          <w:tcPr>
            <w:tcW w:w="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6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22" w:type="dxa"/>
            <w:tcBorders/>
            <w:shd w:fill="CCEEFF" w:val="clear"/>
            <w:vAlign w:val="center"/>
          </w:tcPr>
          <w:p>
            <w:pPr>
              <w:pStyle w:val="TableContents"/>
              <w:bidi w:val="0"/>
              <w:spacing w:before="0" w:after="1"/>
              <w:ind w:left="0" w:right="0" w:hanging="0"/>
              <w:jc w:val="left"/>
              <w:rPr/>
            </w:pPr>
            <w:r>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3,465</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(3,465)</w:t>
            </w:r>
          </w:p>
        </w:tc>
        <w:tc>
          <w:tcPr>
            <w:tcW w:w="326"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32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c>
          <w:tcPr>
            <w:tcW w:w="326" w:type="dxa"/>
            <w:tcBorders/>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2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1,614</w:t>
            </w:r>
          </w:p>
        </w:tc>
        <w:tc>
          <w:tcPr>
            <w:tcW w:w="326" w:type="dxa"/>
            <w:tcBorders/>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(1,409)</w:t>
            </w:r>
          </w:p>
        </w:tc>
        <w:tc>
          <w:tcPr>
            <w:tcW w:w="326" w:type="dxa"/>
            <w:tcBorders/>
            <w:vAlign w:val="center"/>
          </w:tcPr>
          <w:p>
            <w:pPr>
              <w:pStyle w:val="TableContents"/>
              <w:bidi w:val="0"/>
              <w:spacing w:before="0" w:after="1"/>
              <w:ind w:left="0" w:right="0" w:hanging="0"/>
              <w:jc w:val="left"/>
              <w:rPr/>
            </w:pPr>
            <w:r>
              <w:rPr/>
              <w:t> </w:t>
            </w:r>
          </w:p>
        </w:tc>
        <w:tc>
          <w:tcPr>
            <w:tcW w:w="9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21,475</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2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14,272</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7,203</w:t>
            </w:r>
          </w:p>
        </w:tc>
        <w:tc>
          <w:tcPr>
            <w:tcW w:w="326" w:type="dxa"/>
            <w:tcBorders/>
            <w:shd w:fill="CCEEFF" w:val="clear"/>
            <w:vAlign w:val="center"/>
          </w:tcPr>
          <w:p>
            <w:pPr>
              <w:pStyle w:val="TableContents"/>
              <w:bidi w:val="0"/>
              <w:spacing w:before="0" w:after="1"/>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2.1 </w:t>
            </w:r>
          </w:p>
        </w:tc>
        <w:tc>
          <w:tcPr>
            <w:tcW w:w="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from equity method investment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2,468</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0.5 </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22"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2,591</w:t>
            </w:r>
          </w:p>
        </w:tc>
        <w:tc>
          <w:tcPr>
            <w:tcW w:w="32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0.4 </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8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vAlign w:val="center"/>
          </w:tcPr>
          <w:p>
            <w:pPr>
              <w:pStyle w:val="TableContents"/>
              <w:bidi w:val="0"/>
              <w:spacing w:before="0" w:after="1"/>
              <w:ind w:left="0" w:right="0" w:hanging="0"/>
              <w:jc w:val="left"/>
              <w:rPr/>
            </w:pPr>
            <w:r>
              <w:rPr/>
              <w:t> </w:t>
            </w:r>
          </w:p>
        </w:tc>
        <w:tc>
          <w:tcPr>
            <w:tcW w:w="9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0.1 </w:t>
            </w:r>
          </w:p>
        </w:tc>
        <w:tc>
          <w:tcPr>
            <w:tcW w:w="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6,142</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22"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38,738</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(32,596)</w:t>
            </w:r>
          </w:p>
        </w:tc>
        <w:tc>
          <w:tcPr>
            <w:tcW w:w="326" w:type="dxa"/>
            <w:tcBorders/>
            <w:shd w:fill="CCEEFF" w:val="clear"/>
            <w:vAlign w:val="center"/>
          </w:tcPr>
          <w:p>
            <w:pPr>
              <w:pStyle w:val="TableContents"/>
              <w:bidi w:val="0"/>
              <w:spacing w:before="0" w:after="1"/>
              <w:ind w:left="0" w:right="0" w:hanging="0"/>
              <w:jc w:val="left"/>
              <w:rPr/>
            </w:pPr>
            <w:r>
              <w:rPr/>
              <w:t> </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8,642</w:t>
            </w:r>
          </w:p>
        </w:tc>
        <w:tc>
          <w:tcPr>
            <w:tcW w:w="326" w:type="dxa"/>
            <w:tcBorders/>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2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25,399</w:t>
            </w:r>
          </w:p>
        </w:tc>
        <w:tc>
          <w:tcPr>
            <w:tcW w:w="326" w:type="dxa"/>
            <w:tcBorders/>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(16,757)</w:t>
            </w:r>
          </w:p>
        </w:tc>
        <w:tc>
          <w:tcPr>
            <w:tcW w:w="326" w:type="dxa"/>
            <w:tcBorders/>
            <w:vAlign w:val="center"/>
          </w:tcPr>
          <w:p>
            <w:pPr>
              <w:pStyle w:val="TableContents"/>
              <w:bidi w:val="0"/>
              <w:spacing w:before="0" w:after="1"/>
              <w:ind w:left="0" w:right="0" w:hanging="0"/>
              <w:jc w:val="left"/>
              <w:rPr/>
            </w:pPr>
            <w:r>
              <w:rPr/>
              <w:t> </w:t>
            </w:r>
          </w:p>
        </w:tc>
        <w:tc>
          <w:tcPr>
            <w:tcW w:w="9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income</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2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13,339</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(15,839)</w:t>
            </w:r>
          </w:p>
        </w:tc>
        <w:tc>
          <w:tcPr>
            <w:tcW w:w="326" w:type="dxa"/>
            <w:tcBorders/>
            <w:shd w:fill="CCEEFF" w:val="clear"/>
            <w:vAlign w:val="center"/>
          </w:tcPr>
          <w:p>
            <w:pPr>
              <w:pStyle w:val="TableContents"/>
              <w:bidi w:val="0"/>
              <w:spacing w:before="0" w:after="1"/>
              <w:ind w:left="0" w:right="0" w:hanging="0"/>
              <w:jc w:val="left"/>
              <w:rPr/>
            </w:pPr>
            <w:r>
              <w:rPr/>
              <w:t> </w:t>
            </w:r>
          </w:p>
        </w:tc>
        <w:tc>
          <w:tcPr>
            <w:tcW w:w="9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62"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Adjusted EBITDA</w:t>
            </w:r>
            <w:r>
              <w:rPr>
                <w:rFonts w:ascii="Times New Roman;Times;serif" w:hAnsi="Times New Roman;Times;serif"/>
                <w:sz w:val="15"/>
              </w:rPr>
              <w:t>(a)</w:t>
            </w:r>
          </w:p>
        </w:tc>
        <w:tc>
          <w:tcPr>
            <w:tcW w:w="326" w:type="dxa"/>
            <w:tcBorders/>
            <w:vAlign w:val="center"/>
          </w:tcPr>
          <w:p>
            <w:pPr>
              <w:pStyle w:val="TableContents"/>
              <w:bidi w:val="0"/>
              <w:spacing w:before="0" w:after="1"/>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78,115</w:t>
            </w:r>
          </w:p>
        </w:tc>
        <w:tc>
          <w:tcPr>
            <w:tcW w:w="326" w:type="dxa"/>
            <w:tcBorders/>
            <w:vAlign w:val="center"/>
          </w:tcPr>
          <w:p>
            <w:pPr>
              <w:pStyle w:val="TableContents"/>
              <w:bidi w:val="0"/>
              <w:spacing w:before="0" w:after="1"/>
              <w:ind w:left="0" w:right="0" w:hanging="0"/>
              <w:jc w:val="left"/>
              <w:rPr/>
            </w:pPr>
            <w:r>
              <w:rPr/>
              <w:t> </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2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138,867</w:t>
            </w:r>
          </w:p>
        </w:tc>
        <w:tc>
          <w:tcPr>
            <w:tcW w:w="326" w:type="dxa"/>
            <w:tcBorders/>
            <w:vAlign w:val="center"/>
          </w:tcPr>
          <w:p>
            <w:pPr>
              <w:pStyle w:val="TableContents"/>
              <w:bidi w:val="0"/>
              <w:spacing w:before="0" w:after="1"/>
              <w:ind w:left="0" w:right="0" w:hanging="0"/>
              <w:jc w:val="left"/>
              <w:rPr/>
            </w:pPr>
            <w:r>
              <w:rPr/>
              <w:t> </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(60,752)</w:t>
            </w:r>
          </w:p>
        </w:tc>
        <w:tc>
          <w:tcPr>
            <w:tcW w:w="326" w:type="dxa"/>
            <w:tcBorders/>
            <w:vAlign w:val="center"/>
          </w:tcPr>
          <w:p>
            <w:pPr>
              <w:pStyle w:val="TableContents"/>
              <w:bidi w:val="0"/>
              <w:spacing w:before="0" w:after="1"/>
              <w:ind w:left="0" w:right="0" w:hanging="0"/>
              <w:jc w:val="left"/>
              <w:rPr/>
            </w:pPr>
            <w:r>
              <w:rPr/>
              <w:t> </w:t>
            </w:r>
          </w:p>
        </w:tc>
        <w:tc>
          <w:tcPr>
            <w:tcW w:w="9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ind w:left="0" w:right="0" w:hanging="0"/>
        <w:jc w:val="left"/>
        <w:rPr>
          <w:rFonts w:ascii="Times New Roman;Times;serif" w:hAnsi="Times New Roman;Times;serif"/>
          <w:sz w:val="20"/>
        </w:rPr>
      </w:pPr>
      <w:r>
        <w:rPr>
          <w:rFonts w:ascii="Times New Roman;Times;serif" w:hAnsi="Times New Roman;Times;serif"/>
          <w:sz w:val="20"/>
        </w:rPr>
        <w:t>(a)Adjusted EBITDA is a non-GAAP measure. See “Non-GAAP Financial Measures” for a reconciliation to net income (loss), the most directly comparable GAAP measure, and for information regarding our use of Adjusted EBITDA.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Sales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were $475.6 million for the three fiscal quarters ended September 30, 2023, compared to $587.8 million for the three fiscal quarters ended October 1, 2022. The $112.2 million, or 19.1%, decrease in net sales was because of a $125.9 million decrease in sales volume, partially offset by a $13.7 million increase from higher pricing. The volume decrease was due to continued macroeconomic challenges. The decrease in total net sales of $112.2 million across our product lines consisted of $74.3 million for in-ground swimming pools, $24.0 million for liners and $13.9 million in covers.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Sales and Gross Margin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Cost of sales was $343.9 million for the three fiscal quarters ended September 30, 2023, compared to $390.7 million for the three fiscal quarters ended October 1, 2022. Gross margin decreased by 5.8%, to 27.7% of net sales for the three fiscal quarters ended September 30, 2023 compared to 33.5% of net sales for the three fiscal quarters ended October 1, 2022. The $46.8 million, or 12.0%, decrease in cost of sales was primarily the result of the decrease in sales volume and a $3.1 million decrease in non-cash stock-based compensation expense. The 5.8% decrease in gross margin was primarily driven by reduced net sales, sell-through of higher cost inventory, the right sizing of our inventory and negative fixed cost leverage from year-over-year volume declines, partially offset by benefits from our pricing levels, some material cost deflation and improved productivity.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General, and Administrative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Selling, general, and administrative expense was $86.7 million for the three fiscal quarters ended September 30, 2023, compared to $113.8 million for the three fiscal quarters ended October 1, 2022, and decreased as a percentage of net sales by 1.2%. The $27.1 million, or 23.8%, decrease in selling, general, and administrative expense was primarily driven by a $22.4 million decrease in non-cash stock-based compensation expense, lower incentive accruals, and wages on lower headcount.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Underwriting Fees Related to Offering of Common Stock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Underwriting fees related to our offering of common stock were $11.4 million for the three fiscal quarters ended October 1, 2022, related to the offering that was completed in January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Amortization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Amortization was $19.9 million for the three fiscal quarters ended September 30, 2023, compared to $21.5 million for the three fiscal quarters ended October 1, 2022. The $1.6 million, or 7.4%, decrease in amortization was driven by certain definite-lived intangible assets becoming fully amortized during the fiscal year ended December 31,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Interest expense, net was $21.3 million for the three fiscal quarters ended September 30, 2023, compared to $9.2 million for the three fiscal quarters ended October 1, 2022. The $12.1 million, or 131.4%, increase in interest expense, net was primarily the result of the change in the fair value of our interest rate swaps and a higher effective interest rate, compared to the three fiscal quarters ended October 1, 2022. Interest expense, net for the three fiscal quarters ended September 30, 2023 was impacted by an unrealized loss of $1.8 million related to the change in fair value of our interest rate swaps compared to an unrealized gain of $4.2 million for the three fiscal quarters ended October 1,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Loss on Extinguishment of Debt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Loss on extinguishment of debt was $3.5 million for the three fiscal quarters ended October 1, 2022, related to our debt refinancing completed in February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Expense,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expense, net was $0.2 million for the three fiscal quarters ended September 30, 2023, compared to $1.6 million for the three fiscal quarters ended October 1, 2022. The $1.4 million decrease in other expense was primarily driven by a favorable change in net foreign currency transaction gains and losses associated with our international subsidiaries.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Earnings from Equity Method Investment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Earnings from our equity method investment in Premier Pools &amp; Spa were $2.5 million for the three fiscal quarters ended September 30, 2023, compared to $2.6 million for the three fiscal quarters ended October 1, 2022, because of the financial performance of Premier Pools &amp; Spa.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Income tax expense was $8.6 million for the three fiscal quarters ended September 30, 2023, compared to income tax expense of $25.4 million for the three fiscal quarters ended October 1, 2022. Our effective tax rate was 140.7% for the three fiscal quarters ended September 30, 2023, compared to 65.6% for the three fiscal quarters ended October 1, 2022. The difference between the U.S. federal statutory income tax rate and our effective income tax rate for both the fiscal quarters ended September 30, 2023 and October 1, 2022 was primarily attributable to the discrete impact of stock-based compensation expense for which there is no associated tax benefit.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(Loss) Income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loss was $2.5 million for the three fiscal quarters ended September 30, 2023, compared to $13.3 million of net income for the three fiscal quarters ended October 1, 2022. The $15.8 million, or 118.7%, increase in net loss was primarily because of the factors described above.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(Loss) Income Margin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loss margin was 0.5% for the three fiscal quarters ended September 30, 2023, compared to net income margin of 2.3% for the three fiscal quarters ended October 1, 2022. The 2.8% increase in net loss margin was driven by a $15.8 million increase in net loss and a $112.2 million decrease in net sales, compared to the three fiscal quarters ended October 1, 2022 because of the factors described above.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Adjusted EBITDA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Adjusted EBITDA was $78.1 million for the three fiscal quarters ended September 30, 2023, compared to $138.9 million for the three fiscal quarters ended October 1, 2022. The $60.8 million, or 43.7%, decrease in Adjusted EBITDA was primarily because of the decrease in net sales, as well as the other factors described above.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Adjusted EBITDA Margin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Adjusted EBITDA margin was 16.4% for the three fiscal quarters ended September 30, 2023, compared to 23.6% for the three fiscal quarters ended October 1, 2022. The 7.2% decrease in Adjusted EBITDA margin was primarily because of a $60.8 million decrease in Adjusted EBITDA and a $112.2 million decrease in net sales, compared to the three fiscal quarters ended October 1, 2022, which were impacted by the other factors described above.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Adjusted EBITDA and Adjusted EBITDA Margin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Adjusted EBITDA and Adjusted EBITDA margin are key metrics used by management and our Board of Directors to assess our financial performance. Adjusted EBITDA and Adjusted EBITDA margin are also frequently used by analysts, investors, and other interested parties to evaluate companies in our industry, when considered alongside other GAAP measures. Management believes it is useful to investors and analysts to evaluate these non-GAAP measures for the same reasons and on the same basis as management and our Board of Directors use them to evaluate our operating results. We use Adjusted EBITDA and Adjusted EBITDA margin to supplement GAAP measures of performance to evaluate the effectiveness of our business strategies, to make budgeting decisions, to utilize as a significant performance metric in our annual management incentive bonus plan compensation, and to compare our performance against that of other companies using similar measures.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 (i) depreciation and amortization, (ii) interest expense, net, (iii) income tax (benefit) expense, (iv) loss (gain) on sale and disposal of property and equipment, (v) restructuring charges, (vi) stock-based compensation expense, (vii) unrealized losses (gains) on foreign currency transactions, (viii) strategic initiative costs, (ix) acquisition and integration related costs, (x) loss on extinguishment of debt, (xi) underwriting fees related to offering of common stock, (xii) Odessa fire and (xiii) other items that we do not believe are indicative of our core operating performance.</w:t>
      </w:r>
    </w:p>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Adjusted EBITDA and Adjusted EBITDA margin are non-GAAP financial measures and should not be considered as alternatives to net income (loss) as a measure of financial performance or any other performance measure derived in accordance with GAAP, and they should not be construed as an inference that our future results will be unaffected by unusual or non-recurring items. You are encouraged to evaluate these adjustments and the reasons we consider them appropriate for supplemental analysis. In evaluating Adjusted EBITDA and Adjusted EBITDA margin, you should be aware that in the future we may incur expenses that are the same as or similar to some of the adjustments in this presentation. There can be no assurance that we will not modify the presentation of Adjusted EBITDA and Adjusted EBITDA margin in the future,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Adjusted EBITDA and Adjusted EBITDA margin have their limitations as analytical tools, and you should not consider them in isolation or as a substitute for analysis of our results as reported under GAAP. Some of these limitations are that Adjusted EBITDA and Adjusted EBITDA margin:</w:t>
      </w:r>
    </w:p>
    <w:tbl>
      <w:tblPr>
        <w:tblW w:w="9126" w:type="dxa"/>
        <w:jc w:val="left"/>
        <w:tblInd w:w="0" w:type="dxa"/>
        <w:tblLayout w:type="fixed"/>
        <w:tblCellMar>
          <w:top w:w="28" w:type="dxa"/>
          <w:left w:w="28" w:type="dxa"/>
          <w:bottom w:w="28" w:type="dxa"/>
          <w:right w:w="28" w:type="dxa"/>
        </w:tblCellMar>
      </w:tblPr>
      <w:tblGrid>
        <w:gridCol w:w="124"/>
        <w:gridCol w:w="256"/>
        <w:gridCol w:w="8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reflect every expenditure, future requirements for capital expenditures or contractual commitments;</w:t>
            </w:r>
          </w:p>
        </w:tc>
      </w:tr>
    </w:tbl>
    <w:tbl>
      <w:tblPr>
        <w:tblW w:w="4731" w:type="dxa"/>
        <w:jc w:val="left"/>
        <w:tblInd w:w="0" w:type="dxa"/>
        <w:tblLayout w:type="fixed"/>
        <w:tblCellMar>
          <w:top w:w="28" w:type="dxa"/>
          <w:left w:w="28" w:type="dxa"/>
          <w:bottom w:w="28" w:type="dxa"/>
          <w:right w:w="28" w:type="dxa"/>
        </w:tblCellMar>
      </w:tblPr>
      <w:tblGrid>
        <w:gridCol w:w="124"/>
        <w:gridCol w:w="256"/>
        <w:gridCol w:w="4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reflect changes in our working capital needs;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reflect the interest expense, net, or the amounts necessary to service interest or principal payments, on our outstanding debt;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reflect income tax (benefit) expense, and because the payment of taxes is part of our operations, tax expense is a necessary element of our costs and ability to operate;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reflect non-cash stock-based compensation, which will remain a key element of our overall compensation package;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reflect the impact of earnings or charges resulting from matters we consider not to be indicative of our ongoing operations.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Although depreciation and amortization are eliminated in the calculation of Adjusted EBITDA and Adjusted EBITDA margin, the assets being depreciated and amortized will often have to be replaced in the future, and Adjusted EBITDA and Adjusted EBITDA margin do not reflect any costs of such replacements.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Management compensates for these limitations by primarily relying on our GAAP results, while using Adjusted EBITDA and Adjusted EBITDA margin as supplements to the corresponding GAAP financial measures.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provides a reconciliation of our net income (loss) to Adjusted EBITDA for the periods presented and the calculation of Adjusted EBITDA margin:</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600"/>
        <w:gridCol w:w="289"/>
        <w:gridCol w:w="1074"/>
        <w:gridCol w:w="361"/>
        <w:gridCol w:w="253"/>
        <w:gridCol w:w="939"/>
        <w:gridCol w:w="361"/>
        <w:gridCol w:w="289"/>
        <w:gridCol w:w="1074"/>
        <w:gridCol w:w="361"/>
        <w:gridCol w:w="253"/>
        <w:gridCol w:w="939"/>
        <w:gridCol w:w="412"/>
      </w:tblGrid>
      <w:tr>
        <w:trPr/>
        <w:tc>
          <w:tcPr>
            <w:tcW w:w="3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286000" cy="175260"/>
                      <wp:effectExtent l="0" t="0" r="0" b="0"/>
                      <wp:wrapNone/>
                      <wp:docPr id="325" name="Frame325"/>
                      <a:graphic xmlns:a="http://schemas.openxmlformats.org/drawingml/2006/main">
                        <a:graphicData uri="http://schemas.microsoft.com/office/word/2010/wordprocessingShape">
                          <wps:wsp>
                            <wps:cNvSpPr txBox="1"/>
                            <wps:spPr>
                              <a:xfrm>
                                <a:off x="0" y="0"/>
                                <a:ext cx="2286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83515" cy="175260"/>
                      <wp:effectExtent l="0" t="0" r="0" b="0"/>
                      <wp:wrapNone/>
                      <wp:docPr id="326" name="Frame326"/>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81990" cy="175260"/>
                      <wp:effectExtent l="0" t="0" r="0" b="0"/>
                      <wp:wrapNone/>
                      <wp:docPr id="327" name="Frame327"/>
                      <a:graphic xmlns:a="http://schemas.openxmlformats.org/drawingml/2006/main">
                        <a:graphicData uri="http://schemas.microsoft.com/office/word/2010/wordprocessingShape">
                          <wps:wsp>
                            <wps:cNvSpPr txBox="1"/>
                            <wps:spPr>
                              <a:xfrm>
                                <a:off x="0" y="0"/>
                                <a:ext cx="681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29235" cy="175260"/>
                      <wp:effectExtent l="0" t="0" r="0" b="0"/>
                      <wp:wrapNone/>
                      <wp:docPr id="328" name="Frame32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60655" cy="175260"/>
                      <wp:effectExtent l="0" t="0" r="0" b="0"/>
                      <wp:wrapNone/>
                      <wp:docPr id="329" name="Frame329"/>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596265" cy="175260"/>
                      <wp:effectExtent l="0" t="0" r="0" b="0"/>
                      <wp:wrapNone/>
                      <wp:docPr id="330" name="Frame330"/>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29235" cy="175260"/>
                      <wp:effectExtent l="0" t="0" r="0" b="0"/>
                      <wp:wrapNone/>
                      <wp:docPr id="331" name="Frame33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83515" cy="175260"/>
                      <wp:effectExtent l="0" t="0" r="0" b="0"/>
                      <wp:wrapNone/>
                      <wp:docPr id="332" name="Frame332"/>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81990" cy="175260"/>
                      <wp:effectExtent l="0" t="0" r="0" b="0"/>
                      <wp:wrapNone/>
                      <wp:docPr id="333" name="Frame333"/>
                      <a:graphic xmlns:a="http://schemas.openxmlformats.org/drawingml/2006/main">
                        <a:graphicData uri="http://schemas.microsoft.com/office/word/2010/wordprocessingShape">
                          <wps:wsp>
                            <wps:cNvSpPr txBox="1"/>
                            <wps:spPr>
                              <a:xfrm>
                                <a:off x="0" y="0"/>
                                <a:ext cx="681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29235" cy="175260"/>
                      <wp:effectExtent l="0" t="0" r="0" b="0"/>
                      <wp:wrapNone/>
                      <wp:docPr id="334" name="Frame33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60655" cy="175260"/>
                      <wp:effectExtent l="0" t="0" r="0" b="0"/>
                      <wp:wrapNone/>
                      <wp:docPr id="335" name="Frame335"/>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596265" cy="175260"/>
                      <wp:effectExtent l="0" t="0" r="0" b="0"/>
                      <wp:wrapNone/>
                      <wp:docPr id="336" name="Frame336"/>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61620" cy="175260"/>
                      <wp:effectExtent l="0" t="0" r="0" b="0"/>
                      <wp:wrapNone/>
                      <wp:docPr id="337" name="Frame337"/>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00" w:type="dxa"/>
            <w:tcBorders/>
            <w:vAlign w:val="center"/>
          </w:tcPr>
          <w:p>
            <w:pPr>
              <w:pStyle w:val="TableContents"/>
              <w:bidi w:val="0"/>
              <w:spacing w:before="0" w:after="1"/>
              <w:ind w:left="0" w:right="0" w:hanging="0"/>
              <w:jc w:val="left"/>
              <w:rPr/>
            </w:pPr>
            <w:r>
              <w:rPr/>
              <w:t>​</w:t>
            </w:r>
          </w:p>
        </w:tc>
        <w:tc>
          <w:tcPr>
            <w:tcW w:w="291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Fiscal Quarter Ended</w:t>
            </w:r>
          </w:p>
        </w:tc>
        <w:tc>
          <w:tcPr>
            <w:tcW w:w="361" w:type="dxa"/>
            <w:tcBorders/>
            <w:vAlign w:val="center"/>
          </w:tcPr>
          <w:p>
            <w:pPr>
              <w:pStyle w:val="TableContents"/>
              <w:bidi w:val="0"/>
              <w:spacing w:before="0" w:after="1"/>
              <w:ind w:left="0" w:right="0" w:hanging="0"/>
              <w:jc w:val="left"/>
              <w:rPr/>
            </w:pPr>
            <w:r>
              <w:rPr/>
              <w:t>​</w:t>
            </w:r>
          </w:p>
        </w:tc>
        <w:tc>
          <w:tcPr>
            <w:tcW w:w="291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Fiscal Quarters Ended</w:t>
            </w:r>
          </w:p>
        </w:tc>
        <w:tc>
          <w:tcPr>
            <w:tcW w:w="412" w:type="dxa"/>
            <w:tcBorders/>
            <w:vAlign w:val="center"/>
          </w:tcPr>
          <w:p>
            <w:pPr>
              <w:pStyle w:val="TableContents"/>
              <w:bidi w:val="0"/>
              <w:spacing w:before="0" w:after="1"/>
              <w:ind w:left="0" w:right="0" w:hanging="0"/>
              <w:jc w:val="center"/>
              <w:rPr/>
            </w:pPr>
            <w:r>
              <w:rPr/>
              <w:t>​</w:t>
            </w:r>
          </w:p>
        </w:tc>
      </w:tr>
      <w:tr>
        <w:trPr/>
        <w:tc>
          <w:tcPr>
            <w:tcW w:w="3600" w:type="dxa"/>
            <w:tcBorders/>
            <w:vAlign w:val="center"/>
          </w:tcPr>
          <w:p>
            <w:pPr>
              <w:pStyle w:val="TableContents"/>
              <w:bidi w:val="0"/>
              <w:spacing w:before="0" w:after="1"/>
              <w:ind w:left="0" w:right="0" w:hanging="0"/>
              <w:jc w:val="left"/>
              <w:rPr/>
            </w:pPr>
            <w:r>
              <w:rPr/>
              <w:t>​</w:t>
            </w:r>
          </w:p>
        </w:tc>
        <w:tc>
          <w:tcPr>
            <w:tcW w:w="13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61" w:type="dxa"/>
            <w:tcBorders/>
            <w:vAlign w:val="center"/>
          </w:tcPr>
          <w:p>
            <w:pPr>
              <w:pStyle w:val="TableContents"/>
              <w:bidi w:val="0"/>
              <w:spacing w:before="0" w:after="1"/>
              <w:ind w:left="0" w:right="0" w:hanging="0"/>
              <w:jc w:val="left"/>
              <w:rPr/>
            </w:pPr>
            <w:r>
              <w:rPr/>
              <w:t>    </w:t>
            </w:r>
          </w:p>
        </w:tc>
        <w:tc>
          <w:tcPr>
            <w:tcW w:w="11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October 1, 2022</w:t>
            </w:r>
          </w:p>
        </w:tc>
        <w:tc>
          <w:tcPr>
            <w:tcW w:w="361" w:type="dxa"/>
            <w:tcBorders/>
            <w:vAlign w:val="center"/>
          </w:tcPr>
          <w:p>
            <w:pPr>
              <w:pStyle w:val="TableContents"/>
              <w:bidi w:val="0"/>
              <w:spacing w:before="0" w:after="1"/>
              <w:ind w:left="0" w:right="0" w:hanging="0"/>
              <w:jc w:val="left"/>
              <w:rPr/>
            </w:pPr>
            <w:r>
              <w:rPr/>
              <w:t>   </w:t>
            </w:r>
          </w:p>
        </w:tc>
        <w:tc>
          <w:tcPr>
            <w:tcW w:w="13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61" w:type="dxa"/>
            <w:tcBorders/>
            <w:vAlign w:val="center"/>
          </w:tcPr>
          <w:p>
            <w:pPr>
              <w:pStyle w:val="TableContents"/>
              <w:bidi w:val="0"/>
              <w:spacing w:before="0" w:after="1"/>
              <w:ind w:left="0" w:right="0" w:hanging="0"/>
              <w:jc w:val="left"/>
              <w:rPr/>
            </w:pPr>
            <w:r>
              <w:rPr/>
              <w:t>    </w:t>
            </w:r>
          </w:p>
        </w:tc>
        <w:tc>
          <w:tcPr>
            <w:tcW w:w="11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October 1, 2022</w:t>
            </w:r>
          </w:p>
        </w:tc>
        <w:tc>
          <w:tcPr>
            <w:tcW w:w="412" w:type="dxa"/>
            <w:tcBorders/>
            <w:vAlign w:val="center"/>
          </w:tcPr>
          <w:p>
            <w:pPr>
              <w:pStyle w:val="TableContents"/>
              <w:bidi w:val="0"/>
              <w:spacing w:before="0" w:after="1"/>
              <w:ind w:left="0" w:right="0" w:hanging="0"/>
              <w:jc w:val="center"/>
              <w:rPr/>
            </w:pPr>
            <w:r>
              <w:rPr/>
              <w:t>​</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600" w:type="dxa"/>
            <w:tcBorders/>
            <w:vAlign w:val="center"/>
          </w:tcPr>
          <w:p>
            <w:pPr>
              <w:pStyle w:val="TableContents"/>
              <w:bidi w:val="0"/>
              <w:spacing w:before="0" w:after="1"/>
              <w:ind w:left="0" w:right="0" w:hanging="0"/>
              <w:jc w:val="left"/>
              <w:rPr/>
            </w:pPr>
            <w:r>
              <w:rPr/>
              <w:t>​</w:t>
            </w:r>
          </w:p>
        </w:tc>
        <w:tc>
          <w:tcPr>
            <w:tcW w:w="6193" w:type="dxa"/>
            <w:gridSpan w:val="1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412" w:type="dxa"/>
            <w:tcBorders/>
            <w:vAlign w:val="center"/>
          </w:tcPr>
          <w:p>
            <w:pPr>
              <w:pStyle w:val="TableContents"/>
              <w:bidi w:val="0"/>
              <w:spacing w:before="0" w:after="1"/>
              <w:ind w:left="0" w:right="0" w:hanging="0"/>
              <w:jc w:val="center"/>
              <w:rPr/>
            </w:pPr>
            <w:r>
              <w:rPr/>
              <w:t>​</w:t>
            </w:r>
          </w:p>
        </w:tc>
      </w:tr>
      <w:tr>
        <w:trPr/>
        <w:tc>
          <w:tcPr>
            <w:tcW w:w="3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6,153</w:t>
            </w:r>
          </w:p>
        </w:tc>
        <w:tc>
          <w:tcPr>
            <w:tcW w:w="361"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11,876</w:t>
            </w:r>
          </w:p>
        </w:tc>
        <w:tc>
          <w:tcPr>
            <w:tcW w:w="361"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w:t>
            </w:r>
          </w:p>
        </w:tc>
        <w:tc>
          <w:tcPr>
            <w:tcW w:w="361"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13,339</w:t>
            </w:r>
          </w:p>
        </w:tc>
        <w:tc>
          <w:tcPr>
            <w:tcW w:w="412" w:type="dxa"/>
            <w:tcBorders/>
            <w:shd w:fill="CCEEFF" w:val="clear"/>
            <w:vAlign w:val="center"/>
          </w:tcPr>
          <w:p>
            <w:pPr>
              <w:pStyle w:val="TableContents"/>
              <w:bidi w:val="0"/>
              <w:spacing w:before="0" w:after="1"/>
              <w:ind w:left="0" w:right="0" w:hanging="0"/>
              <w:jc w:val="left"/>
              <w:rPr/>
            </w:pPr>
            <w:r>
              <w:rPr/>
              <w:t>​</w:t>
            </w:r>
          </w:p>
        </w:tc>
      </w:tr>
      <w:tr>
        <w:trPr/>
        <w:tc>
          <w:tcPr>
            <w:tcW w:w="36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289" w:type="dxa"/>
            <w:tcBorders/>
            <w:vAlign w:val="center"/>
          </w:tcPr>
          <w:p>
            <w:pPr>
              <w:pStyle w:val="TableContents"/>
              <w:bidi w:val="0"/>
              <w:spacing w:before="0" w:after="1"/>
              <w:ind w:left="0" w:right="0" w:hanging="0"/>
              <w:jc w:val="left"/>
              <w:rPr/>
            </w:pPr>
            <w:r>
              <w:rPr/>
              <w:t>​</w:t>
            </w:r>
          </w:p>
        </w:tc>
        <w:tc>
          <w:tcPr>
            <w:tcW w:w="10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10,500</w:t>
            </w:r>
          </w:p>
        </w:tc>
        <w:tc>
          <w:tcPr>
            <w:tcW w:w="361"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9,560</w:t>
            </w:r>
          </w:p>
        </w:tc>
        <w:tc>
          <w:tcPr>
            <w:tcW w:w="361"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10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29,784</w:t>
            </w:r>
          </w:p>
        </w:tc>
        <w:tc>
          <w:tcPr>
            <w:tcW w:w="361"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28,834</w:t>
            </w:r>
          </w:p>
        </w:tc>
        <w:tc>
          <w:tcPr>
            <w:tcW w:w="412" w:type="dxa"/>
            <w:tcBorders/>
            <w:vAlign w:val="center"/>
          </w:tcPr>
          <w:p>
            <w:pPr>
              <w:pStyle w:val="TableContents"/>
              <w:bidi w:val="0"/>
              <w:spacing w:before="0" w:after="1"/>
              <w:ind w:left="0" w:right="0" w:hanging="0"/>
              <w:jc w:val="left"/>
              <w:rPr/>
            </w:pPr>
            <w:r>
              <w:rPr/>
              <w:t>​</w:t>
            </w:r>
          </w:p>
        </w:tc>
      </w:tr>
      <w:tr>
        <w:trPr/>
        <w:tc>
          <w:tcPr>
            <w:tcW w:w="3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289" w:type="dxa"/>
            <w:tcBorders/>
            <w:shd w:fill="CCEEFF" w:val="clear"/>
            <w:vAlign w:val="center"/>
          </w:tcPr>
          <w:p>
            <w:pPr>
              <w:pStyle w:val="TableContents"/>
              <w:bidi w:val="0"/>
              <w:spacing w:before="0" w:after="1"/>
              <w:ind w:left="0" w:right="0" w:hanging="0"/>
              <w:jc w:val="left"/>
              <w:rPr/>
            </w:pPr>
            <w:r>
              <w:rPr/>
              <w:t>​</w:t>
            </w:r>
          </w:p>
        </w:tc>
        <w:tc>
          <w:tcPr>
            <w:tcW w:w="10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5,980</w:t>
            </w:r>
          </w:p>
        </w:tc>
        <w:tc>
          <w:tcPr>
            <w:tcW w:w="361"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4,264</w:t>
            </w:r>
          </w:p>
        </w:tc>
        <w:tc>
          <w:tcPr>
            <w:tcW w:w="361"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10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21,270</w:t>
            </w:r>
          </w:p>
        </w:tc>
        <w:tc>
          <w:tcPr>
            <w:tcW w:w="361"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9,193</w:t>
            </w:r>
          </w:p>
        </w:tc>
        <w:tc>
          <w:tcPr>
            <w:tcW w:w="412" w:type="dxa"/>
            <w:tcBorders/>
            <w:shd w:fill="CCEEFF" w:val="clear"/>
            <w:vAlign w:val="center"/>
          </w:tcPr>
          <w:p>
            <w:pPr>
              <w:pStyle w:val="TableContents"/>
              <w:bidi w:val="0"/>
              <w:spacing w:before="0" w:after="1"/>
              <w:ind w:left="0" w:right="0" w:hanging="0"/>
              <w:jc w:val="left"/>
              <w:rPr/>
            </w:pPr>
            <w:r>
              <w:rPr/>
              <w:t>​</w:t>
            </w:r>
          </w:p>
        </w:tc>
      </w:tr>
      <w:tr>
        <w:trPr/>
        <w:tc>
          <w:tcPr>
            <w:tcW w:w="36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289" w:type="dxa"/>
            <w:tcBorders/>
            <w:vAlign w:val="center"/>
          </w:tcPr>
          <w:p>
            <w:pPr>
              <w:pStyle w:val="TableContents"/>
              <w:bidi w:val="0"/>
              <w:spacing w:before="0" w:after="1"/>
              <w:ind w:left="0" w:right="0" w:hanging="0"/>
              <w:jc w:val="left"/>
              <w:rPr/>
            </w:pPr>
            <w:r>
              <w:rPr/>
              <w:t>​</w:t>
            </w:r>
          </w:p>
        </w:tc>
        <w:tc>
          <w:tcPr>
            <w:tcW w:w="10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6,686</w:t>
            </w:r>
          </w:p>
        </w:tc>
        <w:tc>
          <w:tcPr>
            <w:tcW w:w="361"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9,109</w:t>
            </w:r>
          </w:p>
        </w:tc>
        <w:tc>
          <w:tcPr>
            <w:tcW w:w="361"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10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8,642</w:t>
            </w:r>
          </w:p>
        </w:tc>
        <w:tc>
          <w:tcPr>
            <w:tcW w:w="361"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25,399</w:t>
            </w:r>
          </w:p>
        </w:tc>
        <w:tc>
          <w:tcPr>
            <w:tcW w:w="412" w:type="dxa"/>
            <w:tcBorders/>
            <w:vAlign w:val="center"/>
          </w:tcPr>
          <w:p>
            <w:pPr>
              <w:pStyle w:val="TableContents"/>
              <w:bidi w:val="0"/>
              <w:spacing w:before="0" w:after="1"/>
              <w:ind w:left="0" w:right="0" w:hanging="0"/>
              <w:jc w:val="left"/>
              <w:rPr/>
            </w:pPr>
            <w:r>
              <w:rPr/>
              <w:t>​</w:t>
            </w:r>
          </w:p>
        </w:tc>
      </w:tr>
      <w:tr>
        <w:trPr/>
        <w:tc>
          <w:tcPr>
            <w:tcW w:w="3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sale and disposal of property and equipment</w:t>
            </w:r>
          </w:p>
        </w:tc>
        <w:tc>
          <w:tcPr>
            <w:tcW w:w="289" w:type="dxa"/>
            <w:tcBorders/>
            <w:shd w:fill="CCEEFF" w:val="clear"/>
            <w:vAlign w:val="center"/>
          </w:tcPr>
          <w:p>
            <w:pPr>
              <w:pStyle w:val="TableContents"/>
              <w:bidi w:val="0"/>
              <w:spacing w:before="0" w:after="1"/>
              <w:ind w:left="0" w:right="0" w:hanging="0"/>
              <w:jc w:val="left"/>
              <w:rPr/>
            </w:pPr>
            <w:r>
              <w:rPr/>
              <w:t>​</w:t>
            </w:r>
          </w:p>
        </w:tc>
        <w:tc>
          <w:tcPr>
            <w:tcW w:w="10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361"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61"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10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c>
          <w:tcPr>
            <w:tcW w:w="361"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c>
          <w:tcPr>
            <w:tcW w:w="412" w:type="dxa"/>
            <w:tcBorders/>
            <w:shd w:fill="CCEEFF" w:val="clear"/>
            <w:vAlign w:val="center"/>
          </w:tcPr>
          <w:p>
            <w:pPr>
              <w:pStyle w:val="TableContents"/>
              <w:bidi w:val="0"/>
              <w:spacing w:before="0" w:after="1"/>
              <w:ind w:left="0" w:right="0" w:hanging="0"/>
              <w:jc w:val="left"/>
              <w:rPr/>
            </w:pPr>
            <w:r>
              <w:rPr/>
              <w:t>​</w:t>
            </w:r>
          </w:p>
        </w:tc>
      </w:tr>
      <w:tr>
        <w:trPr/>
        <w:tc>
          <w:tcPr>
            <w:tcW w:w="3600"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Restructuring charges</w:t>
            </w:r>
            <w:r>
              <w:rPr>
                <w:rFonts w:ascii="Times New Roman;Times;serif" w:hAnsi="Times New Roman;Times;serif"/>
                <w:sz w:val="15"/>
              </w:rPr>
              <w:t>(a)</w:t>
            </w:r>
          </w:p>
        </w:tc>
        <w:tc>
          <w:tcPr>
            <w:tcW w:w="289" w:type="dxa"/>
            <w:tcBorders/>
            <w:vAlign w:val="center"/>
          </w:tcPr>
          <w:p>
            <w:pPr>
              <w:pStyle w:val="TableContents"/>
              <w:bidi w:val="0"/>
              <w:spacing w:before="0" w:after="1"/>
              <w:ind w:left="0" w:right="0" w:hanging="0"/>
              <w:jc w:val="left"/>
              <w:rPr/>
            </w:pPr>
            <w:r>
              <w:rPr/>
              <w:t>​</w:t>
            </w:r>
          </w:p>
        </w:tc>
        <w:tc>
          <w:tcPr>
            <w:tcW w:w="10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1,818</w:t>
            </w:r>
          </w:p>
        </w:tc>
        <w:tc>
          <w:tcPr>
            <w:tcW w:w="361"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w:t>
            </w:r>
          </w:p>
        </w:tc>
        <w:tc>
          <w:tcPr>
            <w:tcW w:w="361"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10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2,615</w:t>
            </w:r>
          </w:p>
        </w:tc>
        <w:tc>
          <w:tcPr>
            <w:tcW w:w="361"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w:t>
            </w:r>
          </w:p>
        </w:tc>
        <w:tc>
          <w:tcPr>
            <w:tcW w:w="412" w:type="dxa"/>
            <w:tcBorders/>
            <w:vAlign w:val="center"/>
          </w:tcPr>
          <w:p>
            <w:pPr>
              <w:pStyle w:val="TableContents"/>
              <w:bidi w:val="0"/>
              <w:spacing w:before="0" w:after="1"/>
              <w:ind w:left="0" w:right="0" w:hanging="0"/>
              <w:jc w:val="left"/>
              <w:rPr/>
            </w:pPr>
            <w:r>
              <w:rPr/>
              <w:t>​</w:t>
            </w:r>
          </w:p>
        </w:tc>
      </w:tr>
      <w:tr>
        <w:trPr/>
        <w:tc>
          <w:tcPr>
            <w:tcW w:w="360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r>
              <w:rPr>
                <w:rFonts w:ascii="Times New Roman;Times;serif" w:hAnsi="Times New Roman;Times;serif"/>
                <w:sz w:val="15"/>
              </w:rPr>
              <w:t>(b)</w:t>
            </w:r>
          </w:p>
        </w:tc>
        <w:tc>
          <w:tcPr>
            <w:tcW w:w="289" w:type="dxa"/>
            <w:tcBorders/>
            <w:shd w:fill="CCEEFF" w:val="clear"/>
            <w:vAlign w:val="center"/>
          </w:tcPr>
          <w:p>
            <w:pPr>
              <w:pStyle w:val="TableContents"/>
              <w:bidi w:val="0"/>
              <w:spacing w:before="0" w:after="1"/>
              <w:ind w:left="0" w:right="0" w:hanging="0"/>
              <w:jc w:val="left"/>
              <w:rPr/>
            </w:pPr>
            <w:r>
              <w:rPr/>
              <w:t>​</w:t>
            </w:r>
          </w:p>
        </w:tc>
        <w:tc>
          <w:tcPr>
            <w:tcW w:w="10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2,354</w:t>
            </w:r>
          </w:p>
        </w:tc>
        <w:tc>
          <w:tcPr>
            <w:tcW w:w="361"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7,061</w:t>
            </w:r>
          </w:p>
        </w:tc>
        <w:tc>
          <w:tcPr>
            <w:tcW w:w="361"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10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14,887</w:t>
            </w:r>
          </w:p>
        </w:tc>
        <w:tc>
          <w:tcPr>
            <w:tcW w:w="361"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40,415</w:t>
            </w:r>
          </w:p>
        </w:tc>
        <w:tc>
          <w:tcPr>
            <w:tcW w:w="412" w:type="dxa"/>
            <w:tcBorders/>
            <w:shd w:fill="CCEEFF" w:val="clear"/>
            <w:vAlign w:val="center"/>
          </w:tcPr>
          <w:p>
            <w:pPr>
              <w:pStyle w:val="TableContents"/>
              <w:bidi w:val="0"/>
              <w:spacing w:before="0" w:after="1"/>
              <w:ind w:left="0" w:right="0" w:hanging="0"/>
              <w:jc w:val="left"/>
              <w:rPr/>
            </w:pPr>
            <w:r>
              <w:rPr/>
              <w:t>​</w:t>
            </w:r>
          </w:p>
        </w:tc>
      </w:tr>
      <w:tr>
        <w:trPr/>
        <w:tc>
          <w:tcPr>
            <w:tcW w:w="3600" w:type="dxa"/>
            <w:tcBorders/>
            <w:vAlign w:val="center"/>
          </w:tcPr>
          <w:p>
            <w:pPr>
              <w:pStyle w:val="TableContents"/>
              <w:bidi w:val="0"/>
              <w:spacing w:lineRule="auto" w:line="240" w:before="0" w:after="1"/>
              <w:ind w:left="0" w:right="0" w:hanging="0"/>
              <w:jc w:val="left"/>
              <w:rPr/>
            </w:pPr>
            <w:r>
              <w:rPr>
                <w:rFonts w:ascii="Times New Roman;Times;serif" w:hAnsi="Times New Roman;Times;serif"/>
                <w:sz w:val="20"/>
              </w:rPr>
              <w:t>Unrealized losses on foreign currency transactions</w:t>
            </w:r>
            <w:r>
              <w:rPr>
                <w:rFonts w:cs="Times New Roman;Times;serif"/>
                <w:szCs w:val="20"/>
              </w:rPr>
              <w:t>﻿</w:t>
            </w:r>
            <w:r>
              <w:rPr>
                <w:rFonts w:ascii="Times New Roman;Times;serif" w:hAnsi="Times New Roman;Times;serif"/>
                <w:sz w:val="15"/>
              </w:rPr>
              <w:t>(c)</w:t>
            </w:r>
          </w:p>
        </w:tc>
        <w:tc>
          <w:tcPr>
            <w:tcW w:w="289" w:type="dxa"/>
            <w:tcBorders/>
            <w:vAlign w:val="center"/>
          </w:tcPr>
          <w:p>
            <w:pPr>
              <w:pStyle w:val="TableContents"/>
              <w:bidi w:val="0"/>
              <w:spacing w:before="0" w:after="1"/>
              <w:ind w:left="0" w:right="0" w:hanging="0"/>
              <w:jc w:val="left"/>
              <w:rPr/>
            </w:pPr>
            <w:r>
              <w:rPr/>
              <w:t>​</w:t>
            </w:r>
          </w:p>
        </w:tc>
        <w:tc>
          <w:tcPr>
            <w:tcW w:w="10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w:t>
            </w:r>
          </w:p>
        </w:tc>
        <w:tc>
          <w:tcPr>
            <w:tcW w:w="361"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1,103</w:t>
            </w:r>
          </w:p>
        </w:tc>
        <w:tc>
          <w:tcPr>
            <w:tcW w:w="361"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10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w:t>
            </w:r>
          </w:p>
        </w:tc>
        <w:tc>
          <w:tcPr>
            <w:tcW w:w="361"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2,817</w:t>
            </w:r>
          </w:p>
        </w:tc>
        <w:tc>
          <w:tcPr>
            <w:tcW w:w="412" w:type="dxa"/>
            <w:tcBorders/>
            <w:vAlign w:val="center"/>
          </w:tcPr>
          <w:p>
            <w:pPr>
              <w:pStyle w:val="TableContents"/>
              <w:bidi w:val="0"/>
              <w:spacing w:before="0" w:after="1"/>
              <w:ind w:left="0" w:right="0" w:hanging="0"/>
              <w:jc w:val="left"/>
              <w:rPr/>
            </w:pPr>
            <w:r>
              <w:rPr/>
              <w:t>​</w:t>
            </w:r>
          </w:p>
        </w:tc>
      </w:tr>
      <w:tr>
        <w:trPr/>
        <w:tc>
          <w:tcPr>
            <w:tcW w:w="360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Strategic initiative costs</w:t>
            </w:r>
            <w:r>
              <w:rPr>
                <w:rFonts w:ascii="Times New Roman;Times;serif" w:hAnsi="Times New Roman;Times;serif"/>
                <w:sz w:val="15"/>
              </w:rPr>
              <w:t>(d)</w:t>
            </w:r>
          </w:p>
        </w:tc>
        <w:tc>
          <w:tcPr>
            <w:tcW w:w="289" w:type="dxa"/>
            <w:tcBorders/>
            <w:shd w:fill="CCEEFF" w:val="clear"/>
            <w:vAlign w:val="center"/>
          </w:tcPr>
          <w:p>
            <w:pPr>
              <w:pStyle w:val="TableContents"/>
              <w:bidi w:val="0"/>
              <w:spacing w:before="0" w:after="1"/>
              <w:ind w:left="0" w:right="0" w:hanging="0"/>
              <w:jc w:val="left"/>
              <w:rPr/>
            </w:pPr>
            <w:r>
              <w:rPr/>
              <w:t>​</w:t>
            </w:r>
          </w:p>
        </w:tc>
        <w:tc>
          <w:tcPr>
            <w:tcW w:w="10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1,063</w:t>
            </w:r>
          </w:p>
        </w:tc>
        <w:tc>
          <w:tcPr>
            <w:tcW w:w="361"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w:t>
            </w:r>
          </w:p>
        </w:tc>
        <w:tc>
          <w:tcPr>
            <w:tcW w:w="361"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10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3,065</w:t>
            </w:r>
          </w:p>
        </w:tc>
        <w:tc>
          <w:tcPr>
            <w:tcW w:w="361"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3,019</w:t>
            </w:r>
          </w:p>
        </w:tc>
        <w:tc>
          <w:tcPr>
            <w:tcW w:w="412" w:type="dxa"/>
            <w:tcBorders/>
            <w:shd w:fill="CCEEFF" w:val="clear"/>
            <w:vAlign w:val="center"/>
          </w:tcPr>
          <w:p>
            <w:pPr>
              <w:pStyle w:val="TableContents"/>
              <w:bidi w:val="0"/>
              <w:spacing w:before="0" w:after="1"/>
              <w:ind w:left="0" w:right="0" w:hanging="0"/>
              <w:jc w:val="left"/>
              <w:rPr/>
            </w:pPr>
            <w:r>
              <w:rPr/>
              <w:t>​</w:t>
            </w:r>
          </w:p>
        </w:tc>
      </w:tr>
      <w:tr>
        <w:trPr/>
        <w:tc>
          <w:tcPr>
            <w:tcW w:w="3600"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Acquisition and integration related costs</w:t>
            </w:r>
            <w:r>
              <w:rPr>
                <w:rFonts w:ascii="Times New Roman;Times;serif" w:hAnsi="Times New Roman;Times;serif"/>
                <w:sz w:val="15"/>
              </w:rPr>
              <w:t>(e)</w:t>
            </w:r>
          </w:p>
        </w:tc>
        <w:tc>
          <w:tcPr>
            <w:tcW w:w="289" w:type="dxa"/>
            <w:tcBorders/>
            <w:vAlign w:val="center"/>
          </w:tcPr>
          <w:p>
            <w:pPr>
              <w:pStyle w:val="TableContents"/>
              <w:bidi w:val="0"/>
              <w:spacing w:before="0" w:after="1"/>
              <w:ind w:left="0" w:right="0" w:hanging="0"/>
              <w:jc w:val="left"/>
              <w:rPr/>
            </w:pPr>
            <w:r>
              <w:rPr/>
              <w:t>​</w:t>
            </w:r>
          </w:p>
        </w:tc>
        <w:tc>
          <w:tcPr>
            <w:tcW w:w="1074"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10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61"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w:t>
            </w:r>
          </w:p>
        </w:tc>
        <w:tc>
          <w:tcPr>
            <w:tcW w:w="412" w:type="dxa"/>
            <w:tcBorders/>
            <w:vAlign w:val="center"/>
          </w:tcPr>
          <w:p>
            <w:pPr>
              <w:pStyle w:val="TableContents"/>
              <w:bidi w:val="0"/>
              <w:spacing w:before="0" w:after="1"/>
              <w:ind w:left="0" w:right="0" w:hanging="0"/>
              <w:jc w:val="left"/>
              <w:rPr/>
            </w:pPr>
            <w:r>
              <w:rPr/>
              <w:t>​</w:t>
            </w:r>
          </w:p>
        </w:tc>
      </w:tr>
      <w:tr>
        <w:trPr/>
        <w:tc>
          <w:tcPr>
            <w:tcW w:w="360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Loss on extinguishment of debt</w:t>
            </w:r>
            <w:r>
              <w:rPr>
                <w:rFonts w:ascii="Times New Roman;Times;serif" w:hAnsi="Times New Roman;Times;serif"/>
                <w:sz w:val="15"/>
              </w:rPr>
              <w:t>(f)</w:t>
            </w:r>
          </w:p>
        </w:tc>
        <w:tc>
          <w:tcPr>
            <w:tcW w:w="289" w:type="dxa"/>
            <w:tcBorders/>
            <w:shd w:fill="CCEEFF" w:val="clear"/>
            <w:vAlign w:val="center"/>
          </w:tcPr>
          <w:p>
            <w:pPr>
              <w:pStyle w:val="TableContents"/>
              <w:bidi w:val="0"/>
              <w:spacing w:before="0" w:after="1"/>
              <w:ind w:left="0" w:right="0" w:hanging="0"/>
              <w:jc w:val="left"/>
              <w:rPr/>
            </w:pPr>
            <w:r>
              <w:rPr/>
              <w:t>​</w:t>
            </w:r>
          </w:p>
        </w:tc>
        <w:tc>
          <w:tcPr>
            <w:tcW w:w="1074"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1074"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3,465</w:t>
            </w:r>
          </w:p>
        </w:tc>
        <w:tc>
          <w:tcPr>
            <w:tcW w:w="412" w:type="dxa"/>
            <w:tcBorders/>
            <w:shd w:fill="CCEEFF" w:val="clear"/>
            <w:vAlign w:val="center"/>
          </w:tcPr>
          <w:p>
            <w:pPr>
              <w:pStyle w:val="TableContents"/>
              <w:bidi w:val="0"/>
              <w:spacing w:before="0" w:after="1"/>
              <w:ind w:left="0" w:right="0" w:hanging="0"/>
              <w:jc w:val="left"/>
              <w:rPr/>
            </w:pPr>
            <w:r>
              <w:rPr/>
              <w:t>​</w:t>
            </w:r>
          </w:p>
        </w:tc>
      </w:tr>
      <w:tr>
        <w:trPr/>
        <w:tc>
          <w:tcPr>
            <w:tcW w:w="3600"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Underwriting fees related to offering of common stock</w:t>
            </w:r>
            <w:r>
              <w:rPr>
                <w:rFonts w:ascii="Times New Roman;Times;serif" w:hAnsi="Times New Roman;Times;serif"/>
                <w:sz w:val="15"/>
              </w:rPr>
              <w:t>(g)</w:t>
            </w:r>
          </w:p>
        </w:tc>
        <w:tc>
          <w:tcPr>
            <w:tcW w:w="289" w:type="dxa"/>
            <w:tcBorders/>
            <w:vAlign w:val="center"/>
          </w:tcPr>
          <w:p>
            <w:pPr>
              <w:pStyle w:val="TableContents"/>
              <w:bidi w:val="0"/>
              <w:spacing w:before="0" w:after="1"/>
              <w:ind w:left="0" w:right="0" w:hanging="0"/>
              <w:jc w:val="left"/>
              <w:rPr/>
            </w:pPr>
            <w:r>
              <w:rPr/>
              <w:t>​</w:t>
            </w:r>
          </w:p>
        </w:tc>
        <w:tc>
          <w:tcPr>
            <w:tcW w:w="1074"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1074"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11,437</w:t>
            </w:r>
          </w:p>
        </w:tc>
        <w:tc>
          <w:tcPr>
            <w:tcW w:w="412" w:type="dxa"/>
            <w:tcBorders/>
            <w:vAlign w:val="center"/>
          </w:tcPr>
          <w:p>
            <w:pPr>
              <w:pStyle w:val="TableContents"/>
              <w:bidi w:val="0"/>
              <w:spacing w:before="0" w:after="1"/>
              <w:ind w:left="0" w:right="0" w:hanging="0"/>
              <w:jc w:val="left"/>
              <w:rPr/>
            </w:pPr>
            <w:r>
              <w:rPr/>
              <w:t>​</w:t>
            </w:r>
          </w:p>
        </w:tc>
      </w:tr>
      <w:tr>
        <w:trPr/>
        <w:tc>
          <w:tcPr>
            <w:tcW w:w="360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Odessa fire</w:t>
            </w:r>
            <w:r>
              <w:rPr>
                <w:rFonts w:ascii="Times New Roman;Times;serif" w:hAnsi="Times New Roman;Times;serif"/>
                <w:sz w:val="15"/>
              </w:rPr>
              <w:t>(h)</w:t>
            </w:r>
          </w:p>
        </w:tc>
        <w:tc>
          <w:tcPr>
            <w:tcW w:w="289" w:type="dxa"/>
            <w:tcBorders/>
            <w:shd w:fill="CCEEFF" w:val="clear"/>
            <w:vAlign w:val="center"/>
          </w:tcPr>
          <w:p>
            <w:pPr>
              <w:pStyle w:val="TableContents"/>
              <w:bidi w:val="0"/>
              <w:spacing w:before="0" w:after="1"/>
              <w:ind w:left="0" w:right="0" w:hanging="0"/>
              <w:jc w:val="left"/>
              <w:rPr/>
            </w:pPr>
            <w:r>
              <w:rPr/>
              <w:t>​</w:t>
            </w:r>
          </w:p>
        </w:tc>
        <w:tc>
          <w:tcPr>
            <w:tcW w:w="10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61"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(1,523)</w:t>
            </w:r>
          </w:p>
        </w:tc>
        <w:tc>
          <w:tcPr>
            <w:tcW w:w="361"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10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(760)</w:t>
            </w:r>
          </w:p>
        </w:tc>
        <w:tc>
          <w:tcPr>
            <w:tcW w:w="361"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pPr>
            <w:r>
              <w:rPr/>
              <w:t>—</w:t>
            </w:r>
          </w:p>
        </w:tc>
        <w:tc>
          <w:tcPr>
            <w:tcW w:w="412" w:type="dxa"/>
            <w:tcBorders/>
            <w:shd w:fill="CCEEFF" w:val="clear"/>
            <w:vAlign w:val="center"/>
          </w:tcPr>
          <w:p>
            <w:pPr>
              <w:pStyle w:val="TableContents"/>
              <w:bidi w:val="0"/>
              <w:spacing w:before="0" w:after="1"/>
              <w:ind w:left="0" w:right="0" w:hanging="0"/>
              <w:jc w:val="left"/>
              <w:rPr/>
            </w:pPr>
            <w:r>
              <w:rPr/>
              <w:t>​</w:t>
            </w:r>
          </w:p>
        </w:tc>
      </w:tr>
      <w:tr>
        <w:trPr/>
        <w:tc>
          <w:tcPr>
            <w:tcW w:w="3600"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Other</w:t>
            </w:r>
            <w:r>
              <w:rPr>
                <w:rFonts w:ascii="Times New Roman;Times;serif" w:hAnsi="Times New Roman;Times;serif"/>
                <w:sz w:val="15"/>
              </w:rPr>
              <w:t>(i)</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7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61" w:type="dxa"/>
            <w:tcBorders/>
            <w:vAlign w:val="center"/>
          </w:tcPr>
          <w:p>
            <w:pPr>
              <w:pStyle w:val="TableContents"/>
              <w:bidi w:val="0"/>
              <w:spacing w:before="0" w:after="1"/>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61"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412" w:type="dxa"/>
            <w:tcBorders/>
            <w:vAlign w:val="center"/>
          </w:tcPr>
          <w:p>
            <w:pPr>
              <w:pStyle w:val="TableContents"/>
              <w:bidi w:val="0"/>
              <w:spacing w:before="0" w:after="1"/>
              <w:ind w:left="0" w:right="0" w:hanging="0"/>
              <w:jc w:val="left"/>
              <w:rPr/>
            </w:pPr>
            <w:r>
              <w:rPr/>
              <w:t>​</w:t>
            </w:r>
          </w:p>
        </w:tc>
      </w:tr>
      <w:tr>
        <w:trPr/>
        <w:tc>
          <w:tcPr>
            <w:tcW w:w="3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28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36,083</w:t>
            </w:r>
          </w:p>
        </w:tc>
        <w:tc>
          <w:tcPr>
            <w:tcW w:w="361" w:type="dxa"/>
            <w:tcBorders/>
            <w:shd w:fill="CCEEFF" w:val="clear"/>
            <w:vAlign w:val="center"/>
          </w:tcPr>
          <w:p>
            <w:pPr>
              <w:pStyle w:val="TableContents"/>
              <w:bidi w:val="0"/>
              <w:spacing w:before="0" w:after="1"/>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42,252</w:t>
            </w:r>
          </w:p>
        </w:tc>
        <w:tc>
          <w:tcPr>
            <w:tcW w:w="361" w:type="dxa"/>
            <w:tcBorders/>
            <w:shd w:fill="CCEEFF" w:val="clear"/>
            <w:vAlign w:val="center"/>
          </w:tcPr>
          <w:p>
            <w:pPr>
              <w:pStyle w:val="TableContents"/>
              <w:bidi w:val="0"/>
              <w:spacing w:before="0" w:after="1"/>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78,115</w:t>
            </w:r>
          </w:p>
        </w:tc>
        <w:tc>
          <w:tcPr>
            <w:tcW w:w="361" w:type="dxa"/>
            <w:tcBorders/>
            <w:shd w:fill="CCEEFF" w:val="clear"/>
            <w:vAlign w:val="center"/>
          </w:tcPr>
          <w:p>
            <w:pPr>
              <w:pStyle w:val="TableContents"/>
              <w:bidi w:val="0"/>
              <w:spacing w:before="0" w:after="1"/>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138,867</w:t>
            </w:r>
          </w:p>
        </w:tc>
        <w:tc>
          <w:tcPr>
            <w:tcW w:w="412" w:type="dxa"/>
            <w:tcBorders/>
            <w:shd w:fill="CCEEFF" w:val="clear"/>
            <w:vAlign w:val="center"/>
          </w:tcPr>
          <w:p>
            <w:pPr>
              <w:pStyle w:val="TableContents"/>
              <w:bidi w:val="0"/>
              <w:spacing w:before="0" w:after="1"/>
              <w:ind w:left="0" w:right="0" w:hanging="0"/>
              <w:jc w:val="left"/>
              <w:rPr/>
            </w:pPr>
            <w:r>
              <w:rPr/>
              <w:t>​</w:t>
            </w:r>
          </w:p>
        </w:tc>
      </w:tr>
      <w:tr>
        <w:trPr/>
        <w:tc>
          <w:tcPr>
            <w:tcW w:w="36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2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160,778</w:t>
            </w:r>
          </w:p>
        </w:tc>
        <w:tc>
          <w:tcPr>
            <w:tcW w:w="361"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189,398</w:t>
            </w:r>
          </w:p>
        </w:tc>
        <w:tc>
          <w:tcPr>
            <w:tcW w:w="361"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475,625</w:t>
            </w:r>
          </w:p>
        </w:tc>
        <w:tc>
          <w:tcPr>
            <w:tcW w:w="361"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587,812</w:t>
            </w:r>
          </w:p>
        </w:tc>
        <w:tc>
          <w:tcPr>
            <w:tcW w:w="412" w:type="dxa"/>
            <w:tcBorders/>
            <w:vAlign w:val="center"/>
          </w:tcPr>
          <w:p>
            <w:pPr>
              <w:pStyle w:val="TableContents"/>
              <w:bidi w:val="0"/>
              <w:spacing w:before="0" w:after="1"/>
              <w:ind w:left="0" w:right="0" w:hanging="0"/>
              <w:jc w:val="left"/>
              <w:rPr/>
            </w:pPr>
            <w:r>
              <w:rPr/>
              <w:t>​</w:t>
            </w:r>
          </w:p>
        </w:tc>
      </w:tr>
      <w:tr>
        <w:trPr/>
        <w:tc>
          <w:tcPr>
            <w:tcW w:w="36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margin</w:t>
            </w:r>
          </w:p>
        </w:tc>
        <w:tc>
          <w:tcPr>
            <w:tcW w:w="289" w:type="dxa"/>
            <w:tcBorders/>
            <w:shd w:fill="CCEEFF" w:val="clear"/>
            <w:vAlign w:val="center"/>
          </w:tcPr>
          <w:p>
            <w:pPr>
              <w:pStyle w:val="TableContents"/>
              <w:bidi w:val="0"/>
              <w:spacing w:before="0" w:after="1"/>
              <w:ind w:left="0" w:right="0" w:hanging="0"/>
              <w:jc w:val="left"/>
              <w:rPr/>
            </w:pPr>
            <w:r>
              <w:rPr/>
              <w:t> </w:t>
            </w:r>
          </w:p>
        </w:tc>
        <w:tc>
          <w:tcPr>
            <w:tcW w:w="10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53" w:type="dxa"/>
            <w:tcBorders/>
            <w:shd w:fill="CCEEFF" w:val="clear"/>
            <w:vAlign w:val="center"/>
          </w:tcPr>
          <w:p>
            <w:pPr>
              <w:pStyle w:val="TableContents"/>
              <w:bidi w:val="0"/>
              <w:spacing w:before="0" w:after="1"/>
              <w:ind w:left="0" w:right="0" w:hanging="0"/>
              <w:jc w:val="left"/>
              <w:rPr/>
            </w:pPr>
            <w:r>
              <w:rPr/>
              <w:t> </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89" w:type="dxa"/>
            <w:tcBorders/>
            <w:shd w:fill="CCEEFF" w:val="clear"/>
            <w:vAlign w:val="center"/>
          </w:tcPr>
          <w:p>
            <w:pPr>
              <w:pStyle w:val="TableContents"/>
              <w:bidi w:val="0"/>
              <w:spacing w:before="0" w:after="1"/>
              <w:ind w:left="0" w:right="0" w:hanging="0"/>
              <w:jc w:val="left"/>
              <w:rPr/>
            </w:pPr>
            <w:r>
              <w:rPr/>
              <w:t> </w:t>
            </w:r>
          </w:p>
        </w:tc>
        <w:tc>
          <w:tcPr>
            <w:tcW w:w="10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53" w:type="dxa"/>
            <w:tcBorders/>
            <w:shd w:fill="CCEEFF" w:val="clear"/>
            <w:vAlign w:val="center"/>
          </w:tcPr>
          <w:p>
            <w:pPr>
              <w:pStyle w:val="TableContents"/>
              <w:bidi w:val="0"/>
              <w:spacing w:before="0" w:after="1"/>
              <w:ind w:left="0" w:right="0" w:hanging="0"/>
              <w:jc w:val="left"/>
              <w:rPr/>
            </w:pPr>
            <w:r>
              <w:rPr/>
              <w:t> </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4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6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 margin</w:t>
            </w:r>
          </w:p>
        </w:tc>
        <w:tc>
          <w:tcPr>
            <w:tcW w:w="289"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7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53"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3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89"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7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53"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3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w:t>
            </w:r>
          </w:p>
        </w:tc>
        <w:tc>
          <w:tcPr>
            <w:tcW w:w="4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Represents costs related to a cost reduction plan that includes severance and other costs for our executive management changes and additional costs related to our cost reduction plan announced in 2023, which includes further actions to reduce our manufacturing overhead by reducing headcount in addition to facility shutdowns.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 Represents non-cash stock-based compensation expense.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 Represents unrealized foreign currency transaction losses associated with our international subsidiaries.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 Represents fees paid to external consultants for our strategic initiatives.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 Represents acquisition and integration costs primarily related to the acquisition of Radiant, the equity investment in Premier Pools &amp; Spas, as well as other costs related to potential transactions.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 Represents the loss on extinguishment of debt in connection with our debt refinancing on February 23, 2022.</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 Represents underwriting fees related to our offering of common stock that was completed in January 2022.</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(h) Represents costs incurred and insurance recoveries in excess of costs incurred for the period related to a production facility fire in Odessa, Texas.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Other costs consist of other discrete items as determined by management, primarily including (i) fees paid to external advisors for various matters, (ii) non-cash adjustments to record the step-up in the fair value of inventory related to the acquisition of Radiant, which was amortized through cost of sales in the condensed consolidated statements of operations, and (iii) other items.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primary sources of liquidity are net cash provided by operating activities and availability under our Revolving Credit Facility (as defined below). Historically, we have funded working capital requirements, capital expenditures, payments related to acquisitions, and debt service requirements with internally generated cash on hand, borrowings under our credit facilities, and the issuance of shares of our common stock. Our primary cash needs are to fund working capital, capital expenditures, debt service requirements, any acquisitions, or investments we may undertake, and any share repurchases we may make. As of September 30, 2023, we had $78.1 million of cash, $301.6 million of outstanding borrowings and an additional $75.0 million of borrowing availability under our Revolving Credit Facility.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primary working capital requirements are for the purchase of inventory, payroll, rent, facility costs and other selling, general, and administrative costs. Our working capital requirements fluctuate during the fiscal year, driven primarily by seasonality and the timing of raw material purchases. Our capital expenditures are primarily related to growth, including production capacity, storage, and delivery equipment. We are in the midst of a multi-year capital plan to invest in our facilities, technology, and systems.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that our existing cash, cash generated from operations and availability under our Revolving Credit Facility will be adequate to fund our operating expenses and capital expenditure requirements over the next 12 months, as well as our longer-term liquidity needs. We have based this estimate on assumptions that may prove to be wrong, and we could utilize our available capital resources sooner than we expect. We may issue debt or equity securities, which may provide an additional source of liquidity. However, there can be no assurance equity or debt financing will be available to us when we need it or, if available, the terms will be satisfactory to us and not dilutive to our then-current stockholders.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Indebtedness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February 23, 2022, Latham Pool Products, Inc. (“Latham Pool Products”), our wholly owned subsidiary, entered into an agreement (the “Credit Agreement”) with Barclays Bank PLC, which provides a senior secured multicurrency revolving line of credit in an initial principal amount of $75.0 million (the “Revolving Credit Facility”) and a U.S. Dollar senior secured term loan (the “Term Loan”) in an initial principal amount of $325.0 million (the “Refinancing”). On such date, proceeds under the Credit Agreement were used to repay and replace $294.0 million under, and terminate, the previous credit agreement and for general corporate purposes.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Revolving Credit Facility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Revolving Credit Facility may be utilized to finance ongoing general corporate and working capital needs and permits Latham Pools Products to borrow loans in U.S. Dollars, Canadian Dollars, Euros and Australian Dollars. The Revolving Credit Facility matures on February 23, 2027. Loans outstanding under the Revolving Credit Facility denominated in U.S. Dollars and Canadian Dollars bear interest, at the borrower’s option, at a rate per annum based on Term SOFR or CDO (each, as defined in the Credit Agreement), as applicable, plus a margin of 3.50%, or at a rate per annum based on the Base Rate or the Canadian Prime Rate (each, as defined in the Credit Agreement), plus a margin of 2.50%. Loans outstanding under the Revolving Credit Facility denominated in Euros or Australian Dollars bear interest based on EURIBOR or the AUD Rate (each, as defined in the Credit Agreement), respectively, plus a margin of 3.50%. A commitment fee accrues on any unused portion of the commitments under the Revolving Credit Facility. The commitment fee is due and payable quarterly in arrears, and initially was 0.375% per annum and thereafter accrues at a rate per annum ranging from 0.25% to 0.50%, depending on the First Lien Net Leverage Ratio (as defined in the Credit Agreement, the “First Lien Net Leverage Ratio”). The Revolving Credit Facility is not subject to amortization.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are also required to meet certain financial covenants, including maintaining specific liquidity measurements. There are also negative covenants, including certain restrictions on our ability and the ability of our subsidiaries to incur additional indebtedness, create liens, make investments, consolidate, or merge with other entities, enter into transactions with affiliates, make prepayments with respect to certain indebtedness, make dividend payments, loans, or advances to the Company, declare dividends and make restricted payments and other distributions.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September 30, 2023, we had no outstanding borrowings under the Revolving Credit Facility and $75.0 million was available for future borrowing.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Term Loan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Term Loan matures on February 23, 2029. Loans outstanding under the Term Loan bear interest, at the borrower’s option, at a rate per annum based on Term SOFR (as defined in the Credit Agreement), plus a margin ranging from 3.75% to 4.00%, depending on the First Lien Net Leverage Ratio, or based on the Base Rate (as defined in the Credit Agreement), plus a margin ranging from 2.75% to 3.00%, depending on the First Lien Net Leverage Ratio. Loans under the Term Loan are subject to scheduled quarterly amortization payments equal to 0.25% of the initial principal amount of the Term Loan.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obligations under the Credit Agreement are guaranteed by certain of our wholly owned subsidiaries as defined in the security agreement. The obligations under the Credit Agreement are secured by substantially all of the guarantors’ tangible and intangible assets, including, but not limited to, their accounts receivables, equipment, intellectual property, inventory, cash and cash equivalents, deposit accounts and security accounts. The Credit Agreement also restricts payments and other distributions unless certain conditions are met, which could restrict our ability to pay dividends.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September 30, 2023, we had $301.6 million of outstanding borrowings under the Term Loan.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September 30, 2023, we were in compliance with all covenants under the Revolving Credit Facility and the Term Loan.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Share Repurchase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10, 2022, we approved a stock repurchase program (the “Repurchase Program”), which authorized us to repurchase up to $100 million of our shares of common stock over the next three years. We may effect these repurchases in open market transactions, privately negotiated purchases or other acquisitions. We are not obligated to repurchase any of our outstanding shares under the Repurchase Program and the timing and amount of any repurchases will depend on market conditions, our stock price, alternative uses of capital, the terms of our debt instruments and other factors. We did not repurchase any shares of our common stock during the fiscal quarter ended September 30, 2023. As of September 30, 2023, $77.0 million remained available for share repurchases pursuant to our Repurchase Program.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summarizes our sources and uses of cash for each of the periods presented:</w:t>
      </w:r>
    </w:p>
    <w:p>
      <w:pPr>
        <w:pStyle w:val="TextBody"/>
        <w:bidi w:val="0"/>
        <w:spacing w:before="0" w:after="240"/>
        <w:ind w:left="0" w:right="0" w:firstLine="360"/>
        <w:jc w:val="left"/>
        <w:rPr/>
      </w:pPr>
      <w:r>
        <w:rPr/>
        <w:t>​</w:t>
      </w:r>
    </w:p>
    <w:tbl>
      <w:tblPr>
        <w:tblW w:w="7531" w:type="dxa"/>
        <w:jc w:val="left"/>
        <w:tblInd w:w="0" w:type="dxa"/>
        <w:tblLayout w:type="fixed"/>
        <w:tblCellMar>
          <w:top w:w="0" w:type="dxa"/>
          <w:left w:w="0" w:type="dxa"/>
          <w:bottom w:w="0" w:type="dxa"/>
          <w:right w:w="0" w:type="dxa"/>
        </w:tblCellMar>
      </w:tblPr>
      <w:tblGrid>
        <w:gridCol w:w="4216"/>
        <w:gridCol w:w="323"/>
        <w:gridCol w:w="1222"/>
        <w:gridCol w:w="326"/>
        <w:gridCol w:w="270"/>
        <w:gridCol w:w="1020"/>
        <w:gridCol w:w="154"/>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677160" cy="175260"/>
                      <wp:effectExtent l="0" t="0" r="0" b="0"/>
                      <wp:wrapNone/>
                      <wp:docPr id="338" name="Frame338"/>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05105" cy="175260"/>
                      <wp:effectExtent l="0" t="0" r="0" b="0"/>
                      <wp:wrapNone/>
                      <wp:docPr id="339" name="Frame339"/>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775970" cy="175260"/>
                      <wp:effectExtent l="0" t="0" r="0" b="0"/>
                      <wp:wrapNone/>
                      <wp:docPr id="340" name="Frame340"/>
                      <a:graphic xmlns:a="http://schemas.openxmlformats.org/drawingml/2006/main">
                        <a:graphicData uri="http://schemas.microsoft.com/office/word/2010/wordprocessingShape">
                          <wps:wsp>
                            <wps:cNvSpPr txBox="1"/>
                            <wps:spPr>
                              <a:xfrm>
                                <a:off x="0" y="0"/>
                                <a:ext cx="775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7010" cy="175260"/>
                      <wp:effectExtent l="0" t="0" r="0" b="0"/>
                      <wp:wrapNone/>
                      <wp:docPr id="341" name="Frame3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71450" cy="175260"/>
                      <wp:effectExtent l="0" t="0" r="0" b="0"/>
                      <wp:wrapNone/>
                      <wp:docPr id="342" name="Frame342"/>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7700" cy="175260"/>
                      <wp:effectExtent l="0" t="0" r="0" b="0"/>
                      <wp:wrapNone/>
                      <wp:docPr id="343" name="Frame343"/>
                      <a:graphic xmlns:a="http://schemas.openxmlformats.org/drawingml/2006/main">
                        <a:graphicData uri="http://schemas.microsoft.com/office/word/2010/wordprocessingShape">
                          <wps:wsp>
                            <wps:cNvSpPr txBox="1"/>
                            <wps:spPr>
                              <a:xfrm>
                                <a:off x="0" y="0"/>
                                <a:ext cx="647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97790" cy="175260"/>
                      <wp:effectExtent l="0" t="0" r="0" b="0"/>
                      <wp:wrapNone/>
                      <wp:docPr id="344" name="Frame34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pPr>
            <w:r>
              <w:rPr/>
              <w:t>​</w:t>
            </w:r>
          </w:p>
        </w:tc>
        <w:tc>
          <w:tcPr>
            <w:tcW w:w="316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Fiscal Quarters Ended</w:t>
            </w:r>
          </w:p>
        </w:tc>
        <w:tc>
          <w:tcPr>
            <w:tcW w:w="154" w:type="dxa"/>
            <w:tcBorders/>
            <w:vAlign w:val="center"/>
          </w:tcPr>
          <w:p>
            <w:pPr>
              <w:pStyle w:val="TableContents"/>
              <w:bidi w:val="0"/>
              <w:spacing w:before="0" w:after="0"/>
              <w:ind w:left="0" w:right="0" w:hanging="0"/>
              <w:jc w:val="center"/>
              <w:rPr/>
            </w:pPr>
            <w:r>
              <w:rPr/>
              <w:t>​</w:t>
            </w:r>
          </w:p>
        </w:tc>
      </w:tr>
      <w:tr>
        <w:trPr/>
        <w:tc>
          <w:tcPr>
            <w:tcW w:w="4216" w:type="dxa"/>
            <w:tcBorders/>
            <w:vAlign w:val="center"/>
          </w:tcPr>
          <w:p>
            <w:pPr>
              <w:pStyle w:val="TableContents"/>
              <w:bidi w:val="0"/>
              <w:spacing w:before="0" w:after="0"/>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left"/>
              <w:rPr/>
            </w:pPr>
            <w:r>
              <w:rPr/>
              <w:t>    </w:t>
            </w:r>
          </w:p>
        </w:tc>
        <w:tc>
          <w:tcPr>
            <w:tcW w:w="12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1, 2022</w:t>
            </w:r>
          </w:p>
        </w:tc>
        <w:tc>
          <w:tcPr>
            <w:tcW w:w="154" w:type="dxa"/>
            <w:tcBorders/>
            <w:vAlign w:val="center"/>
          </w:tcPr>
          <w:p>
            <w:pPr>
              <w:pStyle w:val="TableContents"/>
              <w:bidi w:val="0"/>
              <w:spacing w:before="0" w:after="0"/>
              <w:ind w:left="0" w:right="0" w:hanging="0"/>
              <w:jc w:val="center"/>
              <w:rPr/>
            </w:pPr>
            <w:r>
              <w:rPr/>
              <w:t>​</w:t>
            </w:r>
          </w:p>
        </w:tc>
      </w:tr>
      <w:tr>
        <w:trPr/>
        <w:tc>
          <w:tcPr>
            <w:tcW w:w="7531"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216" w:type="dxa"/>
            <w:tcBorders/>
            <w:vAlign w:val="center"/>
          </w:tcPr>
          <w:p>
            <w:pPr>
              <w:pStyle w:val="TableContents"/>
              <w:bidi w:val="0"/>
              <w:spacing w:before="0" w:after="0"/>
              <w:ind w:left="0" w:right="0" w:hanging="0"/>
              <w:jc w:val="left"/>
              <w:rPr/>
            </w:pPr>
            <w:r>
              <w:rPr/>
              <w:t>​</w:t>
            </w:r>
          </w:p>
        </w:tc>
        <w:tc>
          <w:tcPr>
            <w:tcW w:w="316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4" w:type="dxa"/>
            <w:tcBorders/>
            <w:vAlign w:val="center"/>
          </w:tcPr>
          <w:p>
            <w:pPr>
              <w:pStyle w:val="TableContents"/>
              <w:bidi w:val="0"/>
              <w:spacing w:before="0" w:after="0"/>
              <w:ind w:left="0" w:right="0" w:hanging="0"/>
              <w:jc w:val="center"/>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88,123</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3" w:type="dxa"/>
            <w:tcBorders/>
            <w:vAlign w:val="center"/>
          </w:tcPr>
          <w:p>
            <w:pPr>
              <w:pStyle w:val="TableContents"/>
              <w:bidi w:val="0"/>
              <w:spacing w:before="0" w:after="0"/>
              <w:ind w:left="0" w:right="0" w:hanging="0"/>
              <w:jc w:val="left"/>
              <w:rPr/>
            </w:pPr>
            <w:r>
              <w:rPr/>
              <w:t> </w:t>
            </w:r>
          </w:p>
        </w:tc>
        <w:tc>
          <w:tcPr>
            <w:tcW w:w="12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(28,273)</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(29,362)</w:t>
            </w:r>
          </w:p>
        </w:tc>
        <w:tc>
          <w:tcPr>
            <w:tcW w:w="154"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financing activities</w:t>
            </w:r>
          </w:p>
        </w:tc>
        <w:tc>
          <w:tcPr>
            <w:tcW w:w="323" w:type="dxa"/>
            <w:tcBorders/>
            <w:shd w:fill="CCEEFF" w:val="clear"/>
            <w:vAlign w:val="center"/>
          </w:tcPr>
          <w:p>
            <w:pPr>
              <w:pStyle w:val="TableContents"/>
              <w:bidi w:val="0"/>
              <w:spacing w:before="0" w:after="0"/>
              <w:ind w:left="0" w:right="0" w:hanging="0"/>
              <w:jc w:val="left"/>
              <w:rPr/>
            </w:pPr>
            <w:r>
              <w:rPr/>
              <w:t> </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(12,874)</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12,626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w:t>
            </w:r>
          </w:p>
        </w:tc>
        <w:tc>
          <w:tcPr>
            <w:tcW w:w="3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w:t>
            </w:r>
          </w:p>
        </w:tc>
        <w:tc>
          <w:tcPr>
            <w:tcW w:w="32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(1,832)</w:t>
            </w:r>
          </w:p>
        </w:tc>
        <w:tc>
          <w:tcPr>
            <w:tcW w:w="154"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w:t>
            </w:r>
          </w:p>
        </w:tc>
        <w:tc>
          <w:tcPr>
            <w:tcW w:w="3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45,487</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(13,332)</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Operating Activities</w:t>
      </w:r>
    </w:p>
    <w:p>
      <w:pPr>
        <w:pStyle w:val="TextBody"/>
        <w:bidi w:val="0"/>
        <w:spacing w:before="0" w:after="240"/>
        <w:ind w:left="0" w:right="0" w:firstLine="360"/>
        <w:jc w:val="left"/>
        <w:rPr>
          <w:rFonts w:ascii="Times New Roman;Times;serif" w:hAnsi="Times New Roman;Times;serif"/>
          <w:sz w:val="20"/>
        </w:rPr>
      </w:pPr>
      <w:bookmarkStart w:id="1361" w:name="_Hlk103093305"/>
      <w:bookmarkEnd w:id="1361"/>
      <w:r>
        <w:rPr>
          <w:rFonts w:ascii="Times New Roman;Times;serif" w:hAnsi="Times New Roman;Times;serif"/>
          <w:sz w:val="20"/>
        </w:rPr>
        <w:t>During the three fiscal quarters ended September 30, 2023, operating activities provided $88.1 million of cash. Net loss, after adjustments for non-cash items,</w:t>
      </w:r>
      <w:r>
        <w:rPr>
          <w:rFonts w:ascii="Times New Roman;Times;serif" w:hAnsi="Times New Roman;Times;serif"/>
          <w:color w:val="FF0000"/>
          <w:sz w:val="20"/>
        </w:rPr>
        <w:t xml:space="preserve"> </w:t>
      </w:r>
      <w:r>
        <w:rPr>
          <w:rFonts w:ascii="Times New Roman;Times;serif" w:hAnsi="Times New Roman;Times;serif"/>
          <w:sz w:val="20"/>
        </w:rPr>
        <w:t>provided cash of $56.0 million. Cash provided by operating activities was further driven by changes in our operating assets and liabilities, which provided $32.1 million. Net cash provided by changes in our operating assets and liabilities for the three fiscal quarters ended September 30, 2023 consisted primarily of a $61.7 million decrease in inventories, a $3.0 million increase in other long-term liabilities and a $2.1 million increase in accounts payable partially offset by a $28.7 million increase in trade receivables, a $4.3 million increase in other assets, a $1.5 million increase in income tax receivable, a $0.3 million increase in prepaid expenses and other current assets and a $0.2 million decrease in accrued expenses and other current liabilities. The change in trade receivables was primarily driven by the timing of net sales, and the decrease in inventories was primarily driven by efforts to meet demand outlook while maintaining lead times and service levels. The changes in accrued expenses and other current liabilities and accounts payable were primarily driven by volume of purchases and timing of payments.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fiscal quarters ended October 1, 2022, operating activities provided $5.2 million of cash. Net income, after adjustments for non-cash items, provided cash of $105.4 million. Cash provided by operating activities was further driven by changes in our operating assets and liabilities, which used $100.1 million. Net cash used in changes in our operating assets and liabilities for the three fiscal quarters ended October 1, 2022 consisted primarily of a $44.9 million increase in trade receivables, a $59.1 million increase in inventories, a $2.1 million increase in income tax receivable, a $0.4 million increase in other assets and a $0.1 million decrease in accrued expenses and other current liabilities, partially offset by a $2.5 million decrease in prepaid expenses and other current assets, a $3.7 million increase in accounts payable, and a $0.3 million increase in other long-term liabilities. The change in trade receivables was primarily due to the timing of, and increase in, net sales, and the increase in inventories was primarily due to a strategic decision to carry more inventory, as well as higher costs. The changes in accrued expenses and other current liabilities and accounts payable were primarily due to volume of purchases and timing of payments.</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Investing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fiscal quarters ended September 30, 2023, investing activities used $28.3 million of cash, consisting of purchases of property and equipment for $28.3 million. The purchase of property and equipment was primarily to expand capacity for production, especially for fiberglass pools.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fiscal quarters ended October 1, 2022, investing activities used $29.4 million of cash, primarily consisting of purchases of property and equipment for $29.0 million and the settlement of the net working capital adjustment related to the acquisition of Radiant for $0.4 million. The purchase of property and equipment was primarily to expand capacity for inventory production in order to meet increasing customer demand.</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Financing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fiscal quarters ended September 30, 2023, financing activities used $12.9 million of cash, primarily consisting of repayments on revolving credit facilities of $48.0 million, repayments on long-term debt borrowings of $12.4 million, and repayments of finance lease obligations of $0.4 million, partially offset by borrowings on revolving credit facilities of $48.0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fiscal quarters ended October 1, 2022, financing activities provided $12.6 million of cash, primarily consisting of proceeds from long-term debt borrowings in connection with the Refinancing of $320.1 million, proceeds from the sale of common stock of $257.7 million and borrowings on revolving credit facilities of $25.0 million, partially offset by repayments on long-term debt borrowings of $285.6 million, the repurchase and retirement of common stock of $272.7 million, repayments on revolving credit facility borrowings of $25.0 million, and deferred financing fees paid of $6.9 million.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Obligations</w:t>
      </w:r>
    </w:p>
    <w:p>
      <w:pPr>
        <w:pStyle w:val="TextBody"/>
        <w:pBd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have been no material changes, outside of the ordinary course of business, to our contractual obligations during the three fiscal quarters ended September 30, 2023 from those described under the heading “Management’s Discussion and Analysis of Financial Condition and Results of Operations—Contractual Obligations” in our Annual Report.</w:t>
      </w:r>
    </w:p>
    <w:p>
      <w:pPr>
        <w:pStyle w:val="TextBody"/>
        <w:shd w:fill="FFFFFF" w:val="clear"/>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condensed consolidated financial statements are prepared in accordance with generally accepted accounting principles in the United States. Throughout the preparation of these financial statements, we have made estimates and assumptions that impact the reported amounts of assets, liabilities, and the disclosure of contingent liabilities at the date of the financial statements and revenues and expenses during the reporting period. Our critical accounting policies are described below and under the heading “Management’s Discussion and Analysis of Financial Condition and Results of Operations—Critical Accounting Policies and Estimates” in our Annual Report. These estimates are based on historical results, trends, and other assumptions we believe to be reasonable. We evaluate these estimates on an ongoing basis. Actual results may differ from estimates. For additional information about our critical accounting policies and estimates, see the disclosure included in our Annual Report as well as Note 2 - Summary of Significant Accounting Policies in the notes to the condensed consolidated financial statements included in Part I, Item 1, of this Quarterly Report on Form 10-Q.</w:t>
      </w:r>
    </w:p>
    <w:p>
      <w:pPr>
        <w:pStyle w:val="TextBody"/>
        <w:shd w:fill="FFFFFF" w:val="clear"/>
        <w:bidi w:val="0"/>
        <w:spacing w:before="0" w:after="240"/>
        <w:ind w:left="403" w:right="0" w:hanging="0"/>
        <w:jc w:val="left"/>
        <w:rPr>
          <w:rFonts w:ascii="Times New Roman;Times;serif" w:hAnsi="Times New Roman;Times;serif"/>
          <w:b/>
          <w:i/>
          <w:sz w:val="20"/>
        </w:rPr>
      </w:pPr>
      <w:r>
        <w:rPr>
          <w:rFonts w:ascii="Times New Roman;Times;serif" w:hAnsi="Times New Roman;Times;serif"/>
          <w:b/>
          <w:i/>
          <w:sz w:val="20"/>
        </w:rPr>
        <w:t>Impairment of Goodwill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evaluate goodwill for impairment at least annually, or more frequently when events or changes in circumstances indicate that the carrying value may not be recoverable. We have selected the first day of the fourth fiscal quarter to perform our annual goodwill impairment testing.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may assess our goodwill for impairment initially using a qualitative approach, or step zero, to determine whether conditions exist to indicate that it is more likely than not that the fair value of the reporting unit is less than its carrying value. The qualitative assessment requires significant judgments by management about economic conditions including the entity’s operating environment, its industry and other market considerations, entity-specific events related to financial performance or loss of key personnel, and other events that could impact the reporting unit. If management concludes, based on assessment of relevant events, facts, and circumstances, that it is more likely than not that the reporting unit’s fair value is greater than its carrying value, no further impairment testing is required.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our assessment of qualitative factors indicates that it is more likely than not that the fair value of the reporting unit is less than its carrying value, then a quantitative assessment is performed. We may also elect to initially perform a quantitative analysis instead of starting with step zero. The quantitative analysis requires comparing the carrying value of the reporting unit, including goodwill, to its fair value. If the fair value of the reporting unit exceeds its carrying amount, goodwill is not considered to be impaired and no further testing is required. If the carrying amount of the reporting unit exceeds its fair value, there is an impairment of goodwill and an impairment loss is recorded. We calculate the impairment loss by comparing the fair value of the reporting unit less the carrying value, including goodwill. The goodwill impairment is limited to the carrying value of the goodwill.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qualitative factors we assessed as part of our annual impairment testing included economic conditions, industry and market considerations, cost factors, overall financial performance, and other entity specific events. In addition, we considered our market capitalization based on quoted market prices of our securities on the Nasdaq Global Select Market, adjusted for the effect of a control premium as contemplated by ASC 350.</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Based on the result of the qualitative assessment performed for our one reporting unit, we determined that goodwill was not impaired at October 2, 2022. As a result of a decline in our stock price, we plan to perform a quantitative assessment for our 2023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annual test as of October 1, 2023, which may result in a non-cash impairment charge during the fiscal quarter ended December 31,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and Adopted Accounting Pronouncements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description of recently issued accounting pronouncements that may potentially impact our financial position, results of operations or cash flows is disclosed in Note 2 to our condensed consolidated financial statements appearing elsewhere in this Quarterly Report on Form 10-Q.</w:t>
      </w:r>
    </w:p>
    <w:p>
      <w:pPr>
        <w:pStyle w:val="TextBody"/>
        <w:bidi w:val="0"/>
        <w:spacing w:before="0" w:after="240"/>
        <w:ind w:left="0" w:right="0" w:hanging="0"/>
        <w:jc w:val="left"/>
        <w:rPr>
          <w:rFonts w:ascii="Times New Roman;Times;serif" w:hAnsi="Times New Roman;Times;serif"/>
          <w:b/>
          <w:sz w:val="20"/>
        </w:rPr>
      </w:pPr>
      <w:bookmarkStart w:id="1362" w:name="Item3QuantitativeandQualitativeDisclosur"/>
      <w:bookmarkStart w:id="1363" w:name="_7bf24db7_9c33_4a1f_9306_7a8a69275fd6"/>
      <w:bookmarkStart w:id="1364" w:name="_Item_3._Quantitative"/>
      <w:bookmarkEnd w:id="1362"/>
      <w:bookmarkEnd w:id="1363"/>
      <w:bookmarkEnd w:id="1364"/>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Market risk is the potential loss that may result from market changes associated with our business or with an existing or forecasted financial transaction. The value of a financial instrument may change as a result of changes in interest rates, exchange rates, commodity prices, equity prices and other market changes. We are exposed to changes in interest rates and foreign currency exchange rates because we finance certain operations through variable rate debt instruments and denominate some of our transactions in foreign currencies. Changes in these rates may have an impact on future cash flow and earnings. We manage these risks through normal operating and financing activities.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fiscal quarters ended September 30, 2023, there have been no material changes, other than the interest rate swap discussed below, to the information included under the heading “Management’s Discussion and Analysis of Financial Condition and Results of Operations— Quantitative and Qualitative Disclosures about Market Risk” in our Annual Report.</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entered into an additional interest rate swap that was executed on March 10, 2023. The swap has an effective date of May 18, 2023 and a termination date of May 18, 2026. Under the terms of the swap, we fixed our SOFR borrowing rate on a notional amount of $161.0 million. The interest rate swap is not designated as a hedging instrument for accounting purposes. </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had executed an interest rate swap on April 30, 2020. The swap had an effective date of May 18, 2020 and a termination date of May 18, 2023. In February 2022, we amended our interest rate swap to change the index rate from LIBOR to SOFR in connection with the entry into the Credit Agreement. The interest rate swap was not designated as a hedging instrument for accounting purposes. This swap was replaced by the swap discussed above.</w:t>
      </w:r>
    </w:p>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 increase or decrease of 1% in the effective interest rate, giving effect related to interest rate swaps, as of September 30, 2023, would cause an increase or decrease to annual interest expense, net of approximately $1.4 million.</w:t>
      </w:r>
    </w:p>
    <w:p>
      <w:pPr>
        <w:pStyle w:val="TextBody"/>
        <w:bidi w:val="0"/>
        <w:spacing w:before="0" w:after="240"/>
        <w:ind w:left="0" w:right="0" w:hanging="0"/>
        <w:jc w:val="left"/>
        <w:rPr>
          <w:rFonts w:ascii="Times New Roman;Times;serif" w:hAnsi="Times New Roman;Times;serif"/>
          <w:b/>
          <w:sz w:val="20"/>
        </w:rPr>
      </w:pPr>
      <w:bookmarkStart w:id="1365" w:name="Item4ControlsandProcedures_231254"/>
      <w:bookmarkStart w:id="1366" w:name="_72408111_ddf9_45cd_a24b_87e0083418dd"/>
      <w:bookmarkEnd w:id="1365"/>
      <w:bookmarkEnd w:id="1366"/>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Disclosure controls and procedures (as defined in Rules 13a-15(e) and 15d-15(e) under the Exchange Act) are controls and other procedures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required by Rules 13a-15 and 15d-15 under the Exchange Act, our Chief Executive Officer and Chief Financial Officer carried out an evaluation of the effectiveness of the design and operation of our disclosure controls and procedures as of September 30, 2023. Based upon their evaluation, our Chief Executive Officer and Chief Financial Officer concluded that our disclosure controls and procedures were effective at a reasonable assurance level as of September 30,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Limitations on Effectiveness of Controls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a control system must reflect the fact that there are resource constraints and that management is required to apply judgment in evaluating the benefits of possible controls and procedures relative to their costs. Further, because of the inherent limitations in all control systems, no evaluation of controls can provide absolute assurance that misstatements related to error or fraud will not occur or that all control issues and instances of fraud, if any, have been detected.</w:t>
      </w:r>
    </w:p>
    <w:p>
      <w:pPr>
        <w:pStyle w:val="TextBody"/>
        <w:bidi w:val="0"/>
        <w:spacing w:before="0" w:after="240"/>
        <w:ind w:left="0" w:right="0" w:hanging="0"/>
        <w:jc w:val="left"/>
        <w:rPr>
          <w:rFonts w:ascii="Times New Roman;Times;serif" w:hAnsi="Times New Roman;Times;serif"/>
          <w:b/>
          <w:sz w:val="20"/>
        </w:rPr>
      </w:pPr>
      <w:bookmarkStart w:id="1367" w:name="PARTIIOTHERINFORMATION_817159"/>
      <w:bookmarkStart w:id="1368" w:name="_148c359f_d30c_4079_aa58_03a70c908bdf"/>
      <w:bookmarkEnd w:id="1367"/>
      <w:bookmarkEnd w:id="1368"/>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1369" w:name="Item1LegalProceedings"/>
      <w:bookmarkStart w:id="1370" w:name="_Item_1._Legal"/>
      <w:bookmarkEnd w:id="1369"/>
      <w:bookmarkEnd w:id="1370"/>
      <w:r>
        <w:rPr>
          <w:rFonts w:ascii="Times New Roman;Times;serif" w:hAnsi="Times New Roman;Times;serif"/>
          <w:b/>
          <w:sz w:val="20"/>
        </w:rPr>
        <w:t>Item 1. Legal Proceedings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From time to time, we may be involved in litigation relating to claims arising out of our operations and businesses that cover a wide range of matters, including, among others, contract and employment claims, personal injury claims, intellectual property claims, product liability claims and warranty claims. Currently, there are no claims or proceedings against us that we believe will have a material adverse effect on our business, financial condition, results of operations or cash flows. Further, no material legal proceedings were terminated, settled, or otherwise resolved during the fiscal quarter ended September 30, 2023. However, the results of any current or future litigation cannot be predicted with certainty and, regardless of the outcome, we may incur significant costs and experience a diversion of management resources as a result of litigation. </w:t>
      </w:r>
    </w:p>
    <w:p>
      <w:pPr>
        <w:pStyle w:val="TextBody"/>
        <w:bidi w:val="0"/>
        <w:spacing w:before="0" w:after="240"/>
        <w:ind w:left="0" w:right="0" w:hanging="0"/>
        <w:jc w:val="left"/>
        <w:rPr>
          <w:rFonts w:ascii="Times New Roman;Times;serif" w:hAnsi="Times New Roman;Times;serif"/>
          <w:b/>
          <w:sz w:val="20"/>
        </w:rPr>
      </w:pPr>
      <w:bookmarkStart w:id="1371" w:name="Item1ARiskFactors_762234"/>
      <w:bookmarkStart w:id="1372" w:name="_a1806c95_05ff_48d0_81fd_365041a0dfab"/>
      <w:bookmarkEnd w:id="1371"/>
      <w:bookmarkEnd w:id="1372"/>
      <w:r>
        <w:rPr>
          <w:rFonts w:ascii="Times New Roman;Times;serif" w:hAnsi="Times New Roman;Times;serif"/>
          <w:b/>
          <w:sz w:val="20"/>
        </w:rPr>
        <w:t>Item 1A. Risk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disclosed under the heading “Risk Factors” in our Annual Report, the risk factors that materially affect our business, financial condition, and results of operations. There have been no material changes from the risk factors previously disclosed in our Annual Report other than the risk factor set forth below. You should carefully consider the risks, uncertainties, assumptions and other important factors set forth in the Annual Report and other subsequent reports we file or furnish with the SEC, including this Quarterly Report on Form 10-Q, any of which may cause our actual results, performance or achievements to be materially different from any future results, performance or achievements expressed or implied. For similar reasons, our past results may not be a reliable indicator of future performance and trends. You also should be aware that these risk factors and other information may not described every risk that we face. Additional risks and uncertainties not currently known to us or that we currently deem to be immaterial also may affect us. We operate in a very competitive and rapidly changing environment and new risks emerge from time to time, and we anticipate that subsequent events and developments will cause our views to change. Any of these known or emerging factors may materially adversely affect our business, financial condition, and operating results, as well as the trading price of our common stock.</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If our goodwill, other intangibles or fixed assets become impaired, we may be required to record a significant charge to earnings.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had approximately $130.9 million of goodwill and $288.7 million of acquired intangible assets on our condensed consolidated balance sheet as of September 30, 2023, which represented 15.1% and 33.4% of our total assets, respectively, as of such date. Under U.S. generally accepted accounting principles (“GAAP”), the carrying amount of our goodwill is tested at least annually for impairment on the first day of the fourth fiscal quarter. On each quarter end date, we assess whether recent events or changes in circumstances constitute a triggering event requiring us to assess whether goodwill, other intangibles or fixed assets may be impaired before the annual testing date. Occurrences that may constitute a change in circumstances include, but are not limited to, a sustained decline in our share price and market capitalization, decreases in expected future cash flows and slower growth rates in our industry. We review our fixed assets and other finite life intangibles for impairment when events or changes in circumstances indicate the carrying value may not be recoverable.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Under GAAP, if we determine that goodwill, other intangibles or fixed assets are impaired, we will be required to write down these assets to fair value. Any write-down would have a negative effect on our consolidated financial statements and may be material. Based on the results of the qualitative assessment performed for our one reporting unit, we determined that goodwill was not impaired at October 2, 2022. As a result of a decline in our stock price, we plan to perform a quantitative assessment for our 2023 annual test as of October 1, 2023, which may result in a non-cash impairment charge during the fiscal quarter ended December 31, 2023.</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1373" w:name="Item2UnregisteredSalesofEquitySecurities"/>
      <w:bookmarkStart w:id="1374" w:name="_0010bbd0_83bf_45d9_85ba_e8d39a61dbd8"/>
      <w:bookmarkStart w:id="1375" w:name="_Item_2._Unregistered"/>
      <w:bookmarkEnd w:id="1373"/>
      <w:bookmarkEnd w:id="1374"/>
      <w:bookmarkEnd w:id="1375"/>
      <w:r>
        <w:rPr>
          <w:rFonts w:ascii="Times New Roman;Times;serif" w:hAnsi="Times New Roman;Times;serif"/>
          <w:b/>
          <w:sz w:val="20"/>
        </w:rPr>
        <w:t>Item 2. Unregistered Sales of Equity Securities and Use of Proceeds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10, 2022, we approved a stock repurchase program, which authorized us to repurchase up to $100.0 million of our shares of common stock over the next three years. We may effect these repurchases in open market transactions, privately negotiated purchases or other acquisitions. We are not obligated to repurchase any of our shares of our common stock under the program and the timing and amount of any repurchases will depend on market conditions, our stock price, alternative uses of capital, the terms of our debt instruments and other factors. As of September 30, 2023, $77.0 million remained available for share repurchases pursuant to the repurchase program. We did not repurchase any shares of our common stock during the fiscal quarter ended September 30, 2023.</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1376" w:name="Item5OtherInformation"/>
      <w:bookmarkStart w:id="1377" w:name="_949ec40f_32e8_4820_a5aa_6b8660efb658"/>
      <w:bookmarkStart w:id="1378" w:name="_Item_5._Other"/>
      <w:bookmarkEnd w:id="1376"/>
      <w:bookmarkEnd w:id="1377"/>
      <w:bookmarkEnd w:id="1378"/>
      <w:r>
        <w:rPr>
          <w:rFonts w:ascii="Times New Roman;Times;serif" w:hAnsi="Times New Roman;Times;serif"/>
          <w:b/>
          <w:sz w:val="20"/>
        </w:rPr>
        <w:t>Item 5. Other Information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Rule 10b5-1 Trading Plans – Directors and Section 16 Officers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During the 13 weeks ended September 30, 2023, none of the Company's directors or Section 16 officers adopted or terminated any contract, instruction or written plan for the purchase or sale of Company securities that was intended to satisfy the affirmative defense conditions of Rule 10b5-1(c) of the Exchange Act or any "non-Rule 10b5-1 trading arrangement."</w:t>
      </w:r>
    </w:p>
    <w:p>
      <w:pPr>
        <w:pStyle w:val="TextBody"/>
        <w:bidi w:val="0"/>
        <w:spacing w:before="0" w:after="240"/>
        <w:ind w:left="0" w:right="0" w:firstLine="360"/>
        <w:jc w:val="left"/>
        <w:rPr/>
      </w:pPr>
      <w:r>
        <w:rPr/>
        <w:t>​</w:t>
      </w:r>
    </w:p>
    <w:p>
      <w:pPr>
        <w:pStyle w:val="TextBody"/>
        <w:bidi w:val="0"/>
        <w:spacing w:before="0" w:after="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pPr>
      <w:bookmarkStart w:id="1379" w:name="_bb8fb75e_ba0e_4f97_85c7_afc352b7ba8e"/>
      <w:bookmarkEnd w:id="1379"/>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80" w:name="Item6Exhibits_62690"/>
      <w:bookmarkEnd w:id="1380"/>
      <w:r>
        <w:rPr>
          <w:rFonts w:ascii="Times New Roman;Times;serif" w:hAnsi="Times New Roman;Times;serif"/>
          <w:b/>
          <w:sz w:val="20"/>
        </w:rPr>
        <w:t xml:space="preserve">Item 6. Exhibits </w:t>
      </w:r>
    </w:p>
    <w:tbl>
      <w:tblPr>
        <w:tblW w:w="10205" w:type="dxa"/>
        <w:jc w:val="left"/>
        <w:tblInd w:w="0" w:type="dxa"/>
        <w:tblLayout w:type="fixed"/>
        <w:tblCellMar>
          <w:top w:w="0" w:type="dxa"/>
          <w:left w:w="0" w:type="dxa"/>
          <w:bottom w:w="0" w:type="dxa"/>
          <w:right w:w="0" w:type="dxa"/>
        </w:tblCellMar>
      </w:tblPr>
      <w:tblGrid>
        <w:gridCol w:w="824"/>
        <w:gridCol w:w="39"/>
        <w:gridCol w:w="206"/>
        <w:gridCol w:w="23"/>
        <w:gridCol w:w="9113"/>
      </w:tblGrid>
      <w:tr>
        <w:trPr/>
        <w:tc>
          <w:tcPr>
            <w:tcW w:w="86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w:t>
            </w:r>
          </w:p>
        </w:tc>
        <w:tc>
          <w:tcPr>
            <w:tcW w:w="206" w:type="dxa"/>
            <w:tcBorders/>
            <w:vAlign w:val="center"/>
          </w:tcPr>
          <w:p>
            <w:pPr>
              <w:pStyle w:val="TableContents"/>
              <w:bidi w:val="0"/>
              <w:spacing w:before="0" w:after="0"/>
              <w:ind w:left="0" w:right="0" w:hanging="0"/>
              <w:jc w:val="left"/>
              <w:rPr/>
            </w:pPr>
            <w:r>
              <w:rPr/>
              <w:t>  </w:t>
            </w:r>
          </w:p>
        </w:tc>
        <w:tc>
          <w:tcPr>
            <w:tcW w:w="9136" w:type="dxa"/>
            <w:gridSpan w:val="2"/>
            <w:tcBorders/>
            <w:vAlign w:val="center"/>
          </w:tcPr>
          <w:p>
            <w:pPr>
              <w:pStyle w:val="TableContents"/>
              <w:bidi w:val="0"/>
              <w:spacing w:before="0" w:after="0"/>
              <w:ind w:left="0" w:right="0" w:hanging="0"/>
              <w:jc w:val="left"/>
              <w:rPr/>
            </w:pPr>
            <w:r>
              <w:rPr/>
              <w:t>​</w:t>
            </w:r>
          </w:p>
        </w:tc>
      </w:tr>
      <w:tr>
        <w:trPr/>
        <w:tc>
          <w:tcPr>
            <w:tcW w:w="863"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w:t>
            </w:r>
          </w:p>
        </w:tc>
        <w:tc>
          <w:tcPr>
            <w:tcW w:w="206" w:type="dxa"/>
            <w:tcBorders/>
            <w:vAlign w:val="center"/>
          </w:tcPr>
          <w:p>
            <w:pPr>
              <w:pStyle w:val="TableContents"/>
              <w:bidi w:val="0"/>
              <w:spacing w:before="0" w:after="0"/>
              <w:ind w:left="0" w:right="0" w:hanging="0"/>
              <w:jc w:val="left"/>
              <w:rPr/>
            </w:pPr>
            <w:r>
              <w:rPr/>
              <w:t>​</w:t>
            </w:r>
          </w:p>
        </w:tc>
        <w:tc>
          <w:tcPr>
            <w:tcW w:w="9136"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Description</w:t>
            </w:r>
          </w:p>
        </w:tc>
      </w:tr>
      <w:tr>
        <w:trPr/>
        <w:tc>
          <w:tcPr>
            <w:tcW w:w="10205" w:type="dxa"/>
            <w:gridSpan w:val="5"/>
            <w:tcBorders/>
            <w:vAlign w:val="center"/>
          </w:tcPr>
          <w:p>
            <w:pPr>
              <w:pStyle w:val="TableContents"/>
              <w:bidi w:val="0"/>
              <w:spacing w:before="0" w:after="283"/>
              <w:ind w:left="0" w:right="0" w:hanging="0"/>
              <w:jc w:val="left"/>
              <w:rPr>
                <w:sz w:val="4"/>
                <w:szCs w:val="4"/>
              </w:rPr>
            </w:pPr>
            <w:r>
              <w:rPr>
                <w:sz w:val="4"/>
                <w:szCs w:val="4"/>
              </w:rPr>
            </w:r>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268" w:type="dxa"/>
            <w:gridSpan w:val="3"/>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Form of Amendment to Employment Agreement (Specified Executive Officers) (incorporated by reference to Exhibit 10.1 to Latham Group, Inc.’s Current Report on Form 8-K filed with the SEC on July 25, 2023 (File No. 001-40358))</w:t>
              </w:r>
            </w:hyperlink>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268" w:type="dxa"/>
            <w:gridSpan w:val="3"/>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Form of Offer Letter (Specified Executive Officers) (incorporated by reference to Exhibit 10.2 to Latham Group, Inc.’s Current Report on Form 8-K filed with the SEC on July 25, 2023 (File No. 001-40358))</w:t>
              </w:r>
            </w:hyperlink>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268" w:type="dxa"/>
            <w:gridSpan w:val="3"/>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Latham Pool Products, Inc. Officer Severance Plan (incorporated by reference to Exhibit 10.3 to Latham Group, Inc.’s Current Report on Form 8-K filed with the SEC on July 25, 2023 (File No. 001-40358))</w:t>
              </w:r>
            </w:hyperlink>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268" w:type="dxa"/>
            <w:gridSpan w:val="3"/>
            <w:tcBorders/>
            <w:vAlign w:val="center"/>
          </w:tcPr>
          <w:p>
            <w:pPr>
              <w:pStyle w:val="TableContents"/>
              <w:bidi w:val="0"/>
              <w:spacing w:before="0" w:after="0"/>
              <w:ind w:left="0" w:right="0" w:hanging="0"/>
              <w:jc w:val="left"/>
              <w:rPr/>
            </w:pPr>
            <w:r>
              <w:rPr/>
              <w:t>​</w:t>
            </w:r>
          </w:p>
        </w:tc>
        <w:tc>
          <w:tcPr>
            <w:tcW w:w="9113"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Amendment to Employment Agreement, by and between J. Mark Borseth and Latham Group, Inc., dated July 24, 2023 (incorporated by reference to Exhibit 10.4 to Latham Group, Inc.’s Current Report on Form 8-K filed with the SEC on July 25, 2023 (File No. 001-40358))</w:t>
              </w:r>
            </w:hyperlink>
          </w:p>
        </w:tc>
      </w:tr>
      <w:tr>
        <w:trPr/>
        <w:tc>
          <w:tcPr>
            <w:tcW w:w="86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206" w:type="dxa"/>
            <w:tcBorders/>
            <w:vAlign w:val="center"/>
          </w:tcPr>
          <w:p>
            <w:pPr>
              <w:pStyle w:val="TableContents"/>
              <w:bidi w:val="0"/>
              <w:spacing w:before="0" w:after="0"/>
              <w:ind w:left="0" w:right="0" w:hanging="0"/>
              <w:jc w:val="left"/>
              <w:rPr/>
            </w:pPr>
            <w:r>
              <w:rPr/>
              <w:t>​</w:t>
            </w:r>
          </w:p>
        </w:tc>
        <w:tc>
          <w:tcPr>
            <w:tcW w:w="9136" w:type="dxa"/>
            <w:gridSpan w:val="2"/>
            <w:tcBorders/>
            <w:vAlign w:val="center"/>
          </w:tcPr>
          <w:p>
            <w:pPr>
              <w:pStyle w:val="TableContents"/>
              <w:bidi w:val="0"/>
              <w:spacing w:before="0" w:after="0"/>
              <w:ind w:left="0" w:right="0" w:hanging="0"/>
              <w:jc w:val="left"/>
              <w:rPr/>
            </w:pPr>
            <w:hyperlink w:anchor="swim-20230930xex31d1.htm">
              <w:r>
                <w:rPr>
                  <w:rStyle w:val="InternetLink"/>
                  <w:rFonts w:ascii="Times New Roman;Times;serif" w:hAnsi="Times New Roman;Times;serif"/>
                  <w:b w:val="false"/>
                  <w:i w:val="false"/>
                  <w:caps w:val="false"/>
                  <w:smallCaps w:val="false"/>
                  <w:sz w:val="20"/>
                </w:rPr>
                <w:t>Certification of CEO, pursuant to SEC Rule 13a-14(a) and 15d-14(a)</w:t>
              </w:r>
            </w:hyperlink>
          </w:p>
        </w:tc>
      </w:tr>
      <w:tr>
        <w:trPr/>
        <w:tc>
          <w:tcPr>
            <w:tcW w:w="86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206" w:type="dxa"/>
            <w:tcBorders/>
            <w:vAlign w:val="center"/>
          </w:tcPr>
          <w:p>
            <w:pPr>
              <w:pStyle w:val="TableContents"/>
              <w:bidi w:val="0"/>
              <w:spacing w:before="0" w:after="0"/>
              <w:ind w:left="0" w:right="0" w:hanging="0"/>
              <w:jc w:val="left"/>
              <w:rPr/>
            </w:pPr>
            <w:r>
              <w:rPr/>
              <w:t>​</w:t>
            </w:r>
          </w:p>
        </w:tc>
        <w:tc>
          <w:tcPr>
            <w:tcW w:w="9136" w:type="dxa"/>
            <w:gridSpan w:val="2"/>
            <w:tcBorders/>
            <w:vAlign w:val="center"/>
          </w:tcPr>
          <w:p>
            <w:pPr>
              <w:pStyle w:val="TableContents"/>
              <w:bidi w:val="0"/>
              <w:spacing w:before="0" w:after="0"/>
              <w:ind w:left="0" w:right="0" w:hanging="0"/>
              <w:jc w:val="left"/>
              <w:rPr/>
            </w:pPr>
            <w:hyperlink w:anchor="swim-20230930xex31d2.htm">
              <w:r>
                <w:rPr>
                  <w:rStyle w:val="InternetLink"/>
                  <w:rFonts w:ascii="Times New Roman;Times;serif" w:hAnsi="Times New Roman;Times;serif"/>
                  <w:b w:val="false"/>
                  <w:i w:val="false"/>
                  <w:caps w:val="false"/>
                  <w:smallCaps w:val="false"/>
                  <w:sz w:val="20"/>
                </w:rPr>
                <w:t>Certification of CFO, pursuant to SEC Rule 13a-14(a) and 15d-14(a)</w:t>
              </w:r>
            </w:hyperlink>
          </w:p>
        </w:tc>
      </w:tr>
      <w:tr>
        <w:trPr/>
        <w:tc>
          <w:tcPr>
            <w:tcW w:w="86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206" w:type="dxa"/>
            <w:tcBorders/>
            <w:vAlign w:val="center"/>
          </w:tcPr>
          <w:p>
            <w:pPr>
              <w:pStyle w:val="TableContents"/>
              <w:bidi w:val="0"/>
              <w:spacing w:before="0" w:after="0"/>
              <w:ind w:left="0" w:right="0" w:hanging="0"/>
              <w:jc w:val="left"/>
              <w:rPr/>
            </w:pPr>
            <w:r>
              <w:rPr/>
              <w:t>​</w:t>
            </w:r>
          </w:p>
        </w:tc>
        <w:tc>
          <w:tcPr>
            <w:tcW w:w="9136" w:type="dxa"/>
            <w:gridSpan w:val="2"/>
            <w:tcBorders/>
            <w:vAlign w:val="center"/>
          </w:tcPr>
          <w:p>
            <w:pPr>
              <w:pStyle w:val="TableContents"/>
              <w:bidi w:val="0"/>
              <w:spacing w:before="0" w:after="0"/>
              <w:ind w:left="0" w:right="0" w:hanging="0"/>
              <w:jc w:val="left"/>
              <w:rPr/>
            </w:pPr>
            <w:hyperlink w:anchor="swim-20230930xex32d1.htm">
              <w:r>
                <w:rPr>
                  <w:rStyle w:val="InternetLink"/>
                  <w:rFonts w:ascii="Times New Roman;Times;serif" w:hAnsi="Times New Roman;Times;serif"/>
                  <w:b w:val="false"/>
                  <w:i w:val="false"/>
                  <w:caps w:val="false"/>
                  <w:smallCaps w:val="false"/>
                  <w:sz w:val="20"/>
                </w:rPr>
                <w:t>Certification by the CEO, pursuant to 18 U.S.C. Section 1350, as adopted pursuant to Section 906 of the Sarbanes-Oxley Act of 2002</w:t>
              </w:r>
            </w:hyperlink>
            <w:r>
              <w:rPr>
                <w:rFonts w:ascii="Times New Roman;Times;serif" w:hAnsi="Times New Roman;Times;serif"/>
                <w:sz w:val="20"/>
              </w:rPr>
              <w:t xml:space="preserve"> </w:t>
            </w:r>
          </w:p>
        </w:tc>
      </w:tr>
      <w:tr>
        <w:trPr/>
        <w:tc>
          <w:tcPr>
            <w:tcW w:w="86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206" w:type="dxa"/>
            <w:tcBorders/>
            <w:vAlign w:val="center"/>
          </w:tcPr>
          <w:p>
            <w:pPr>
              <w:pStyle w:val="TableContents"/>
              <w:bidi w:val="0"/>
              <w:spacing w:before="0" w:after="0"/>
              <w:ind w:left="0" w:right="0" w:hanging="0"/>
              <w:jc w:val="left"/>
              <w:rPr/>
            </w:pPr>
            <w:r>
              <w:rPr/>
              <w:t>​</w:t>
            </w:r>
          </w:p>
        </w:tc>
        <w:tc>
          <w:tcPr>
            <w:tcW w:w="9136" w:type="dxa"/>
            <w:gridSpan w:val="2"/>
            <w:tcBorders/>
            <w:vAlign w:val="center"/>
          </w:tcPr>
          <w:p>
            <w:pPr>
              <w:pStyle w:val="TableContents"/>
              <w:bidi w:val="0"/>
              <w:spacing w:before="0" w:after="0"/>
              <w:ind w:left="0" w:right="0" w:hanging="0"/>
              <w:jc w:val="left"/>
              <w:rPr/>
            </w:pPr>
            <w:hyperlink w:anchor="swim-20230930xex32d2.htm">
              <w:r>
                <w:rPr>
                  <w:rStyle w:val="InternetLink"/>
                  <w:rFonts w:ascii="Times New Roman;Times;serif" w:hAnsi="Times New Roman;Times;serif"/>
                  <w:b w:val="false"/>
                  <w:i w:val="false"/>
                  <w:caps w:val="false"/>
                  <w:smallCaps w:val="false"/>
                  <w:sz w:val="20"/>
                </w:rPr>
                <w:t>Certification by the CFO, pursuant to 18 U.S.C. Section 1350, as adopted pursuant to Section 906 of the Sarbanes-Oxley Act of 2002</w:t>
              </w:r>
            </w:hyperlink>
            <w:r>
              <w:rPr>
                <w:rFonts w:ascii="Times New Roman;Times;serif" w:hAnsi="Times New Roman;Times;serif"/>
                <w:sz w:val="20"/>
              </w:rPr>
              <w:t xml:space="preserve"> </w:t>
            </w:r>
          </w:p>
        </w:tc>
      </w:tr>
      <w:tr>
        <w:trPr/>
        <w:tc>
          <w:tcPr>
            <w:tcW w:w="86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206" w:type="dxa"/>
            <w:tcBorders/>
            <w:vAlign w:val="center"/>
          </w:tcPr>
          <w:p>
            <w:pPr>
              <w:pStyle w:val="TableContents"/>
              <w:bidi w:val="0"/>
              <w:spacing w:before="0" w:after="0"/>
              <w:ind w:left="0" w:right="0" w:hanging="0"/>
              <w:jc w:val="left"/>
              <w:rPr/>
            </w:pPr>
            <w:r>
              <w:rPr/>
              <w:t>​</w:t>
            </w:r>
          </w:p>
        </w:tc>
        <w:tc>
          <w:tcPr>
            <w:tcW w:w="913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6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206" w:type="dxa"/>
            <w:tcBorders/>
            <w:vAlign w:val="center"/>
          </w:tcPr>
          <w:p>
            <w:pPr>
              <w:pStyle w:val="TableContents"/>
              <w:bidi w:val="0"/>
              <w:spacing w:before="0" w:after="0"/>
              <w:ind w:left="0" w:right="0" w:hanging="0"/>
              <w:jc w:val="left"/>
              <w:rPr/>
            </w:pPr>
            <w:r>
              <w:rPr/>
              <w:t>​</w:t>
            </w:r>
          </w:p>
        </w:tc>
        <w:tc>
          <w:tcPr>
            <w:tcW w:w="913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6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206" w:type="dxa"/>
            <w:tcBorders/>
            <w:vAlign w:val="center"/>
          </w:tcPr>
          <w:p>
            <w:pPr>
              <w:pStyle w:val="TableContents"/>
              <w:bidi w:val="0"/>
              <w:spacing w:before="0" w:after="0"/>
              <w:ind w:left="0" w:right="0" w:hanging="0"/>
              <w:jc w:val="left"/>
              <w:rPr/>
            </w:pPr>
            <w:r>
              <w:rPr/>
              <w:t>​</w:t>
            </w:r>
          </w:p>
        </w:tc>
        <w:tc>
          <w:tcPr>
            <w:tcW w:w="913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6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206" w:type="dxa"/>
            <w:tcBorders/>
            <w:vAlign w:val="center"/>
          </w:tcPr>
          <w:p>
            <w:pPr>
              <w:pStyle w:val="TableContents"/>
              <w:bidi w:val="0"/>
              <w:spacing w:before="0" w:after="0"/>
              <w:ind w:left="0" w:right="0" w:hanging="0"/>
              <w:jc w:val="left"/>
              <w:rPr/>
            </w:pPr>
            <w:r>
              <w:rPr/>
              <w:t>​</w:t>
            </w:r>
          </w:p>
        </w:tc>
        <w:tc>
          <w:tcPr>
            <w:tcW w:w="913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6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206" w:type="dxa"/>
            <w:tcBorders/>
            <w:vAlign w:val="center"/>
          </w:tcPr>
          <w:p>
            <w:pPr>
              <w:pStyle w:val="TableContents"/>
              <w:bidi w:val="0"/>
              <w:spacing w:before="0" w:after="0"/>
              <w:ind w:left="0" w:right="0" w:hanging="0"/>
              <w:jc w:val="left"/>
              <w:rPr/>
            </w:pPr>
            <w:r>
              <w:rPr/>
              <w:t>​</w:t>
            </w:r>
          </w:p>
        </w:tc>
        <w:tc>
          <w:tcPr>
            <w:tcW w:w="913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6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206" w:type="dxa"/>
            <w:tcBorders/>
            <w:vAlign w:val="center"/>
          </w:tcPr>
          <w:p>
            <w:pPr>
              <w:pStyle w:val="TableContents"/>
              <w:bidi w:val="0"/>
              <w:spacing w:before="0" w:after="0"/>
              <w:ind w:left="0" w:right="0" w:hanging="0"/>
              <w:jc w:val="left"/>
              <w:rPr/>
            </w:pPr>
            <w:r>
              <w:rPr/>
              <w:t>​</w:t>
            </w:r>
          </w:p>
        </w:tc>
        <w:tc>
          <w:tcPr>
            <w:tcW w:w="913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6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206" w:type="dxa"/>
            <w:tcBorders/>
            <w:vAlign w:val="center"/>
          </w:tcPr>
          <w:p>
            <w:pPr>
              <w:pStyle w:val="TableContents"/>
              <w:bidi w:val="0"/>
              <w:spacing w:before="0" w:after="0"/>
              <w:ind w:left="0" w:right="0" w:hanging="0"/>
              <w:jc w:val="left"/>
              <w:rPr/>
            </w:pPr>
            <w:r>
              <w:rPr/>
              <w:t>​</w:t>
            </w:r>
          </w:p>
        </w:tc>
        <w:tc>
          <w:tcPr>
            <w:tcW w:w="913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pPr>
      <w:r>
        <w:rPr/>
        <w:t>​</w:t>
      </w:r>
    </w:p>
    <w:tbl>
      <w:tblPr>
        <w:tblW w:w="4956" w:type="dxa"/>
        <w:jc w:val="left"/>
        <w:tblInd w:w="0" w:type="dxa"/>
        <w:tblLayout w:type="fixed"/>
        <w:tblCellMar>
          <w:top w:w="0" w:type="dxa"/>
          <w:left w:w="0" w:type="dxa"/>
          <w:bottom w:w="0" w:type="dxa"/>
          <w:right w:w="0" w:type="dxa"/>
        </w:tblCellMar>
      </w:tblPr>
      <w:tblGrid>
        <w:gridCol w:w="331"/>
        <w:gridCol w:w="109"/>
        <w:gridCol w:w="4516"/>
      </w:tblGrid>
      <w:tr>
        <w:trPr/>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516"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Indicates management contract or compensatory plan.</w:t>
            </w:r>
          </w:p>
        </w:tc>
      </w:tr>
      <w:tr>
        <w:trPr/>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4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867660" cy="175260"/>
                      <wp:effectExtent l="0" t="0" r="0" b="0"/>
                      <wp:wrapNone/>
                      <wp:docPr id="345" name="Frame345"/>
                      <a:graphic xmlns:a="http://schemas.openxmlformats.org/drawingml/2006/main">
                        <a:graphicData uri="http://schemas.microsoft.com/office/word/2010/wordprocessingShape">
                          <wps:wsp>
                            <wps:cNvSpPr txBox="1"/>
                            <wps:spPr>
                              <a:xfrm>
                                <a:off x="0" y="0"/>
                                <a:ext cx="2867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4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81" w:name="SIGNATURES_654110"/>
      <w:bookmarkStart w:id="1382" w:name="_065d90b9_b6dd_41fe_9ec4_147fe6f16588"/>
      <w:bookmarkEnd w:id="1381"/>
      <w:bookmarkEnd w:id="1382"/>
      <w:r>
        <w:rPr>
          <w:rFonts w:ascii="Times New Roman;Times;serif" w:hAnsi="Times New Roman;Times;serif"/>
          <w:b/>
          <w:sz w:val="20"/>
        </w:rPr>
        <w:t>SIGNATURES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7, 2023</w:t>
      </w:r>
    </w:p>
    <w:p>
      <w:pPr>
        <w:pStyle w:val="TextBody"/>
        <w:bidi w:val="0"/>
        <w:spacing w:before="0" w:after="0"/>
        <w:ind w:left="0" w:right="0" w:hanging="0"/>
        <w:jc w:val="left"/>
        <w:rPr/>
      </w:pPr>
      <w:r>
        <w:rPr/>
        <w:t>​</w:t>
      </w:r>
    </w:p>
    <w:tbl>
      <w:tblPr>
        <w:tblW w:w="2765" w:type="dxa"/>
        <w:jc w:val="left"/>
        <w:tblInd w:w="0" w:type="dxa"/>
        <w:tblLayout w:type="fixed"/>
        <w:tblCellMar>
          <w:top w:w="0" w:type="dxa"/>
          <w:left w:w="0" w:type="dxa"/>
          <w:bottom w:w="0" w:type="dxa"/>
          <w:right w:w="0" w:type="dxa"/>
        </w:tblCellMar>
      </w:tblPr>
      <w:tblGrid>
        <w:gridCol w:w="124"/>
        <w:gridCol w:w="264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78740" cy="175260"/>
                      <wp:effectExtent l="0" t="0" r="0" b="0"/>
                      <wp:wrapNone/>
                      <wp:docPr id="346" name="Frame34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677035" cy="175260"/>
                      <wp:effectExtent l="0" t="0" r="0" b="0"/>
                      <wp:wrapNone/>
                      <wp:docPr id="347" name="Frame347"/>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LATHAM GROUP, INC.</w:t>
            </w:r>
          </w:p>
        </w:tc>
      </w:tr>
      <w:tr>
        <w:trPr/>
        <w:tc>
          <w:tcPr>
            <w:tcW w:w="124"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James Mark Borseth</w:t>
            </w:r>
          </w:p>
        </w:tc>
      </w:tr>
      <w:tr>
        <w:trPr/>
        <w:tc>
          <w:tcPr>
            <w:tcW w:w="124" w:type="dxa"/>
            <w:tcBorders/>
            <w:vAlign w:val="center"/>
          </w:tcPr>
          <w:p>
            <w:pPr>
              <w:pStyle w:val="TableContents"/>
              <w:bidi w:val="0"/>
              <w:spacing w:before="0" w:after="0"/>
              <w:ind w:left="0" w:right="0" w:hanging="0"/>
              <w:jc w:val="left"/>
              <w:rPr/>
            </w:pPr>
            <w:r>
              <w:rPr/>
              <w:t>​</w:t>
            </w:r>
          </w:p>
        </w:tc>
        <w:tc>
          <w:tcPr>
            <w:tcW w:w="26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James Mark Borseth</w:t>
            </w:r>
          </w:p>
        </w:tc>
      </w:tr>
      <w:tr>
        <w:trPr/>
        <w:tc>
          <w:tcPr>
            <w:tcW w:w="124"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245"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240"/>
        <w:ind w:left="0" w:right="0" w:hanging="0"/>
        <w:jc w:val="right"/>
        <w:rPr>
          <w:rFonts w:ascii="Times New Roman;Times;serif" w:hAnsi="Times New Roman;Times;serif"/>
          <w:b/>
          <w:sz w:val="23"/>
        </w:rPr>
      </w:pPr>
      <w:bookmarkStart w:id="1383" w:name="swim-20230930xex31d1.htm"/>
      <w:bookmarkStart w:id="1384" w:name="ksswim20230930xex31d1"/>
      <w:bookmarkEnd w:id="1383"/>
      <w:bookmarkEnd w:id="1384"/>
      <w:r>
        <w:rPr>
          <w:rFonts w:ascii="Times New Roman;Times;serif" w:hAnsi="Times New Roman;Times;serif"/>
          <w:b/>
          <w:sz w:val="23"/>
        </w:rPr>
        <w:t>Exhibit 31.1</w:t>
      </w:r>
      <w:r>
        <w:br w:type="page"/>
      </w:r>
    </w:p>
    <w:p>
      <w:pPr>
        <w:pStyle w:val="TextBody"/>
        <w:bidi w:val="0"/>
        <w:spacing w:before="0" w:after="240"/>
        <w:ind w:left="0" w:right="0" w:hanging="0"/>
        <w:jc w:val="center"/>
        <w:rPr>
          <w:rFonts w:ascii="Times New Roman;Times;serif" w:hAnsi="Times New Roman;Times;serif"/>
          <w:b/>
          <w:sz w:val="23"/>
        </w:rPr>
      </w:pPr>
      <w:r>
        <w:rPr>
          <w:rFonts w:ascii="Times New Roman;Times;serif" w:hAnsi="Times New Roman;Times;serif"/>
          <w:b/>
          <w:sz w:val="23"/>
        </w:rPr>
        <w:t>LATHAM GROUP, INC.</w:t>
      </w:r>
    </w:p>
    <w:p>
      <w:pPr>
        <w:pStyle w:val="TextBody"/>
        <w:bidi w:val="0"/>
        <w:spacing w:before="0" w:after="100"/>
        <w:ind w:left="0" w:right="0" w:hanging="0"/>
        <w:jc w:val="left"/>
        <w:rPr>
          <w:rFonts w:ascii="Times New Roman;Times;serif" w:hAnsi="Times New Roman;Times;serif"/>
          <w:sz w:val="23"/>
        </w:rPr>
      </w:pPr>
      <w:r>
        <w:rPr>
          <w:rFonts w:ascii="Times New Roman;Times;serif" w:hAnsi="Times New Roman;Times;serif"/>
          <w:sz w:val="23"/>
        </w:rPr>
        <w:t>I, Scott M. Rajeski, certify that:</w:t>
      </w:r>
    </w:p>
    <w:tbl>
      <w:tblPr>
        <w:tblW w:w="7263" w:type="dxa"/>
        <w:jc w:val="left"/>
        <w:tblInd w:w="0" w:type="dxa"/>
        <w:tblLayout w:type="fixed"/>
        <w:tblCellMar>
          <w:top w:w="0" w:type="dxa"/>
          <w:left w:w="0" w:type="dxa"/>
          <w:bottom w:w="0" w:type="dxa"/>
          <w:right w:w="0" w:type="dxa"/>
        </w:tblCellMar>
      </w:tblPr>
      <w:tblGrid>
        <w:gridCol w:w="23"/>
        <w:gridCol w:w="200"/>
        <w:gridCol w:w="704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1.</w:t>
            </w:r>
          </w:p>
        </w:tc>
        <w:tc>
          <w:tcPr>
            <w:tcW w:w="7040"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I have reviewed this quarterly report on Form 10-Q of Latham Group, Inc.;</w:t>
            </w:r>
          </w:p>
        </w:tc>
      </w:tr>
    </w:tbl>
    <w:tbl>
      <w:tblPr>
        <w:tblW w:w="10205" w:type="dxa"/>
        <w:jc w:val="left"/>
        <w:tblInd w:w="0" w:type="dxa"/>
        <w:tblLayout w:type="fixed"/>
        <w:tblCellMar>
          <w:top w:w="0" w:type="dxa"/>
          <w:left w:w="0" w:type="dxa"/>
          <w:bottom w:w="0" w:type="dxa"/>
          <w:right w:w="0" w:type="dxa"/>
        </w:tblCellMar>
      </w:tblPr>
      <w:tblGrid>
        <w:gridCol w:w="23"/>
        <w:gridCol w:w="159"/>
        <w:gridCol w:w="10023"/>
      </w:tblGrid>
      <w:tr>
        <w:trPr/>
        <w:tc>
          <w:tcPr>
            <w:tcW w:w="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2.</w:t>
            </w:r>
          </w:p>
        </w:tc>
        <w:tc>
          <w:tcPr>
            <w:tcW w:w="10023"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3.</w:t>
            </w:r>
          </w:p>
        </w:tc>
        <w:tc>
          <w:tcPr>
            <w:tcW w:w="10020"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57"/>
        <w:gridCol w:w="10025"/>
      </w:tblGrid>
      <w:tr>
        <w:trPr/>
        <w:tc>
          <w:tcPr>
            <w:tcW w:w="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4.</w:t>
            </w:r>
          </w:p>
        </w:tc>
        <w:tc>
          <w:tcPr>
            <w:tcW w:w="10025"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The registrant’s other certifying officer(s) and I are responsible for establishing and maintaining disclosure controls and procedures (as defined in Securities Exchange Act Rules 13a-15(e) and 15d-15(e)) and internal control over financial reporting (as defined in Securities Exchange Act Rule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a.</w:t>
            </w:r>
          </w:p>
        </w:tc>
        <w:tc>
          <w:tcPr>
            <w:tcW w:w="9997"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b.</w:t>
            </w:r>
          </w:p>
        </w:tc>
        <w:tc>
          <w:tcPr>
            <w:tcW w:w="9982"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c.</w:t>
            </w:r>
          </w:p>
        </w:tc>
        <w:tc>
          <w:tcPr>
            <w:tcW w:w="9997"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d.</w:t>
            </w:r>
          </w:p>
        </w:tc>
        <w:tc>
          <w:tcPr>
            <w:tcW w:w="9982"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61"/>
        <w:gridCol w:w="10021"/>
      </w:tblGrid>
      <w:tr>
        <w:trPr/>
        <w:tc>
          <w:tcPr>
            <w:tcW w:w="2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5.</w:t>
            </w:r>
          </w:p>
        </w:tc>
        <w:tc>
          <w:tcPr>
            <w:tcW w:w="10021"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a.</w:t>
            </w:r>
          </w:p>
        </w:tc>
        <w:tc>
          <w:tcPr>
            <w:tcW w:w="9997"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b.</w:t>
            </w:r>
          </w:p>
        </w:tc>
        <w:tc>
          <w:tcPr>
            <w:tcW w:w="9982"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Any fraud, whether or not material, that involves management or other employees who have a significant role in the registrant’s internal control over financial reporting.</w:t>
            </w:r>
          </w:p>
        </w:tc>
      </w:tr>
    </w:tbl>
    <w:tbl>
      <w:tblPr>
        <w:tblW w:w="5582" w:type="dxa"/>
        <w:jc w:val="center"/>
        <w:tblInd w:w="0" w:type="dxa"/>
        <w:tblLayout w:type="fixed"/>
        <w:tblCellMar>
          <w:top w:w="0" w:type="dxa"/>
          <w:left w:w="0" w:type="dxa"/>
          <w:bottom w:w="0" w:type="dxa"/>
          <w:right w:w="0" w:type="dxa"/>
        </w:tblCellMar>
      </w:tblPr>
      <w:tblGrid>
        <w:gridCol w:w="1891"/>
        <w:gridCol w:w="3691"/>
      </w:tblGrid>
      <w:tr>
        <w:trPr/>
        <w:tc>
          <w:tcPr>
            <w:tcW w:w="1891" w:type="dxa"/>
            <w:tcBorders/>
            <w:vAlign w:val="center"/>
          </w:tcPr>
          <w:p>
            <w:pPr>
              <w:pStyle w:val="TableContents"/>
              <w:bidi w:val="0"/>
              <w:spacing w:before="0" w:after="0"/>
              <w:ind w:left="0" w:right="0" w:hanging="0"/>
              <w:jc w:val="left"/>
              <w:rPr/>
            </w:pPr>
            <w:r>
              <w:rPr/>
              <w:t>​</w:t>
            </w:r>
          </w:p>
        </w:tc>
        <w:tc>
          <w:tcPr>
            <w:tcW w:w="3691"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pBdr/>
              <w:bidi w:val="0"/>
              <w:spacing w:before="0" w:after="0"/>
              <w:ind w:left="0" w:right="0" w:hanging="0"/>
              <w:jc w:val="left"/>
              <w:rPr>
                <w:rFonts w:ascii="Times New Roman;Times;serif" w:hAnsi="Times New Roman;Times;serif"/>
                <w:sz w:val="23"/>
              </w:rPr>
            </w:pPr>
            <w:r>
              <w:rPr>
                <w:rFonts w:ascii="Times New Roman;Times;serif" w:hAnsi="Times New Roman;Times;serif"/>
                <w:sz w:val="23"/>
              </w:rPr>
              <w:t>November 7, 2023</w:t>
            </w:r>
          </w:p>
        </w:tc>
        <w:tc>
          <w:tcPr>
            <w:tcW w:w="369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i/>
                <w:sz w:val="23"/>
              </w:rPr>
            </w:pPr>
            <w:r>
              <w:rPr>
                <w:rFonts w:ascii="Times New Roman;Times;serif" w:hAnsi="Times New Roman;Times;serif"/>
                <w:i/>
                <w:sz w:val="23"/>
              </w:rPr>
              <w:t>/s/ Scott M. Rajeski</w:t>
            </w:r>
          </w:p>
        </w:tc>
      </w:tr>
      <w:tr>
        <w:trPr/>
        <w:tc>
          <w:tcPr>
            <w:tcW w:w="1891" w:type="dxa"/>
            <w:tcBorders/>
            <w:vAlign w:val="center"/>
          </w:tcPr>
          <w:p>
            <w:pPr>
              <w:pStyle w:val="TableContents"/>
              <w:pBdr/>
              <w:bidi w:val="0"/>
              <w:spacing w:before="0" w:after="0"/>
              <w:ind w:left="0" w:right="0" w:hanging="0"/>
              <w:jc w:val="left"/>
              <w:rPr/>
            </w:pPr>
            <w:r>
              <w:rPr/>
              <w:t> </w:t>
            </w:r>
          </w:p>
        </w:tc>
        <w:tc>
          <w:tcPr>
            <w:tcW w:w="3691" w:type="dxa"/>
            <w:tcBorders/>
            <w:vAlign w:val="center"/>
          </w:tcPr>
          <w:p>
            <w:pPr>
              <w:pStyle w:val="TableContents"/>
              <w:bidi w:val="0"/>
              <w:spacing w:before="0" w:after="0"/>
              <w:ind w:left="0" w:right="0" w:hanging="0"/>
              <w:jc w:val="center"/>
              <w:rPr>
                <w:rFonts w:ascii="Times New Roman;Times;serif" w:hAnsi="Times New Roman;Times;serif"/>
                <w:sz w:val="23"/>
              </w:rPr>
            </w:pPr>
            <w:r>
              <w:rPr>
                <w:rFonts w:ascii="Times New Roman;Times;serif" w:hAnsi="Times New Roman;Times;serif"/>
                <w:sz w:val="23"/>
              </w:rPr>
              <w:t>Scott M. Rajeski</w:t>
            </w:r>
          </w:p>
        </w:tc>
      </w:tr>
      <w:tr>
        <w:trPr/>
        <w:tc>
          <w:tcPr>
            <w:tcW w:w="1891" w:type="dxa"/>
            <w:tcBorders/>
            <w:vAlign w:val="center"/>
          </w:tcPr>
          <w:p>
            <w:pPr>
              <w:pStyle w:val="TableContents"/>
              <w:pBdr/>
              <w:bidi w:val="0"/>
              <w:spacing w:before="0" w:after="0"/>
              <w:ind w:left="0" w:right="0" w:hanging="0"/>
              <w:jc w:val="left"/>
              <w:rPr/>
            </w:pPr>
            <w:r>
              <w:rPr/>
              <w:t> </w:t>
            </w:r>
          </w:p>
        </w:tc>
        <w:tc>
          <w:tcPr>
            <w:tcW w:w="3691" w:type="dxa"/>
            <w:tcBorders/>
            <w:vAlign w:val="center"/>
          </w:tcPr>
          <w:p>
            <w:pPr>
              <w:pStyle w:val="TableContents"/>
              <w:bidi w:val="0"/>
              <w:spacing w:before="0" w:after="0"/>
              <w:ind w:left="0" w:right="0" w:hanging="0"/>
              <w:jc w:val="center"/>
              <w:rPr>
                <w:rFonts w:ascii="Times New Roman;Times;serif" w:hAnsi="Times New Roman;Times;serif"/>
                <w:sz w:val="23"/>
              </w:rPr>
            </w:pPr>
            <w:r>
              <w:rPr>
                <w:rFonts w:ascii="Times New Roman;Times;serif" w:hAnsi="Times New Roman;Times;serif"/>
                <w:sz w:val="23"/>
              </w:rPr>
              <w:t>Chief Executive Officer and President</w:t>
            </w:r>
          </w:p>
        </w:tc>
      </w:tr>
      <w:tr>
        <w:trPr/>
        <w:tc>
          <w:tcPr>
            <w:tcW w:w="1891" w:type="dxa"/>
            <w:tcBorders/>
            <w:vAlign w:val="center"/>
          </w:tcPr>
          <w:p>
            <w:pPr>
              <w:pStyle w:val="TableContents"/>
              <w:pBdr/>
              <w:bidi w:val="0"/>
              <w:spacing w:before="0" w:after="0"/>
              <w:ind w:left="0" w:right="0" w:hanging="0"/>
              <w:jc w:val="left"/>
              <w:rPr/>
            </w:pPr>
            <w:r>
              <w:rPr/>
              <w:t> </w:t>
            </w:r>
          </w:p>
        </w:tc>
        <w:tc>
          <w:tcPr>
            <w:tcW w:w="3691" w:type="dxa"/>
            <w:tcBorders/>
            <w:vAlign w:val="center"/>
          </w:tcPr>
          <w:p>
            <w:pPr>
              <w:pStyle w:val="TableContents"/>
              <w:bidi w:val="0"/>
              <w:spacing w:before="0" w:after="0"/>
              <w:ind w:left="0" w:right="0" w:hanging="0"/>
              <w:jc w:val="center"/>
              <w:rPr>
                <w:rFonts w:ascii="Times New Roman;Times;serif" w:hAnsi="Times New Roman;Times;serif"/>
                <w:sz w:val="23"/>
              </w:rPr>
            </w:pPr>
            <w:r>
              <w:rPr>
                <w:rFonts w:ascii="Times New Roman;Times;serif" w:hAnsi="Times New Roman;Times;serif"/>
                <w:sz w:val="23"/>
              </w:rPr>
              <w:t>Latham Group, Inc.</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3"/>
        </w:rPr>
      </w:pPr>
      <w:bookmarkStart w:id="1385" w:name="swim-20230930xex31d2.htm"/>
      <w:bookmarkStart w:id="1386" w:name="ksswim20230930xex31d2"/>
      <w:bookmarkEnd w:id="1385"/>
      <w:bookmarkEnd w:id="1386"/>
      <w:r>
        <w:rPr>
          <w:rFonts w:ascii="Times New Roman;Times;serif" w:hAnsi="Times New Roman;Times;serif"/>
          <w:b/>
          <w:sz w:val="23"/>
        </w:rPr>
        <w:t>Exhibit 31.2</w:t>
      </w:r>
      <w:r>
        <w:br w:type="page"/>
      </w:r>
    </w:p>
    <w:p>
      <w:pPr>
        <w:pStyle w:val="TextBody"/>
        <w:bidi w:val="0"/>
        <w:spacing w:before="0" w:after="240"/>
        <w:ind w:left="0" w:right="0" w:hanging="0"/>
        <w:jc w:val="center"/>
        <w:rPr>
          <w:rFonts w:ascii="Times New Roman;Times;serif" w:hAnsi="Times New Roman;Times;serif"/>
          <w:b/>
          <w:sz w:val="23"/>
        </w:rPr>
      </w:pPr>
      <w:r>
        <w:rPr>
          <w:rFonts w:ascii="Times New Roman;Times;serif" w:hAnsi="Times New Roman;Times;serif"/>
          <w:b/>
          <w:sz w:val="23"/>
        </w:rPr>
        <w:t>LATHAM GROUP, INC.</w:t>
      </w:r>
    </w:p>
    <w:p>
      <w:pPr>
        <w:pStyle w:val="TextBody"/>
        <w:bidi w:val="0"/>
        <w:spacing w:before="0" w:after="100"/>
        <w:ind w:left="0" w:right="0" w:hanging="0"/>
        <w:jc w:val="left"/>
        <w:rPr>
          <w:rFonts w:ascii="Times New Roman;Times;serif" w:hAnsi="Times New Roman;Times;serif"/>
          <w:sz w:val="23"/>
        </w:rPr>
      </w:pPr>
      <w:r>
        <w:rPr>
          <w:rFonts w:ascii="Times New Roman;Times;serif" w:hAnsi="Times New Roman;Times;serif"/>
          <w:sz w:val="23"/>
        </w:rPr>
        <w:t>I, James Mark Borseth, certify that:</w:t>
      </w:r>
    </w:p>
    <w:tbl>
      <w:tblPr>
        <w:tblW w:w="7263" w:type="dxa"/>
        <w:jc w:val="left"/>
        <w:tblInd w:w="0" w:type="dxa"/>
        <w:tblLayout w:type="fixed"/>
        <w:tblCellMar>
          <w:top w:w="0" w:type="dxa"/>
          <w:left w:w="0" w:type="dxa"/>
          <w:bottom w:w="0" w:type="dxa"/>
          <w:right w:w="0" w:type="dxa"/>
        </w:tblCellMar>
      </w:tblPr>
      <w:tblGrid>
        <w:gridCol w:w="23"/>
        <w:gridCol w:w="200"/>
        <w:gridCol w:w="704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1.</w:t>
            </w:r>
          </w:p>
        </w:tc>
        <w:tc>
          <w:tcPr>
            <w:tcW w:w="7040"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I have reviewed this quarterly report on Form 10-Q of Latham Group, Inc.;</w:t>
            </w:r>
          </w:p>
        </w:tc>
      </w:tr>
    </w:tbl>
    <w:tbl>
      <w:tblPr>
        <w:tblW w:w="10205" w:type="dxa"/>
        <w:jc w:val="left"/>
        <w:tblInd w:w="0" w:type="dxa"/>
        <w:tblLayout w:type="fixed"/>
        <w:tblCellMar>
          <w:top w:w="0" w:type="dxa"/>
          <w:left w:w="0" w:type="dxa"/>
          <w:bottom w:w="0" w:type="dxa"/>
          <w:right w:w="0" w:type="dxa"/>
        </w:tblCellMar>
      </w:tblPr>
      <w:tblGrid>
        <w:gridCol w:w="23"/>
        <w:gridCol w:w="159"/>
        <w:gridCol w:w="10023"/>
      </w:tblGrid>
      <w:tr>
        <w:trPr/>
        <w:tc>
          <w:tcPr>
            <w:tcW w:w="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2.</w:t>
            </w:r>
          </w:p>
        </w:tc>
        <w:tc>
          <w:tcPr>
            <w:tcW w:w="10023"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3.</w:t>
            </w:r>
          </w:p>
        </w:tc>
        <w:tc>
          <w:tcPr>
            <w:tcW w:w="10020"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57"/>
        <w:gridCol w:w="10025"/>
      </w:tblGrid>
      <w:tr>
        <w:trPr/>
        <w:tc>
          <w:tcPr>
            <w:tcW w:w="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4.</w:t>
            </w:r>
          </w:p>
        </w:tc>
        <w:tc>
          <w:tcPr>
            <w:tcW w:w="10025"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The registrant’s other certifying officer(s) and I are responsible for establishing and maintaining disclosure controls and procedures (as defined in Securities Exchange Act Rules 13a-15(e) and 15d-15(e)) and internal control over financial reporting (as defined in Securities Exchange Act Rule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a.</w:t>
            </w:r>
          </w:p>
        </w:tc>
        <w:tc>
          <w:tcPr>
            <w:tcW w:w="9997"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b.</w:t>
            </w:r>
          </w:p>
        </w:tc>
        <w:tc>
          <w:tcPr>
            <w:tcW w:w="9982"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c.</w:t>
            </w:r>
          </w:p>
        </w:tc>
        <w:tc>
          <w:tcPr>
            <w:tcW w:w="9997"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d.</w:t>
            </w:r>
          </w:p>
        </w:tc>
        <w:tc>
          <w:tcPr>
            <w:tcW w:w="9982"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61"/>
        <w:gridCol w:w="10021"/>
      </w:tblGrid>
      <w:tr>
        <w:trPr/>
        <w:tc>
          <w:tcPr>
            <w:tcW w:w="2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5.</w:t>
            </w:r>
          </w:p>
        </w:tc>
        <w:tc>
          <w:tcPr>
            <w:tcW w:w="10021"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a.</w:t>
            </w:r>
          </w:p>
        </w:tc>
        <w:tc>
          <w:tcPr>
            <w:tcW w:w="9997"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b.</w:t>
            </w:r>
          </w:p>
        </w:tc>
        <w:tc>
          <w:tcPr>
            <w:tcW w:w="9982" w:type="dxa"/>
            <w:tcBorders/>
            <w:vAlign w:val="center"/>
          </w:tcPr>
          <w:p>
            <w:pPr>
              <w:pStyle w:val="TableContents"/>
              <w:bidi w:val="0"/>
              <w:spacing w:before="0" w:after="240"/>
              <w:jc w:val="both"/>
              <w:rPr>
                <w:rFonts w:ascii="Times New Roman;Times;serif" w:hAnsi="Times New Roman;Times;serif"/>
                <w:sz w:val="23"/>
              </w:rPr>
            </w:pPr>
            <w:r>
              <w:rPr>
                <w:rFonts w:ascii="Times New Roman;Times;serif" w:hAnsi="Times New Roman;Times;serif"/>
                <w:sz w:val="23"/>
              </w:rPr>
              <w:t>Any fraud, whether or not material, that involves management or other employees who have a significant role in the registrant’s internal control over financial reporting.</w:t>
            </w:r>
          </w:p>
        </w:tc>
      </w:tr>
    </w:tbl>
    <w:tbl>
      <w:tblPr>
        <w:tblW w:w="4922" w:type="dxa"/>
        <w:jc w:val="center"/>
        <w:tblInd w:w="0" w:type="dxa"/>
        <w:tblLayout w:type="fixed"/>
        <w:tblCellMar>
          <w:top w:w="0" w:type="dxa"/>
          <w:left w:w="0" w:type="dxa"/>
          <w:bottom w:w="0" w:type="dxa"/>
          <w:right w:w="0" w:type="dxa"/>
        </w:tblCellMar>
      </w:tblPr>
      <w:tblGrid>
        <w:gridCol w:w="1891"/>
        <w:gridCol w:w="3031"/>
      </w:tblGrid>
      <w:tr>
        <w:trPr/>
        <w:tc>
          <w:tcPr>
            <w:tcW w:w="1891" w:type="dxa"/>
            <w:tcBorders/>
            <w:vAlign w:val="center"/>
          </w:tcPr>
          <w:p>
            <w:pPr>
              <w:pStyle w:val="TableContents"/>
              <w:bidi w:val="0"/>
              <w:spacing w:before="0" w:after="0"/>
              <w:ind w:left="0" w:right="0" w:hanging="0"/>
              <w:jc w:val="left"/>
              <w:rPr>
                <w:rFonts w:ascii="Times New Roman;Times;serif" w:hAnsi="Times New Roman;Times;serif"/>
                <w:sz w:val="23"/>
              </w:rPr>
            </w:pPr>
            <w:r>
              <w:rPr>
                <w:rFonts w:ascii="Times New Roman;Times;serif" w:hAnsi="Times New Roman;Times;serif"/>
                <w:sz w:val="23"/>
              </w:rPr>
              <w:t>November 7, 2023</w:t>
            </w:r>
          </w:p>
        </w:tc>
        <w:tc>
          <w:tcPr>
            <w:tcW w:w="303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i/>
                <w:sz w:val="23"/>
              </w:rPr>
            </w:pPr>
            <w:r>
              <w:rPr>
                <w:rFonts w:ascii="Times New Roman;Times;serif" w:hAnsi="Times New Roman;Times;serif"/>
                <w:i/>
                <w:sz w:val="23"/>
              </w:rPr>
              <w:t>/s/ James Mark Borseth</w:t>
            </w:r>
          </w:p>
        </w:tc>
      </w:tr>
      <w:tr>
        <w:trPr/>
        <w:tc>
          <w:tcPr>
            <w:tcW w:w="1891" w:type="dxa"/>
            <w:tcBorders/>
            <w:vAlign w:val="center"/>
          </w:tcPr>
          <w:p>
            <w:pPr>
              <w:pStyle w:val="TableContents"/>
              <w:bidi w:val="0"/>
              <w:spacing w:before="0" w:after="0"/>
              <w:ind w:left="0" w:right="0" w:hanging="0"/>
              <w:jc w:val="left"/>
              <w:rPr/>
            </w:pPr>
            <w:r>
              <w:rPr/>
              <w:t> </w:t>
            </w:r>
          </w:p>
        </w:tc>
        <w:tc>
          <w:tcPr>
            <w:tcW w:w="3031" w:type="dxa"/>
            <w:tcBorders/>
            <w:vAlign w:val="center"/>
          </w:tcPr>
          <w:p>
            <w:pPr>
              <w:pStyle w:val="TableContents"/>
              <w:bidi w:val="0"/>
              <w:spacing w:before="0" w:after="0"/>
              <w:ind w:left="0" w:right="0" w:hanging="0"/>
              <w:jc w:val="center"/>
              <w:rPr>
                <w:rFonts w:ascii="Times New Roman;Times;serif" w:hAnsi="Times New Roman;Times;serif"/>
                <w:sz w:val="23"/>
              </w:rPr>
            </w:pPr>
            <w:r>
              <w:rPr>
                <w:rFonts w:ascii="Times New Roman;Times;serif" w:hAnsi="Times New Roman;Times;serif"/>
                <w:sz w:val="23"/>
              </w:rPr>
              <w:t>James Mark Borseth</w:t>
            </w:r>
          </w:p>
        </w:tc>
      </w:tr>
      <w:tr>
        <w:trPr/>
        <w:tc>
          <w:tcPr>
            <w:tcW w:w="1891" w:type="dxa"/>
            <w:tcBorders/>
            <w:vAlign w:val="center"/>
          </w:tcPr>
          <w:p>
            <w:pPr>
              <w:pStyle w:val="TableContents"/>
              <w:bidi w:val="0"/>
              <w:spacing w:before="0" w:after="0"/>
              <w:ind w:left="0" w:right="0" w:hanging="0"/>
              <w:jc w:val="left"/>
              <w:rPr/>
            </w:pPr>
            <w:r>
              <w:rPr/>
              <w:t> </w:t>
            </w:r>
          </w:p>
        </w:tc>
        <w:tc>
          <w:tcPr>
            <w:tcW w:w="3031" w:type="dxa"/>
            <w:tcBorders/>
            <w:vAlign w:val="center"/>
          </w:tcPr>
          <w:p>
            <w:pPr>
              <w:pStyle w:val="TableContents"/>
              <w:bidi w:val="0"/>
              <w:spacing w:before="0" w:after="0"/>
              <w:ind w:left="0" w:right="0" w:hanging="0"/>
              <w:jc w:val="center"/>
              <w:rPr>
                <w:rFonts w:ascii="Times New Roman;Times;serif" w:hAnsi="Times New Roman;Times;serif"/>
                <w:sz w:val="23"/>
              </w:rPr>
            </w:pPr>
            <w:r>
              <w:rPr>
                <w:rFonts w:ascii="Times New Roman;Times;serif" w:hAnsi="Times New Roman;Times;serif"/>
                <w:sz w:val="23"/>
              </w:rPr>
              <w:t>Interim Chief Financial Officer</w:t>
            </w:r>
          </w:p>
        </w:tc>
      </w:tr>
      <w:tr>
        <w:trPr/>
        <w:tc>
          <w:tcPr>
            <w:tcW w:w="1891" w:type="dxa"/>
            <w:tcBorders/>
            <w:vAlign w:val="center"/>
          </w:tcPr>
          <w:p>
            <w:pPr>
              <w:pStyle w:val="TableContents"/>
              <w:bidi w:val="0"/>
              <w:spacing w:before="0" w:after="0"/>
              <w:ind w:left="0" w:right="0" w:hanging="0"/>
              <w:jc w:val="left"/>
              <w:rPr/>
            </w:pPr>
            <w:r>
              <w:rPr/>
              <w:t> </w:t>
            </w:r>
          </w:p>
        </w:tc>
        <w:tc>
          <w:tcPr>
            <w:tcW w:w="3031" w:type="dxa"/>
            <w:tcBorders/>
            <w:vAlign w:val="center"/>
          </w:tcPr>
          <w:p>
            <w:pPr>
              <w:pStyle w:val="TableContents"/>
              <w:bidi w:val="0"/>
              <w:spacing w:before="0" w:after="0"/>
              <w:ind w:left="0" w:right="0" w:hanging="0"/>
              <w:jc w:val="center"/>
              <w:rPr>
                <w:rFonts w:ascii="Times New Roman;Times;serif" w:hAnsi="Times New Roman;Times;serif"/>
                <w:sz w:val="23"/>
              </w:rPr>
            </w:pPr>
            <w:r>
              <w:rPr>
                <w:rFonts w:ascii="Times New Roman;Times;serif" w:hAnsi="Times New Roman;Times;serif"/>
                <w:sz w:val="23"/>
              </w:rPr>
              <w:t>Latham Group, Inc.</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4"/>
        </w:rPr>
      </w:pPr>
      <w:bookmarkStart w:id="1387" w:name="swim-20230930xex32d1.htm"/>
      <w:bookmarkStart w:id="1388" w:name="ksswim20230930xex32d1"/>
      <w:bookmarkEnd w:id="1387"/>
      <w:bookmarkEnd w:id="1388"/>
      <w:r>
        <w:rPr>
          <w:rFonts w:ascii="Times New Roman;Times;serif" w:hAnsi="Times New Roman;Times;serif"/>
          <w:b/>
          <w:sz w:val="24"/>
        </w:rPr>
        <w:t>Exhibit 32.1</w:t>
      </w:r>
      <w:r>
        <w:br w:type="page"/>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LATHAM GROUP, INC.</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CERTIFICATION PURSUANT TO</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18 U.S.C. SECTION 1350,</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AS ADOPTED PURSUANT TO</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SECTION 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In connection with the Quarterly Report of Latham Group, Inc. (the “</w:t>
      </w:r>
      <w:r>
        <w:rPr>
          <w:rFonts w:ascii="Times New Roman;Times;serif" w:hAnsi="Times New Roman;Times;serif"/>
          <w:sz w:val="24"/>
          <w:u w:val="single"/>
        </w:rPr>
        <w:t>Company</w:t>
      </w:r>
      <w:r>
        <w:rPr>
          <w:rFonts w:ascii="Times New Roman;Times;serif" w:hAnsi="Times New Roman;Times;serif"/>
          <w:sz w:val="20"/>
        </w:rPr>
        <w:t>”</w:t>
      </w:r>
      <w:r>
        <w:rPr>
          <w:rFonts w:ascii="Times New Roman;Times;serif" w:hAnsi="Times New Roman;Times;serif"/>
          <w:sz w:val="24"/>
        </w:rPr>
        <w:t>) on Form 10-Q for the period ending September 30, 2023 as filed with the Securities and Exchange Commission on the date hereof (the “</w:t>
      </w:r>
      <w:r>
        <w:rPr>
          <w:rFonts w:ascii="Times New Roman;Times;serif" w:hAnsi="Times New Roman;Times;serif"/>
          <w:sz w:val="24"/>
          <w:u w:val="single"/>
        </w:rPr>
        <w:t>Report</w:t>
      </w:r>
      <w:r>
        <w:rPr>
          <w:rFonts w:ascii="Times New Roman;Times;serif" w:hAnsi="Times New Roman;Times;serif"/>
          <w:sz w:val="20"/>
        </w:rPr>
        <w:t>”</w:t>
      </w:r>
      <w:r>
        <w:rPr>
          <w:rFonts w:ascii="Times New Roman;Times;serif" w:hAnsi="Times New Roman;Times;serif"/>
          <w:sz w:val="24"/>
        </w:rPr>
        <w:t>), I, Scott M. Rajeski, Chief Executive Officer of the Company, certify, pursuant to 18 U.S.C. Section 1350, as adopted pursuant to Section 906 of the Sarbanes-Oxley Act of 2002, that: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information contained in the Report fairly presents, in all material respects, the financial condition and results of operations of the Company.</w:t>
            </w:r>
          </w:p>
        </w:tc>
      </w:tr>
    </w:tbl>
    <w:tbl>
      <w:tblPr>
        <w:tblW w:w="5657" w:type="dxa"/>
        <w:jc w:val="center"/>
        <w:tblInd w:w="0" w:type="dxa"/>
        <w:tblLayout w:type="fixed"/>
        <w:tblCellMar>
          <w:top w:w="0" w:type="dxa"/>
          <w:left w:w="0" w:type="dxa"/>
          <w:bottom w:w="0" w:type="dxa"/>
          <w:right w:w="0" w:type="dxa"/>
        </w:tblCellMar>
      </w:tblPr>
      <w:tblGrid>
        <w:gridCol w:w="1906"/>
        <w:gridCol w:w="3751"/>
      </w:tblGrid>
      <w:tr>
        <w:trPr/>
        <w:tc>
          <w:tcPr>
            <w:tcW w:w="1906"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pPr>
            <w:r>
              <w:rPr/>
              <w:t>​</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November 7, 2023</w:t>
            </w:r>
          </w:p>
        </w:tc>
        <w:tc>
          <w:tcPr>
            <w:tcW w:w="375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i/>
                <w:sz w:val="24"/>
              </w:rPr>
            </w:pPr>
            <w:r>
              <w:rPr>
                <w:rFonts w:ascii="Times New Roman;Times;serif" w:hAnsi="Times New Roman;Times;serif"/>
                <w:i/>
                <w:sz w:val="24"/>
              </w:rPr>
              <w:t>/s/ Scott M. Rajeski</w:t>
            </w:r>
          </w:p>
        </w:tc>
      </w:tr>
      <w:tr>
        <w:trPr/>
        <w:tc>
          <w:tcPr>
            <w:tcW w:w="1906" w:type="dxa"/>
            <w:tcBorders/>
            <w:vAlign w:val="center"/>
          </w:tcPr>
          <w:p>
            <w:pPr>
              <w:pStyle w:val="TableContents"/>
              <w:bidi w:val="0"/>
              <w:spacing w:before="0" w:after="0"/>
              <w:ind w:left="0" w:right="0" w:hanging="0"/>
              <w:jc w:val="left"/>
              <w:rPr/>
            </w:pPr>
            <w:r>
              <w:rPr/>
              <w:t> </w:t>
            </w:r>
          </w:p>
        </w:tc>
        <w:tc>
          <w:tcPr>
            <w:tcW w:w="3751"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Scott M. Rajeski</w:t>
            </w:r>
          </w:p>
        </w:tc>
      </w:tr>
      <w:tr>
        <w:trPr/>
        <w:tc>
          <w:tcPr>
            <w:tcW w:w="1906" w:type="dxa"/>
            <w:tcBorders/>
            <w:vAlign w:val="center"/>
          </w:tcPr>
          <w:p>
            <w:pPr>
              <w:pStyle w:val="TableContents"/>
              <w:bidi w:val="0"/>
              <w:spacing w:before="0" w:after="0"/>
              <w:ind w:left="0" w:right="0" w:hanging="0"/>
              <w:jc w:val="left"/>
              <w:rPr/>
            </w:pPr>
            <w:r>
              <w:rPr/>
              <w:t> </w:t>
            </w:r>
          </w:p>
        </w:tc>
        <w:tc>
          <w:tcPr>
            <w:tcW w:w="3751"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Chief Executive Officer and President</w:t>
            </w:r>
          </w:p>
        </w:tc>
      </w:tr>
      <w:tr>
        <w:trPr/>
        <w:tc>
          <w:tcPr>
            <w:tcW w:w="1906" w:type="dxa"/>
            <w:tcBorders/>
            <w:vAlign w:val="center"/>
          </w:tcPr>
          <w:p>
            <w:pPr>
              <w:pStyle w:val="TableContents"/>
              <w:bidi w:val="0"/>
              <w:spacing w:before="0" w:after="0"/>
              <w:ind w:left="0" w:right="0" w:hanging="0"/>
              <w:jc w:val="left"/>
              <w:rPr/>
            </w:pPr>
            <w:r>
              <w:rPr/>
              <w:t> </w:t>
            </w:r>
          </w:p>
        </w:tc>
        <w:tc>
          <w:tcPr>
            <w:tcW w:w="3751"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Latham Group, Inc.</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4"/>
        </w:rPr>
      </w:pPr>
      <w:bookmarkStart w:id="1389" w:name="swim-20230930xex32d2.htm"/>
      <w:bookmarkStart w:id="1390" w:name="ksswim20230930xex32d2"/>
      <w:bookmarkEnd w:id="1389"/>
      <w:bookmarkEnd w:id="1390"/>
      <w:r>
        <w:rPr>
          <w:rFonts w:ascii="Times New Roman;Times;serif" w:hAnsi="Times New Roman;Times;serif"/>
          <w:b/>
          <w:sz w:val="24"/>
        </w:rPr>
        <w:t>Exhibit 32.2</w:t>
      </w:r>
      <w:r>
        <w:br w:type="page"/>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LATHAM GROUP, INC.</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CERTIFICATION PURSUANT TO</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18 U.S.C. SECTION 1350,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AS ADOPTED PURSUANT TO</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SECTION 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In connection with the Quarterly Report of Latham Group, Inc. (the “</w:t>
      </w:r>
      <w:r>
        <w:rPr>
          <w:rFonts w:ascii="Times New Roman;Times;serif" w:hAnsi="Times New Roman;Times;serif"/>
          <w:sz w:val="24"/>
          <w:u w:val="single"/>
        </w:rPr>
        <w:t>Company</w:t>
      </w:r>
      <w:r>
        <w:rPr>
          <w:rFonts w:ascii="Times New Roman;Times;serif" w:hAnsi="Times New Roman;Times;serif"/>
          <w:sz w:val="20"/>
        </w:rPr>
        <w:t>”</w:t>
      </w:r>
      <w:r>
        <w:rPr>
          <w:rFonts w:ascii="Times New Roman;Times;serif" w:hAnsi="Times New Roman;Times;serif"/>
          <w:sz w:val="24"/>
        </w:rPr>
        <w:t>) on Form 10-Q for the period ending September 30, 2023 as filed with the Securities and Exchange Commission on the date hereof (the “</w:t>
      </w:r>
      <w:r>
        <w:rPr>
          <w:rFonts w:ascii="Times New Roman;Times;serif" w:hAnsi="Times New Roman;Times;serif"/>
          <w:sz w:val="24"/>
          <w:u w:val="single"/>
        </w:rPr>
        <w:t>Report</w:t>
      </w:r>
      <w:r>
        <w:rPr>
          <w:rFonts w:ascii="Times New Roman;Times;serif" w:hAnsi="Times New Roman;Times;serif"/>
          <w:sz w:val="20"/>
        </w:rPr>
        <w:t>”</w:t>
      </w:r>
      <w:r>
        <w:rPr>
          <w:rFonts w:ascii="Times New Roman;Times;serif" w:hAnsi="Times New Roman;Times;serif"/>
          <w:sz w:val="24"/>
        </w:rPr>
        <w:t>), I, James Mark Borseth, Interim Chief Financial Officer of the Company, certify, pursuant to 18 U.S.C. Section 1350, as adopted pursuant to Section 906 of the Sarbanes-Oxley Act of 2002, that: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information contained in the Report fairly presents, in all material respects, the financial condition and results of operations of the Company.</w:t>
            </w:r>
          </w:p>
        </w:tc>
      </w:tr>
    </w:tbl>
    <w:tbl>
      <w:tblPr>
        <w:tblW w:w="4982" w:type="dxa"/>
        <w:jc w:val="left"/>
        <w:tblInd w:w="0" w:type="dxa"/>
        <w:tblLayout w:type="fixed"/>
        <w:tblCellMar>
          <w:top w:w="0" w:type="dxa"/>
          <w:left w:w="0" w:type="dxa"/>
          <w:bottom w:w="0" w:type="dxa"/>
          <w:right w:w="0" w:type="dxa"/>
        </w:tblCellMar>
      </w:tblPr>
      <w:tblGrid>
        <w:gridCol w:w="1906"/>
        <w:gridCol w:w="3076"/>
      </w:tblGrid>
      <w:tr>
        <w:trPr/>
        <w:tc>
          <w:tcPr>
            <w:tcW w:w="1906" w:type="dxa"/>
            <w:tcBorders/>
            <w:vAlign w:val="center"/>
          </w:tcPr>
          <w:p>
            <w:pPr>
              <w:pStyle w:val="TableContents"/>
              <w:bidi w:val="0"/>
              <w:spacing w:before="0" w:after="0"/>
              <w:ind w:left="0" w:right="0" w:hanging="0"/>
              <w:jc w:val="left"/>
              <w:rPr/>
            </w:pPr>
            <w:r>
              <w:rPr/>
              <w:t>​</w:t>
            </w:r>
          </w:p>
        </w:tc>
        <w:tc>
          <w:tcPr>
            <w:tcW w:w="3076" w:type="dxa"/>
            <w:tcBorders/>
            <w:vAlign w:val="center"/>
          </w:tcPr>
          <w:p>
            <w:pPr>
              <w:pStyle w:val="TableContents"/>
              <w:bidi w:val="0"/>
              <w:spacing w:before="0" w:after="0"/>
              <w:ind w:left="0" w:right="0" w:hanging="0"/>
              <w:jc w:val="left"/>
              <w:rPr/>
            </w:pPr>
            <w:r>
              <w:rPr/>
              <w:t>​</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November 7, 2023</w:t>
            </w:r>
          </w:p>
        </w:tc>
        <w:tc>
          <w:tcPr>
            <w:tcW w:w="307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i/>
                <w:sz w:val="24"/>
              </w:rPr>
            </w:pPr>
            <w:r>
              <w:rPr>
                <w:rFonts w:ascii="Times New Roman;Times;serif" w:hAnsi="Times New Roman;Times;serif"/>
                <w:i/>
                <w:sz w:val="24"/>
              </w:rPr>
              <w:t>/s/ James Mark Borseth</w:t>
            </w:r>
          </w:p>
        </w:tc>
      </w:tr>
      <w:tr>
        <w:trPr/>
        <w:tc>
          <w:tcPr>
            <w:tcW w:w="1906" w:type="dxa"/>
            <w:tcBorders/>
            <w:vAlign w:val="center"/>
          </w:tcPr>
          <w:p>
            <w:pPr>
              <w:pStyle w:val="TableContents"/>
              <w:bidi w:val="0"/>
              <w:spacing w:before="0" w:after="0"/>
              <w:ind w:left="0" w:right="0" w:hanging="0"/>
              <w:jc w:val="left"/>
              <w:rPr/>
            </w:pPr>
            <w:r>
              <w:rPr/>
              <w:t> </w:t>
            </w:r>
          </w:p>
        </w:tc>
        <w:tc>
          <w:tcPr>
            <w:tcW w:w="307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James Mark Borseth</w:t>
            </w:r>
          </w:p>
        </w:tc>
      </w:tr>
      <w:tr>
        <w:trPr/>
        <w:tc>
          <w:tcPr>
            <w:tcW w:w="1906" w:type="dxa"/>
            <w:tcBorders/>
            <w:vAlign w:val="center"/>
          </w:tcPr>
          <w:p>
            <w:pPr>
              <w:pStyle w:val="TableContents"/>
              <w:bidi w:val="0"/>
              <w:spacing w:before="0" w:after="0"/>
              <w:ind w:left="0" w:right="0" w:hanging="0"/>
              <w:jc w:val="left"/>
              <w:rPr/>
            </w:pPr>
            <w:r>
              <w:rPr/>
              <w:t> </w:t>
            </w:r>
          </w:p>
        </w:tc>
        <w:tc>
          <w:tcPr>
            <w:tcW w:w="307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Interim Chief Financial Officer</w:t>
            </w:r>
          </w:p>
        </w:tc>
      </w:tr>
      <w:tr>
        <w:trPr/>
        <w:tc>
          <w:tcPr>
            <w:tcW w:w="1906" w:type="dxa"/>
            <w:tcBorders/>
            <w:vAlign w:val="center"/>
          </w:tcPr>
          <w:p>
            <w:pPr>
              <w:pStyle w:val="TableContents"/>
              <w:bidi w:val="0"/>
              <w:spacing w:before="0" w:after="0"/>
              <w:ind w:left="0" w:right="0" w:hanging="0"/>
              <w:jc w:val="left"/>
              <w:rPr/>
            </w:pPr>
            <w:r>
              <w:rPr/>
              <w:t> </w:t>
            </w:r>
          </w:p>
        </w:tc>
        <w:tc>
          <w:tcPr>
            <w:tcW w:w="307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Latham Group, Inc.</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3197/000110465923083596/tm2321859d1_ex10-1.htm" TargetMode="External"/><Relationship Id="rId3" Type="http://schemas.openxmlformats.org/officeDocument/2006/relationships/hyperlink" Target="https://www.sec.gov/Archives/edgar/data/1833197/000110465923083596/tm2321859d1_ex10-2.htm" TargetMode="External"/><Relationship Id="rId4" Type="http://schemas.openxmlformats.org/officeDocument/2006/relationships/hyperlink" Target="https://www.sec.gov/Archives/edgar/data/1833197/000110465923083596/tm2321859d1_ex10-3.htm" TargetMode="External"/><Relationship Id="rId5" Type="http://schemas.openxmlformats.org/officeDocument/2006/relationships/hyperlink" Target="https://www.sec.gov/Archives/edgar/data/1833197/000110465923083596/tm2321859d1_ex10-4.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20437</Words>
  <Characters>112485</Characters>
  <CharactersWithSpaces>134517</CharactersWithSpaces>
  <Paragraphs>6022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