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20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April 30, 2026</w:t>
      </w:r>
    </w:p>
    <w:tbl>
      <w:tblPr>
        <w:tblW w:w="6670" w:type="dxa"/>
        <w:jc w:val="left"/>
        <w:tblInd w:w="0" w:type="dxa"/>
        <w:tblLayout w:type="fixed"/>
        <w:tblCellMar>
          <w:top w:w="28" w:type="dxa"/>
          <w:left w:w="28" w:type="dxa"/>
          <w:bottom w:w="28" w:type="dxa"/>
          <w:right w:w="28" w:type="dxa"/>
        </w:tblCellMar>
      </w:tblPr>
      <w:tblGrid>
        <w:gridCol w:w="1328"/>
        <w:gridCol w:w="1173"/>
        <w:gridCol w:w="1173"/>
        <w:gridCol w:w="449"/>
        <w:gridCol w:w="449"/>
        <w:gridCol w:w="449"/>
        <w:gridCol w:w="482"/>
        <w:gridCol w:w="482"/>
        <w:gridCol w:w="685"/>
      </w:tblGrid>
      <w:tr>
        <w:trPr/>
        <w:tc>
          <w:tcPr>
            <w:tcW w:w="132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66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8"/>
              </w:rPr>
            </w:pPr>
            <w:r>
              <w:rPr>
                <w:rFonts w:ascii="Times New Roman;serif" w:hAnsi="Times New Roman;serif"/>
                <w:b/>
                <w:color w:val="000000"/>
                <w:sz w:val="28"/>
              </w:rPr>
              <w:t>Latham Group, Inc.</w:t>
            </w:r>
          </w:p>
        </w:tc>
      </w:tr>
      <w:tr>
        <w:trPr/>
        <w:tc>
          <w:tcPr>
            <w:tcW w:w="6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3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001-40358</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83-2797583</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022" w:type="dxa"/>
        <w:jc w:val="left"/>
        <w:tblInd w:w="0" w:type="dxa"/>
        <w:tblLayout w:type="fixed"/>
        <w:tblCellMar>
          <w:top w:w="28" w:type="dxa"/>
          <w:left w:w="28" w:type="dxa"/>
          <w:bottom w:w="28" w:type="dxa"/>
          <w:right w:w="28" w:type="dxa"/>
        </w:tblCellMar>
      </w:tblPr>
      <w:tblGrid>
        <w:gridCol w:w="1325"/>
        <w:gridCol w:w="1166"/>
        <w:gridCol w:w="1169"/>
        <w:gridCol w:w="109"/>
        <w:gridCol w:w="109"/>
        <w:gridCol w:w="109"/>
        <w:gridCol w:w="303"/>
        <w:gridCol w:w="303"/>
        <w:gridCol w:w="429"/>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787 Watervliet Shaker Road, Latham,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12110</w:t>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024" w:type="dxa"/>
        <w:jc w:val="left"/>
        <w:tblInd w:w="0" w:type="dxa"/>
        <w:tblLayout w:type="fixed"/>
        <w:tblCellMar>
          <w:top w:w="28" w:type="dxa"/>
          <w:left w:w="28" w:type="dxa"/>
          <w:bottom w:w="28" w:type="dxa"/>
          <w:right w:w="28" w:type="dxa"/>
        </w:tblCellMar>
      </w:tblPr>
      <w:tblGrid>
        <w:gridCol w:w="875"/>
        <w:gridCol w:w="766"/>
        <w:gridCol w:w="766"/>
        <w:gridCol w:w="766"/>
        <w:gridCol w:w="766"/>
        <w:gridCol w:w="1085"/>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(800) 833-3800</w:t>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200"/>
        <w:ind w:left="0" w:right="0" w:hanging="4"/>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17" w:type="dxa"/>
        <w:jc w:val="left"/>
        <w:tblInd w:w="0" w:type="dxa"/>
        <w:tblLayout w:type="fixed"/>
        <w:tblCellMar>
          <w:top w:w="28" w:type="dxa"/>
          <w:left w:w="28" w:type="dxa"/>
          <w:bottom w:w="28" w:type="dxa"/>
          <w:right w:w="28" w:type="dxa"/>
        </w:tblCellMar>
      </w:tblPr>
      <w:tblGrid>
        <w:gridCol w:w="1390"/>
        <w:gridCol w:w="1217"/>
        <w:gridCol w:w="1232"/>
        <w:gridCol w:w="109"/>
        <w:gridCol w:w="109"/>
        <w:gridCol w:w="109"/>
        <w:gridCol w:w="539"/>
        <w:gridCol w:w="539"/>
        <w:gridCol w:w="541"/>
        <w:gridCol w:w="109"/>
        <w:gridCol w:w="109"/>
        <w:gridCol w:w="109"/>
        <w:gridCol w:w="1085"/>
        <w:gridCol w:w="1085"/>
        <w:gridCol w:w="1535"/>
      </w:tblGrid>
      <w:tr>
        <w:trPr/>
        <w:tc>
          <w:tcPr>
            <w:tcW w:w="139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SWIM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350"/>
        <w:jc w:val="left"/>
        <w:rPr/>
      </w:pPr>
      <w:r>
        <w:rPr/>
      </w:r>
    </w:p>
    <w:p>
      <w:pPr>
        <w:pStyle w:val="TextBody"/>
        <w:bidi w:val="0"/>
        <w:spacing w:lineRule="auto" w:line="268" w:before="0" w:after="0"/>
        <w:ind w:left="0" w:right="0" w:hanging="135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5, 2026, Latham Group, Inc. (the “Company”) issued a press release announcing its financial results for the fiscal first quarter ended March 28, 2026. A copy of the Company’s press release is attached hereto as Exhibit 99 and is incorporated herein by reference.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with this Item 2.02 (including Exhibit 99 referenced under Item 9.01 below) of this Current Report on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135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hanging="135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Amendment to Latham Group, Inc. 2021 Omnibus Equity Incentive Plan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30, 2026, at the 2026 annual meeting of stockholders (the “Annual Meeting”) of the Company, the stockholders approved the second amendment (the “Second Amendment”) to the Latham Group, Inc. 2021 Omnibus Equity Incentive Plan, as amended on May 2, 2023 (the “2021 Omnibus Equity Incentive Plan”), which was previously approved by the Board of Directors of the Company. The Second Amendment became effective upon stockholder approval, and provides for an increase of 3,400,000 shares of the share pool, i.e. the maximum number of shares of the Company’s common stock that may be issued pursuant to awards granted under the 2021 Omnibus Equity Incentive Plan.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amended by the Second Amendment, the other terms of the 2021 Omnibus Equity Incentive Plan remain in full force and effect. A description of the terms of the Second Amendment and 2021 Omnibus Equity Incentive Plan is included in “Proposal Three: Amendment to the 2021 Omnibus Equity Incentive Plan” in the Company’s definitive proxy statement for the Annual Meeting filed with the Securities and Exchange Commission on March 20, 2026, which description is incorporated herein by reference. Such description is a summary only and is qualified in its entirety by reference to the full text of the Second Amendment and 2021 Omnibus Equity Incentive Plan included in such definitive proxy statement. The Second Amendment is attached hereto as Exhibit 10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Annual Meeting was held on April 30, 2026. At the Annual Meeting, the stockholders: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Elected the three Class II director nominees, with each director to hold office until the 2029 annual meeting of stockholders and until such director’s successor is duly elected and qualified, or until such director’s earlier resignation, retirement or other termination of service;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Ratified the appointment of Deloitte &amp; Touche LLP as the Company’s independent registered public accounting firm for the year ending December 31, 2026; and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Approved the Second Amendment.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 forth below are the final voting results for each matter presented to stockholders at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1: Election of Class II Directors</w:t>
      </w:r>
    </w:p>
    <w:p>
      <w:pPr>
        <w:pStyle w:val="TextBody"/>
        <w:bidi w:val="0"/>
        <w:spacing w:before="0" w:after="0"/>
        <w:jc w:val="left"/>
        <w:rPr/>
      </w:pPr>
      <w:r>
        <w:rPr/>
      </w:r>
    </w:p>
    <w:tbl>
      <w:tblPr>
        <w:tblW w:w="6593" w:type="dxa"/>
        <w:jc w:val="left"/>
        <w:tblInd w:w="0" w:type="dxa"/>
        <w:tblLayout w:type="fixed"/>
        <w:tblCellMar>
          <w:top w:w="28" w:type="dxa"/>
          <w:left w:w="28" w:type="dxa"/>
          <w:bottom w:w="28" w:type="dxa"/>
          <w:right w:w="28" w:type="dxa"/>
        </w:tblCellMar>
      </w:tblPr>
      <w:tblGrid>
        <w:gridCol w:w="671"/>
        <w:gridCol w:w="591"/>
        <w:gridCol w:w="598"/>
        <w:gridCol w:w="109"/>
        <w:gridCol w:w="109"/>
        <w:gridCol w:w="109"/>
        <w:gridCol w:w="344"/>
        <w:gridCol w:w="344"/>
        <w:gridCol w:w="348"/>
        <w:gridCol w:w="109"/>
        <w:gridCol w:w="109"/>
        <w:gridCol w:w="109"/>
        <w:gridCol w:w="344"/>
        <w:gridCol w:w="344"/>
        <w:gridCol w:w="348"/>
        <w:gridCol w:w="109"/>
        <w:gridCol w:w="109"/>
        <w:gridCol w:w="109"/>
        <w:gridCol w:w="492"/>
        <w:gridCol w:w="492"/>
        <w:gridCol w:w="696"/>
      </w:tblGrid>
      <w:tr>
        <w:trPr/>
        <w:tc>
          <w:tcPr>
            <w:tcW w:w="6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86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Frank J. Dellaquila</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87,109,803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13,372,850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5,444,450</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Sean Gadd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94,788,642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5,694,011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5,444,450</w:t>
            </w:r>
          </w:p>
        </w:tc>
      </w:tr>
      <w:tr>
        <w:trPr/>
        <w:tc>
          <w:tcPr>
            <w:tcW w:w="186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M. Pruellage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82,179,598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18,303,055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5,444,450</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Proposal 2: Ratification of Appointment of Independent Registered Public Accounting Firm</w:t>
      </w:r>
    </w:p>
    <w:p>
      <w:pPr>
        <w:pStyle w:val="TextBody"/>
        <w:bidi w:val="0"/>
        <w:spacing w:before="0" w:after="0"/>
        <w:jc w:val="left"/>
        <w:rPr/>
      </w:pPr>
      <w:r>
        <w:rPr/>
      </w:r>
    </w:p>
    <w:tbl>
      <w:tblPr>
        <w:tblW w:w="3537"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33"/>
        <w:gridCol w:w="233"/>
        <w:gridCol w:w="330"/>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15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101,232,411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4,673,417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21,275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Proposal 3: Approval of Amendment to the Latham Group, Inc. 2021 Omnibus Equity Incentive Plan</w:t>
      </w:r>
    </w:p>
    <w:p>
      <w:pPr>
        <w:pStyle w:val="TextBody"/>
        <w:bidi w:val="0"/>
        <w:spacing w:before="0" w:after="0"/>
        <w:jc w:val="left"/>
        <w:rPr/>
      </w:pPr>
      <w:r>
        <w:rPr/>
      </w:r>
    </w:p>
    <w:tbl>
      <w:tblPr>
        <w:tblW w:w="5424"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95,094,524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5,050,442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337,687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5,444,450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63"/>
        <w:gridCol w:w="2663"/>
        <w:gridCol w:w="380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htm">
              <w:r>
                <w:rPr>
                  <w:rStyle w:val="InternetLink"/>
                  <w:rFonts w:ascii="Times New Roman;serif" w:hAnsi="Times New Roman;serif"/>
                  <w:b w:val="false"/>
                  <w:color w:val="0000FF"/>
                  <w:sz w:val="20"/>
                  <w:u w:val="single"/>
                </w:rPr>
                <w:t xml:space="preserve">Second Amendment to the Latham Group, Inc. 2021 Omnibus Equity Incentive Plan </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htm">
              <w:r>
                <w:rPr>
                  <w:rStyle w:val="InternetLink"/>
                  <w:rFonts w:ascii="Times New Roman;serif" w:hAnsi="Times New Roman;serif"/>
                  <w:b w:val="false"/>
                  <w:color w:val="0000FF"/>
                  <w:sz w:val="20"/>
                  <w:u w:val="single"/>
                </w:rPr>
                <w:t>Press release of Latham Group, Inc., dated May 5, 2026, reporting financial results for the fiscal first quarter ended March 28,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bl>
    <w:p>
      <w:pPr>
        <w:pStyle w:val="TextBody"/>
        <w:bidi w:val="0"/>
        <w:spacing w:lineRule="auto" w:line="268" w:before="0" w:after="0"/>
        <w:jc w:val="left"/>
        <w:rPr/>
      </w:pPr>
      <w:r>
        <w:rPr>
          <w:rFonts w:ascii="Times New Roman;serif" w:hAnsi="Times New Roman;serif"/>
          <w:b w:val="false"/>
          <w:color w:val="000000"/>
          <w:sz w:val="24"/>
        </w:rPr>
        <w:t xml:space="preserve">* </w:t>
      </w:r>
      <w:r>
        <w:rPr>
          <w:rFonts w:ascii="Times New Roman;serif" w:hAnsi="Times New Roman;serif"/>
          <w:b w:val="false"/>
          <w:color w:val="000000"/>
          <w:sz w:val="16"/>
        </w:rPr>
        <w:t xml:space="preserve">Filed herewith. </w:t>
      </w:r>
      <w:r>
        <w:rPr>
          <w:rFonts w:ascii="Times New Roman;serif" w:hAnsi="Times New Roman;serif"/>
          <w:b w:val="false"/>
          <w:color w:val="000000"/>
          <w:sz w:val="16"/>
          <w:shd w:fill="FFFFFF" w:val="clear"/>
        </w:rPr>
        <w:t>Indicates management contract or compensatory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88" w:type="dxa"/>
        <w:jc w:val="left"/>
        <w:tblInd w:w="0" w:type="dxa"/>
        <w:tblLayout w:type="fixed"/>
        <w:tblCellMar>
          <w:top w:w="28" w:type="dxa"/>
          <w:left w:w="28" w:type="dxa"/>
          <w:bottom w:w="28" w:type="dxa"/>
          <w:right w:w="28" w:type="dxa"/>
        </w:tblCellMar>
      </w:tblPr>
      <w:tblGrid>
        <w:gridCol w:w="591"/>
        <w:gridCol w:w="520"/>
        <w:gridCol w:w="523"/>
        <w:gridCol w:w="348"/>
        <w:gridCol w:w="348"/>
        <w:gridCol w:w="348"/>
        <w:gridCol w:w="939"/>
        <w:gridCol w:w="939"/>
        <w:gridCol w:w="13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425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LATHAM GROUP,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Sean Gadd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Sean Gadd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right"/>
        <w:rPr>
          <w:rFonts w:ascii="Arial;sans-serif" w:hAnsi="Arial;sans-serif"/>
          <w:b/>
          <w:color w:val="000000"/>
          <w:sz w:val="20"/>
        </w:rPr>
      </w:pPr>
      <w:r>
        <w:rPr>
          <w:rFonts w:ascii="Arial;sans-serif" w:hAnsi="Arial;sans-serif"/>
          <w:b/>
          <w:color w:val="000000"/>
          <w:sz w:val="20"/>
        </w:rPr>
        <w:t>Exhibit 10</w:t>
      </w:r>
    </w:p>
    <w:p>
      <w:pPr>
        <w:pStyle w:val="TextBody"/>
        <w:bidi w:val="0"/>
        <w:spacing w:lineRule="auto" w:line="240" w:before="0" w:after="360"/>
        <w:jc w:val="center"/>
        <w:rPr>
          <w:rFonts w:ascii="Arial;sans-serif" w:hAnsi="Arial;sans-serif"/>
          <w:b/>
          <w:color w:val="000000"/>
          <w:sz w:val="20"/>
        </w:rPr>
      </w:pPr>
      <w:r>
        <w:rPr>
          <w:rFonts w:ascii="Arial;sans-serif" w:hAnsi="Arial;sans-serif"/>
          <w:b/>
          <w:color w:val="000000"/>
          <w:sz w:val="20"/>
        </w:rPr>
        <w:t>Latham Group, Inc.</w:t>
        <w:br/>
        <w:t xml:space="preserve">Second Amendment To </w:t>
        <w:br/>
        <w:t>2021 Omnibus Equity Incentive Plan</w:t>
      </w:r>
    </w:p>
    <w:p>
      <w:pPr>
        <w:pStyle w:val="TextBody"/>
        <w:bidi w:val="0"/>
        <w:spacing w:lineRule="auto" w:line="240" w:before="0" w:after="0"/>
        <w:jc w:val="both"/>
        <w:rPr/>
      </w:pPr>
      <w:r>
        <w:rPr>
          <w:rFonts w:ascii="Arial;sans-serif" w:hAnsi="Arial;sans-serif"/>
          <w:b w:val="false"/>
          <w:color w:val="000000"/>
          <w:sz w:val="20"/>
        </w:rPr>
        <w:t xml:space="preserve">The Latham Group, Inc. 2021 Omnibus Incentive Plan (as amended from time to time, the </w:t>
      </w:r>
      <w:r>
        <w:rPr>
          <w:color w:val="000000"/>
        </w:rPr>
        <w:t>“</w:t>
      </w:r>
      <w:r>
        <w:rPr>
          <w:rFonts w:ascii="Arial;sans-serif" w:hAnsi="Arial;sans-serif"/>
          <w:b/>
          <w:i/>
          <w:color w:val="000000"/>
          <w:sz w:val="20"/>
        </w:rPr>
        <w:t>Plan”</w:t>
      </w:r>
      <w:r>
        <w:rPr>
          <w:rFonts w:ascii="Arial;sans-serif" w:hAnsi="Arial;sans-serif"/>
          <w:b w:val="false"/>
          <w:color w:val="000000"/>
          <w:sz w:val="20"/>
        </w:rPr>
        <w:t xml:space="preserve">), effective April 22, 2021, of Latham Group, Inc., a Delaware corporation (including any successor thereto, the </w:t>
      </w:r>
      <w:r>
        <w:rPr>
          <w:color w:val="000000"/>
        </w:rPr>
        <w:t>“</w:t>
      </w:r>
      <w:r>
        <w:rPr>
          <w:rFonts w:ascii="Arial;sans-serif" w:hAnsi="Arial;sans-serif"/>
          <w:b/>
          <w:i/>
          <w:color w:val="000000"/>
          <w:sz w:val="20"/>
        </w:rPr>
        <w:t>Company”</w:t>
      </w:r>
      <w:r>
        <w:rPr>
          <w:rFonts w:ascii="Arial;sans-serif" w:hAnsi="Arial;sans-serif"/>
          <w:b w:val="false"/>
          <w:color w:val="000000"/>
          <w:sz w:val="20"/>
        </w:rPr>
        <w:t xml:space="preserve">) and its Affiliates is hereby amended by this Second Amendment (the </w:t>
      </w:r>
      <w:r>
        <w:rPr>
          <w:color w:val="000000"/>
        </w:rPr>
        <w:t>“</w:t>
      </w:r>
      <w:r>
        <w:rPr>
          <w:rFonts w:ascii="Arial;sans-serif" w:hAnsi="Arial;sans-serif"/>
          <w:b/>
          <w:i/>
          <w:color w:val="000000"/>
          <w:sz w:val="20"/>
        </w:rPr>
        <w:t>Second Amendment”</w:t>
      </w:r>
      <w:r>
        <w:rPr>
          <w:rFonts w:ascii="Arial;sans-serif" w:hAnsi="Arial;sans-serif"/>
          <w:b w:val="false"/>
          <w:color w:val="000000"/>
          <w:sz w:val="20"/>
        </w:rPr>
        <w:t xml:space="preserve">) as set forth below. The Second Amendment shall be effective from and after the date this Second Amendment is approved by the stockholders of the Company in accordance with Section 13(a) of the Plan. Following such effective date, any reference to the “Plan” shall mean the Plan, as amended by the First Amendment to the Plan and this Second Amendment. </w:t>
      </w:r>
      <w:r>
        <w:rPr>
          <w:rFonts w:ascii="Arial;sans-serif" w:hAnsi="Arial;sans-serif"/>
          <w:b w:val="false"/>
          <w:color w:val="000000"/>
          <w:sz w:val="20"/>
          <w:shd w:fill="FFFFFF" w:val="clear"/>
        </w:rPr>
        <w:t>All capitalized terms used but not otherwise defined herein shall have the respective meanings ascribed to such terms in the Plan.</w:t>
      </w:r>
    </w:p>
    <w:p>
      <w:pPr>
        <w:pStyle w:val="TextBody"/>
        <w:bidi w:val="0"/>
        <w:spacing w:before="0" w:after="0"/>
        <w:jc w:val="left"/>
        <w:rPr/>
      </w:pPr>
      <w:r>
        <w:rPr/>
      </w:r>
    </w:p>
    <w:p>
      <w:pPr>
        <w:pStyle w:val="TextBody"/>
        <w:bidi w:val="0"/>
        <w:spacing w:lineRule="auto" w:line="240" w:before="0" w:after="240"/>
        <w:jc w:val="both"/>
        <w:rPr/>
      </w:pPr>
      <w:r>
        <w:rPr>
          <w:rFonts w:ascii="Arial;sans-serif" w:hAnsi="Arial;sans-serif"/>
          <w:b w:val="false"/>
          <w:color w:val="000000"/>
          <w:sz w:val="20"/>
        </w:rPr>
        <w:t>1.</w:t>
      </w:r>
      <w:r>
        <w:rPr>
          <w:rFonts w:ascii="Arial;sans-serif" w:hAnsi="Arial;sans-serif"/>
          <w:b w:val="false"/>
          <w:color w:val="000000"/>
          <w:sz w:val="20"/>
          <w:u w:val="single"/>
        </w:rPr>
        <w:t>Section 5(b)</w:t>
      </w:r>
      <w:r>
        <w:rPr>
          <w:color w:val="000000"/>
        </w:rPr>
        <w:t xml:space="preserve"> </w:t>
      </w:r>
      <w:r>
        <w:rPr>
          <w:rFonts w:ascii="Arial;sans-serif" w:hAnsi="Arial;sans-serif"/>
          <w:b w:val="false"/>
          <w:color w:val="000000"/>
          <w:sz w:val="20"/>
        </w:rPr>
        <w:t>of the Plan is hereby deleted and replaced in its entirety with the following:</w:t>
      </w:r>
    </w:p>
    <w:p>
      <w:pPr>
        <w:pStyle w:val="TextBody"/>
        <w:bidi w:val="0"/>
        <w:spacing w:lineRule="auto" w:line="240"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u w:val="single"/>
        </w:rPr>
        <w:t>Share Limits</w:t>
      </w:r>
      <w:r>
        <w:rPr>
          <w:rFonts w:ascii="Arial;sans-serif" w:hAnsi="Arial;sans-serif"/>
          <w:b w:val="false"/>
          <w:color w:val="000000"/>
          <w:sz w:val="20"/>
        </w:rPr>
        <w:t>. Subject to Section 11 of the Plan and subsection (e) below, the following limitations apply to the grant of Awards: (i) no more than 24,570,212 shares of Common Stock may be reserved for issuance and delivered in the aggregate pursuant to Awards granted under the Plan (the “</w:t>
      </w:r>
      <w:r>
        <w:rPr>
          <w:rFonts w:ascii="Arial;sans-serif" w:hAnsi="Arial;sans-serif"/>
          <w:b/>
          <w:i/>
          <w:color w:val="000000"/>
          <w:sz w:val="20"/>
        </w:rPr>
        <w:t>Share Pool</w:t>
      </w:r>
      <w:r>
        <w:rPr>
          <w:color w:val="000000"/>
        </w:rPr>
        <w:t>”</w:t>
      </w:r>
      <w:r>
        <w:rPr>
          <w:rFonts w:ascii="Arial;sans-serif" w:hAnsi="Arial;sans-serif"/>
          <w:b w:val="false"/>
          <w:color w:val="000000"/>
          <w:sz w:val="20"/>
        </w:rPr>
        <w:t xml:space="preserve">); (ii) no more than 4,830,086 shares of Common Stock may be delivered pursuant to the exercise of Incentive Stock Options granted under the Plan; and (iii) the maximum amount (based on the Fair Market Value of shares of Common Stock on the date of grant as determined in accordance with applicable financial accounting rules) of Awards that may be granted in any single fiscal year to any non-employee member of the Board, taken together with any cash fees paid to such non-employee member of the Board in respect of service as a member of the Board during such fiscal year, shall be $750,000; </w:t>
      </w:r>
      <w:r>
        <w:rPr>
          <w:rFonts w:ascii="Arial;sans-serif" w:hAnsi="Arial;sans-serif"/>
          <w:b w:val="false"/>
          <w:color w:val="000000"/>
          <w:sz w:val="20"/>
          <w:u w:val="single"/>
        </w:rPr>
        <w:t>provided</w:t>
      </w:r>
      <w:r>
        <w:rPr>
          <w:rFonts w:ascii="Arial;sans-serif" w:hAnsi="Arial;sans-serif"/>
          <w:b w:val="false"/>
          <w:color w:val="000000"/>
          <w:sz w:val="20"/>
        </w:rPr>
        <w:t>, that the foregoing limitation shall not apply in respect of any Awards issued to (x) a non-employee director in connection with the Company’s initial public offering of shares of Common Stock, or in respect of any one-time equity grant upon his or her appointment to the Board or (y) a non-executive chairman of the Board, provided, that the non-employee director receiving such additional compensation does not participate in the decision to award such compensation.</w:t>
      </w:r>
    </w:p>
    <w:p>
      <w:pPr>
        <w:pStyle w:val="TextBody"/>
        <w:bidi w:val="0"/>
        <w:spacing w:lineRule="auto" w:line="240" w:before="0" w:after="240"/>
        <w:jc w:val="both"/>
        <w:rPr/>
      </w:pPr>
      <w:r>
        <w:rPr>
          <w:rFonts w:ascii="Arial;sans-serif" w:hAnsi="Arial;sans-serif"/>
          <w:b w:val="false"/>
          <w:color w:val="000000"/>
          <w:sz w:val="20"/>
        </w:rPr>
        <w:t>2.</w:t>
      </w:r>
      <w:r>
        <w:rPr>
          <w:rFonts w:ascii="Arial;sans-serif" w:hAnsi="Arial;sans-serif"/>
          <w:b w:val="false"/>
          <w:color w:val="000000"/>
          <w:sz w:val="20"/>
        </w:rPr>
        <w:t xml:space="preserve">This Second Amendment shall be and is hereby incorporated into and forms a part of the Plan. Except as expressly provided herein, all terms and conditions of the Plan shall remain in full force and effect.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before="0" w:after="0"/>
        <w:jc w:val="center"/>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adopted by the Board of Directors of the Company on February 26, 2026.</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approved by the stockholders of the Company on April 30, 2026.</w:t>
      </w:r>
    </w:p>
    <w:p>
      <w:pPr>
        <w:pStyle w:val="TextBody"/>
        <w:bidi w:val="0"/>
        <w:spacing w:before="2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371600" cy="5143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360"/>
        <w:jc w:val="right"/>
        <w:rPr>
          <w:rFonts w:ascii="Arial;sans-serif" w:hAnsi="Arial;sans-serif"/>
          <w:b/>
          <w:color w:val="000000"/>
          <w:sz w:val="20"/>
        </w:rPr>
      </w:pPr>
      <w:r>
        <w:rPr>
          <w:rFonts w:ascii="Arial;sans-serif" w:hAnsi="Arial;sans-serif"/>
          <w:b/>
          <w:color w:val="000000"/>
          <w:sz w:val="20"/>
        </w:rPr>
        <w:t>Exhibit 99</w:t>
      </w:r>
    </w:p>
    <w:p>
      <w:pPr>
        <w:pStyle w:val="TextBody"/>
        <w:bidi w:val="0"/>
        <w:spacing w:lineRule="auto" w:line="256" w:before="0" w:after="0"/>
        <w:jc w:val="center"/>
        <w:rPr>
          <w:rFonts w:ascii="Times New Roman;serif" w:hAnsi="Times New Roman;serif"/>
          <w:b/>
          <w:color w:val="000000"/>
          <w:sz w:val="28"/>
        </w:rPr>
      </w:pPr>
      <w:r>
        <w:rPr>
          <w:rFonts w:ascii="Times New Roman;serif" w:hAnsi="Times New Roman;serif"/>
          <w:b/>
          <w:color w:val="000000"/>
          <w:sz w:val="28"/>
        </w:rPr>
        <w:t>Latham Group, Inc. Reports First Quarter 2026 Financial Results</w:t>
      </w:r>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 xml:space="preserve">Year-Over-Year Sales Growth Achieved Across All Three Product Lines; Positive Sales Trends Continued in April </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 xml:space="preserve">Sand State Strategy on Track with Double-Digit Sales Growth in Florida </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Gross Margin Expanded by 220 Basis Points Benefiting from Volume Leverage, Lean Manufacturing and Value Engineering Efficiencies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Reaffirms Full Year Guidance for 9.0% Net Sales Growth and 12.7% Adjusted EBITDA Growth at the Midpoints</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 xml:space="preserve">First Quarter 2026 Financial Highlights: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Net sales of $117.3 million, up 5.3%</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Net loss of $8.5 million / Net loss per diluted share of $0.07</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Adjusted EBITDA of $12.2 million / 10.4% of net sales</w:t>
      </w:r>
    </w:p>
    <w:p>
      <w:pPr>
        <w:pStyle w:val="TextBody"/>
        <w:bidi w:val="0"/>
        <w:spacing w:before="0" w:after="120"/>
        <w:jc w:val="left"/>
        <w:rPr/>
      </w:pPr>
      <w:r>
        <w:rPr/>
      </w:r>
    </w:p>
    <w:p>
      <w:pPr>
        <w:pStyle w:val="TextBody"/>
        <w:bidi w:val="0"/>
        <w:spacing w:lineRule="auto" w:line="288" w:before="0" w:after="160"/>
        <w:jc w:val="left"/>
        <w:rPr/>
      </w:pPr>
      <w:r>
        <w:rPr>
          <w:rFonts w:ascii="Times New Roman;serif" w:hAnsi="Times New Roman;serif"/>
          <w:b w:val="false"/>
          <w:color w:val="000000"/>
          <w:sz w:val="24"/>
        </w:rPr>
        <w:t>LATHAM, N.Y. – May 5, 2026</w:t>
      </w:r>
      <w:r>
        <w:rPr>
          <w:color w:val="000000"/>
        </w:rPr>
        <w:t xml:space="preserve"> – </w:t>
      </w:r>
      <w:r>
        <w:rPr>
          <w:rFonts w:ascii="Times New Roman;serif" w:hAnsi="Times New Roman;serif"/>
          <w:b w:val="false"/>
          <w:color w:val="000000"/>
          <w:sz w:val="24"/>
        </w:rPr>
        <w:t xml:space="preserve">Latham Group, Inc. (Nasdaq: SWIM), the largest designer, manufacturer, and marketer of in-ground residential swimming pools in North America, Australia, and New Zealand, today announced financial results for the first quarter 2026 ended March 28, 2026.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Commenting on the results, Sean Gadd, President and CEO, said, “We continue to execute effectively on our strategic priorities and achieved sales growth in each of our product lines in the first quarter. Sales growth was led by gains in autocovers and liners and the benefits of the Freedom Pools acquisition, while adverse weather conditions in North America kept organic in-ground pool sales steady year-over-year. Adjusted EBITDA growth outpaced sales growth by a considerable margin, demonstrating Latham’s substantial operating leverage and cost discipline, which more than offset the impact of higher investments in growth initiatives. </w:t>
      </w:r>
    </w:p>
    <w:p>
      <w:pPr>
        <w:pStyle w:val="TextBody"/>
        <w:bidi w:val="0"/>
        <w:spacing w:lineRule="auto" w:line="288" w:before="0" w:after="160"/>
        <w:jc w:val="left"/>
        <w:rPr>
          <w:color w:val="000000"/>
        </w:rPr>
      </w:pPr>
      <w:r>
        <w:rPr>
          <w:color w:val="000000"/>
        </w:rPr>
        <w:t>“</w:t>
      </w:r>
      <w:r>
        <w:rPr>
          <w:rFonts w:ascii="Times New Roman;serif" w:hAnsi="Times New Roman;serif"/>
          <w:b w:val="false"/>
          <w:color w:val="000000"/>
          <w:sz w:val="24"/>
        </w:rPr>
        <w:t>We continued to gain traction in Florida – our initial Sand State target market – where Latham’s fiberglass pool sales increased at a double-digit rate in the first quarter. This growth reflected the new dealer sign-ups we executed in 2025 and increased brand and product awareness driven by our advertising and marketing campaign. To accelerate our growth in Florida and the other Sand State markets, we are moving forward with several new initiatives to capture consumer demand and provide additional value to our dealers. They include the build out of our commercial organization, a new market development framework around segmentation by neighborhood, and the addition of sales resources in the field to keep Latham engaged with the consumer throughout the pool purchasing process while linking customers to our dealer network. These initiatives will be supported by a targeted marketing campaign aimed at educating consumers on the benefits of fiberglass and pool ownership.”</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First Quarter 2026 Results Compared to the Prior-Year Period</w:t>
      </w:r>
    </w:p>
    <w:p>
      <w:pPr>
        <w:pStyle w:val="TextBody"/>
        <w:bidi w:val="0"/>
        <w:spacing w:before="0" w:after="0"/>
        <w:jc w:val="center"/>
        <w:rPr/>
      </w:pPr>
      <w:r>
        <w:rPr/>
        <w:drawing>
          <wp:inline distT="0" distB="0" distL="0" distR="0">
            <wp:extent cx="1371600" cy="5143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8"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Net sales increased 5.3% to $117.3 million. The increase in net sales during the quarter was primarily the result of organic growth in covers and liners, the acquisition of Freedom Pools, sales growth in Florida, and the full year benefit of the 2025 price increase partially offset by adverse weather conditions across North America.</w:t>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First Quarter Net Sales by Product Line</w:t>
      </w:r>
    </w:p>
    <w:p>
      <w:pPr>
        <w:pStyle w:val="TextBody"/>
        <w:bidi w:val="0"/>
        <w:spacing w:lineRule="auto" w:line="288" w:before="0" w:after="16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5537" w:type="dxa"/>
        <w:jc w:val="center"/>
        <w:tblInd w:w="0" w:type="dxa"/>
        <w:tblLayout w:type="fixed"/>
        <w:tblCellMar>
          <w:top w:w="28" w:type="dxa"/>
          <w:left w:w="28" w:type="dxa"/>
          <w:bottom w:w="28" w:type="dxa"/>
          <w:right w:w="28" w:type="dxa"/>
        </w:tblCellMar>
      </w:tblPr>
      <w:tblGrid>
        <w:gridCol w:w="897"/>
        <w:gridCol w:w="788"/>
        <w:gridCol w:w="790"/>
        <w:gridCol w:w="240"/>
        <w:gridCol w:w="240"/>
        <w:gridCol w:w="240"/>
        <w:gridCol w:w="277"/>
        <w:gridCol w:w="277"/>
        <w:gridCol w:w="240"/>
        <w:gridCol w:w="231"/>
        <w:gridCol w:w="231"/>
        <w:gridCol w:w="231"/>
        <w:gridCol w:w="264"/>
        <w:gridCol w:w="264"/>
        <w:gridCol w:w="327"/>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Fiscal Quarter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March 28, 2026</w:t>
            </w:r>
          </w:p>
        </w:tc>
        <w:tc>
          <w:tcPr>
            <w:tcW w:w="154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March 29, 2025</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In-Ground Swimming Pools</w:t>
            </w:r>
          </w:p>
        </w:tc>
        <w:tc>
          <w:tcPr>
            <w:tcW w:w="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59,731</w:t>
            </w:r>
          </w:p>
        </w:tc>
        <w:tc>
          <w:tcPr>
            <w:tcW w:w="6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57,734</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Covers</w:t>
            </w:r>
          </w:p>
        </w:tc>
        <w:tc>
          <w:tcPr>
            <w:tcW w:w="7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33,498</w:t>
            </w:r>
          </w:p>
        </w:tc>
        <w:tc>
          <w:tcPr>
            <w:tcW w:w="6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31,611</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Liners</w:t>
            </w:r>
          </w:p>
        </w:tc>
        <w:tc>
          <w:tcPr>
            <w:tcW w:w="7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24,086</w:t>
            </w:r>
          </w:p>
        </w:tc>
        <w:tc>
          <w:tcPr>
            <w:tcW w:w="6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22,075</w:t>
            </w:r>
          </w:p>
        </w:tc>
      </w:tr>
      <w:tr>
        <w:trPr/>
        <w:tc>
          <w:tcPr>
            <w:tcW w:w="247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72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117,315</w:t>
            </w:r>
          </w:p>
        </w:tc>
        <w:tc>
          <w:tcPr>
            <w:tcW w:w="693"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111,420</w:t>
            </w:r>
          </w:p>
        </w:tc>
      </w:tr>
    </w:tbl>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Gross profit increased by 13.0% to $37.2 million. Gross margin expanded by 220 basis points to 31.7%. The increase reflected volume leverage and the benefits of lean manufacturing and value engineering initiatives.</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Selling, general, and administrative expenses (“SG&amp;A”) increased by 19.5% to $36.6 million. The increase in SG&amp;A was primarily due to acquisition and integration related costs, increased sales and marketing investment to accelerate the fiberglass conversion strategy in the Sand State markets, and our digital transformation efforts.</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Net loss was $8.5 million, or $0.07 per diluted share, compared to $6.0 million, or $0.05 per diluted share, in the prior-year period. Net loss margin was 7.3% compared to 5.4%.</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Adjusted EBITDA increased by 9.2% to $12.2 million, and adjusted EBITDA margin expanded by 40 basis points to 10.4%.</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Balance Sheet, Cash Flow, and Liquidity</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Latham ended the first quarter of 2026 with cash of $27.5 million. Net cash used in operating activities was $47.7 million, representing seasonal working capital requirements in line with the Company’s expectations.</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Total debt was $311.2 million at the end of the first quarter, and the net debt leverage ratio was 2.8.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Capital expenditures totaled $22.5 million in the first quarter of 2026, which includes $4.9 million related to ongoing projects and $17.6 million related to the purchase of four key fiberglass production sites – this consisted of a $5.6 million payment and a $12.0 million deposit made in 2025 and settled in the first quarter of 2026. This compares to $3.5 million in capital expenditures in the first quarter of 2025. In addition, the Company completed the purchase of Freedom Pools for a purchase price of $17.0 million.</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Summary and Outlook</w:t>
      </w:r>
    </w:p>
    <w:p>
      <w:pPr>
        <w:pStyle w:val="TextBody"/>
        <w:bidi w:val="0"/>
        <w:spacing w:before="0" w:after="0"/>
        <w:jc w:val="center"/>
        <w:rPr/>
      </w:pPr>
      <w:r>
        <w:rPr/>
        <w:drawing>
          <wp:inline distT="0" distB="0" distL="0" distR="0">
            <wp:extent cx="1371600" cy="5143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10"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color w:val="000000"/>
        </w:rPr>
      </w:pPr>
      <w:r>
        <w:rPr>
          <w:color w:val="000000"/>
        </w:rPr>
        <w:t>“</w:t>
      </w:r>
      <w:r>
        <w:rPr>
          <w:rFonts w:ascii="Times New Roman;serif" w:hAnsi="Times New Roman;serif"/>
          <w:b w:val="false"/>
          <w:color w:val="000000"/>
          <w:sz w:val="24"/>
        </w:rPr>
        <w:t>Latham continues to be distinguished in the marketplace by our consistent outperformance compared to new U.S. pool starts. This track record is a result of our category leadership position, the quality of our products, our excellent execution, and the commitment of our people – all of which contribute to both our performance and our resilience.</w:t>
      </w:r>
    </w:p>
    <w:p>
      <w:pPr>
        <w:pStyle w:val="TextBody"/>
        <w:bidi w:val="0"/>
        <w:spacing w:lineRule="auto" w:line="288" w:before="0" w:after="160"/>
        <w:jc w:val="left"/>
        <w:rPr>
          <w:color w:val="000000"/>
        </w:rPr>
      </w:pPr>
      <w:r>
        <w:rPr>
          <w:color w:val="000000"/>
        </w:rPr>
        <w:t>“</w:t>
      </w:r>
      <w:r>
        <w:rPr>
          <w:rFonts w:ascii="Times New Roman;serif" w:hAnsi="Times New Roman;serif"/>
          <w:b w:val="false"/>
          <w:color w:val="000000"/>
          <w:sz w:val="24"/>
        </w:rPr>
        <w:t>We are pleased to reaffirm our guidance, which is contained in the table below and represents year-over-year sales growth of 9.0% and adjusted EBITDA growth of 12.7%, at the midpoints, within a U.S. in-ground pool market that is expected to be approximately flat with 2025 levels,” Mr. Gadd concluded.</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FY 2026 Guidance Ranges </w:t>
      </w:r>
    </w:p>
    <w:tbl>
      <w:tblPr>
        <w:tblW w:w="4303" w:type="dxa"/>
        <w:jc w:val="center"/>
        <w:tblInd w:w="0" w:type="dxa"/>
        <w:tblLayout w:type="fixed"/>
        <w:tblCellMar>
          <w:top w:w="28" w:type="dxa"/>
          <w:left w:w="28" w:type="dxa"/>
          <w:bottom w:w="28" w:type="dxa"/>
          <w:right w:w="28" w:type="dxa"/>
        </w:tblCellMar>
      </w:tblPr>
      <w:tblGrid>
        <w:gridCol w:w="692"/>
        <w:gridCol w:w="611"/>
        <w:gridCol w:w="616"/>
        <w:gridCol w:w="388"/>
        <w:gridCol w:w="388"/>
        <w:gridCol w:w="394"/>
        <w:gridCol w:w="354"/>
        <w:gridCol w:w="354"/>
        <w:gridCol w:w="506"/>
      </w:tblGrid>
      <w:tr>
        <w:trPr/>
        <w:tc>
          <w:tcPr>
            <w:tcW w:w="69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Low</w:t>
            </w:r>
          </w:p>
        </w:tc>
        <w:tc>
          <w:tcPr>
            <w:tcW w:w="12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High</w:t>
            </w:r>
          </w:p>
        </w:tc>
      </w:tr>
      <w:tr>
        <w:trPr/>
        <w:tc>
          <w:tcPr>
            <w:tcW w:w="1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Net Sales</w:t>
            </w:r>
          </w:p>
        </w:tc>
        <w:tc>
          <w:tcPr>
            <w:tcW w:w="1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$580 million</w:t>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$610 million</w:t>
            </w:r>
          </w:p>
        </w:tc>
      </w:tr>
      <w:tr>
        <w:trPr/>
        <w:tc>
          <w:tcPr>
            <w:tcW w:w="1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1</w:t>
            </w:r>
          </w:p>
        </w:tc>
        <w:tc>
          <w:tcPr>
            <w:tcW w:w="1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$105 million</w:t>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$120 million</w:t>
            </w:r>
          </w:p>
        </w:tc>
      </w:tr>
      <w:tr>
        <w:trPr/>
        <w:tc>
          <w:tcPr>
            <w:tcW w:w="1919"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17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$42 million</w:t>
            </w:r>
          </w:p>
        </w:tc>
        <w:tc>
          <w:tcPr>
            <w:tcW w:w="1214"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$48 million</w:t>
            </w:r>
          </w:p>
        </w:tc>
      </w:tr>
    </w:tbl>
    <w:p>
      <w:pPr>
        <w:pStyle w:val="TextBody"/>
        <w:bidi w:val="0"/>
        <w:spacing w:before="0" w:after="0"/>
        <w:jc w:val="left"/>
        <w:rPr/>
      </w:pPr>
      <w:r>
        <w:rPr/>
      </w:r>
    </w:p>
    <w:p>
      <w:pPr>
        <w:pStyle w:val="TextBody"/>
        <w:bidi w:val="0"/>
        <w:spacing w:lineRule="auto" w:line="256" w:before="0" w:after="0"/>
        <w:ind w:left="0" w:right="0" w:hanging="360"/>
        <w:jc w:val="left"/>
        <w:rPr/>
      </w:pPr>
      <w:r>
        <w:rPr>
          <w:rFonts w:ascii="Aptos;sans-serif" w:hAnsi="Aptos;sans-serif"/>
          <w:b w:val="false"/>
          <w:color w:val="000000"/>
          <w:sz w:val="22"/>
        </w:rPr>
        <w:t>1)</w:t>
      </w:r>
      <w:r>
        <w:rPr>
          <w:rFonts w:ascii="Times New Roman;serif" w:hAnsi="Times New Roman;serif"/>
          <w:b w:val="false"/>
          <w:color w:val="000000"/>
          <w:sz w:val="20"/>
        </w:rPr>
        <w:t>A reconciliation of Latham’s projected Adjusted EBITDA to net income (loss) for 2026 is not available without unreasonable effort due to uncertainty related to our future income tax expense (benefit).</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 xml:space="preserve">Conference Call Details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Latham will hold a conference call to discuss its first quarter 2026 financial results today, May 5, 2026, at 4:30 PM Eastern Time. </w:t>
      </w:r>
    </w:p>
    <w:p>
      <w:pPr>
        <w:pStyle w:val="TextBody"/>
        <w:bidi w:val="0"/>
        <w:spacing w:lineRule="auto" w:line="288" w:before="0" w:after="160"/>
        <w:jc w:val="left"/>
        <w:rPr/>
      </w:pPr>
      <w:r>
        <w:rPr>
          <w:rFonts w:ascii="Times New Roman;serif" w:hAnsi="Times New Roman;serif"/>
          <w:b w:val="false"/>
          <w:color w:val="000000"/>
          <w:sz w:val="24"/>
        </w:rPr>
        <w:t>Participants are encouraged to pre-register for the conference call by visiting</w:t>
      </w:r>
      <w:r>
        <w:rPr>
          <w:color w:val="000000"/>
        </w:rPr>
        <w:t xml:space="preserve"> </w:t>
      </w:r>
      <w:r>
        <w:rPr>
          <w:rFonts w:ascii="Times New Roman;serif" w:hAnsi="Times New Roman;serif"/>
          <w:b w:val="false"/>
          <w:color w:val="3051F2"/>
          <w:sz w:val="24"/>
          <w:u w:val="single"/>
        </w:rPr>
        <w:t>https://dpregister.com/sreg/10207783/103af06e389</w:t>
      </w:r>
      <w:r>
        <w:rPr>
          <w:rFonts w:ascii="Times New Roman;serif" w:hAnsi="Times New Roman;serif"/>
          <w:b w:val="false"/>
          <w:color w:val="000000"/>
          <w:sz w:val="24"/>
        </w:rPr>
        <w:t xml:space="preserve">. Callers who pre-register will be sent a confirmation e-mail including a conference passcode and unique PIN to gain immediate access to the call. Participants may pre-register at any time, including up to and after the call start time. To ensure you are connected for the full call, please register at least 10 minutes before the start of the call. </w:t>
      </w:r>
    </w:p>
    <w:p>
      <w:pPr>
        <w:pStyle w:val="TextBody"/>
        <w:bidi w:val="0"/>
        <w:spacing w:lineRule="auto" w:line="288" w:before="0" w:after="160"/>
        <w:jc w:val="left"/>
        <w:rPr/>
      </w:pPr>
      <w:r>
        <w:rPr>
          <w:rFonts w:ascii="Times New Roman;serif" w:hAnsi="Times New Roman;serif"/>
          <w:b w:val="false"/>
          <w:color w:val="000000"/>
          <w:sz w:val="24"/>
        </w:rPr>
        <w:t xml:space="preserve">A live audio webcast of the conference call, along with related presentation materials, will be available online at </w:t>
      </w:r>
      <w:r>
        <w:rPr>
          <w:rFonts w:ascii="Times New Roman;serif" w:hAnsi="Times New Roman;serif"/>
          <w:b w:val="false"/>
          <w:color w:val="3051F2"/>
          <w:sz w:val="24"/>
          <w:u w:val="single"/>
        </w:rPr>
        <w:t>https://ir.lathampool.com/</w:t>
      </w:r>
      <w:r>
        <w:rPr>
          <w:color w:val="000000"/>
        </w:rPr>
        <w:t xml:space="preserve"> </w:t>
      </w:r>
      <w:r>
        <w:rPr>
          <w:rFonts w:ascii="Times New Roman;serif" w:hAnsi="Times New Roman;serif"/>
          <w:b w:val="false"/>
          <w:color w:val="000000"/>
          <w:sz w:val="24"/>
        </w:rPr>
        <w:t xml:space="preserve">under “Events &amp; Presentations”.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Those without internet access or unable to pre-register may dial in by calling: </w:t>
      </w:r>
    </w:p>
    <w:p>
      <w:pPr>
        <w:pStyle w:val="TextBody"/>
        <w:bidi w:val="0"/>
        <w:spacing w:lineRule="auto" w:line="288" w:before="0" w:after="0"/>
        <w:jc w:val="left"/>
        <w:rPr/>
      </w:pPr>
      <w:r>
        <w:rPr>
          <w:rFonts w:ascii="Times New Roman;serif" w:hAnsi="Times New Roman;serif"/>
          <w:b/>
          <w:color w:val="000000"/>
          <w:sz w:val="24"/>
        </w:rPr>
        <w:t xml:space="preserve">PARTICIPANT DIAL IN (TOLL FREE): </w:t>
      </w:r>
      <w:r>
        <w:rPr>
          <w:rFonts w:ascii="Times New Roman;serif" w:hAnsi="Times New Roman;serif"/>
          <w:b w:val="false"/>
          <w:color w:val="000000"/>
          <w:sz w:val="24"/>
        </w:rPr>
        <w:t xml:space="preserve">1-833-953-2435 </w:t>
      </w:r>
    </w:p>
    <w:p>
      <w:pPr>
        <w:pStyle w:val="TextBody"/>
        <w:bidi w:val="0"/>
        <w:spacing w:lineRule="auto" w:line="288" w:before="0" w:after="160"/>
        <w:jc w:val="left"/>
        <w:rPr/>
      </w:pPr>
      <w:r>
        <w:rPr>
          <w:rFonts w:ascii="Times New Roman;serif" w:hAnsi="Times New Roman;serif"/>
          <w:b/>
          <w:color w:val="000000"/>
          <w:sz w:val="24"/>
        </w:rPr>
        <w:t>PARTICIPANT INTERNATIONAL DIAL IN:</w:t>
      </w:r>
      <w:r>
        <w:rPr>
          <w:color w:val="000000"/>
        </w:rPr>
        <w:t xml:space="preserve"> </w:t>
      </w:r>
      <w:r>
        <w:rPr>
          <w:rFonts w:ascii="Times New Roman;serif" w:hAnsi="Times New Roman;serif"/>
          <w:b w:val="false"/>
          <w:color w:val="000000"/>
          <w:sz w:val="24"/>
        </w:rPr>
        <w:t>1-412-317-5764</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An archived webcast will be available approximately two hours after the conclusion of the call, through May 5, 2027, on the Company’s investor relations website under “Events &amp;</w:t>
      </w:r>
    </w:p>
    <w:p>
      <w:pPr>
        <w:pStyle w:val="TextBody"/>
        <w:bidi w:val="0"/>
        <w:spacing w:before="0" w:after="0"/>
        <w:jc w:val="center"/>
        <w:rPr/>
      </w:pPr>
      <w:r>
        <w:rPr/>
        <w:drawing>
          <wp:inline distT="0" distB="0" distL="0" distR="0">
            <wp:extent cx="1371600" cy="5143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12"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Presentations”. A transcript of the event will also be available on the Company’s investor relations website approximately three business days after the call. </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 xml:space="preserve">About Latham Group, Inc.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Latham Group, Inc., headquartered in Latham, NY, is the largest designer, manufacturer, and marketer of in-ground residential swimming pools in North America, Australia, and New Zealand. Latham has a coast-to-coast operations platform consisting of approximately 1,900 employees on average across around 35 locations. </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 xml:space="preserve">Non-GAAP Financial Measures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We track our non-GAAP financial measures to monitor and manage our underlying financial performance. This earnings release includes the presentation of Adjusted EBITDA, Adjusted EBITDA margin, net debt and net debt leverage ratio which are non-GAAP financial measures that exclude the impact of certain costs, losses, and gains that are required to be included under U.S. GAAP. Although we believe these measures are useful to investors and analysts for the same reasons it is useful to management, as discussed below, these measures are neither a substitute for, nor superior to, GAAP financial measures or disclosures. Other companies may calculate similarly-titled non-GAAP measures differently, limiting their usefulness as comparative measures. In addition, our presentation of non-GAAP financial measures should not be construed to imply that our future results will be unaffected by any such adjustments. We have reconciled our historic non-GAAP financial measures to the applicable most comparable GAAP measures in this earnings release. </w:t>
      </w:r>
    </w:p>
    <w:p>
      <w:pPr>
        <w:pStyle w:val="TextBody"/>
        <w:bidi w:val="0"/>
        <w:spacing w:lineRule="auto" w:line="288" w:before="0" w:after="160"/>
        <w:jc w:val="left"/>
        <w:rPr>
          <w:rFonts w:ascii="Times New Roman;serif" w:hAnsi="Times New Roman;serif"/>
          <w:b w:val="false"/>
          <w:i/>
          <w:color w:val="000000"/>
          <w:sz w:val="24"/>
        </w:rPr>
      </w:pPr>
      <w:r>
        <w:rPr>
          <w:rFonts w:ascii="Times New Roman;serif" w:hAnsi="Times New Roman;serif"/>
          <w:b w:val="false"/>
          <w:i/>
          <w:color w:val="000000"/>
          <w:sz w:val="24"/>
        </w:rPr>
        <w:t xml:space="preserve">Adjusted EBITDA and Adjusted EBITDA Margin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(gains) losses on foreign currency transactions, (viii) strategic initiative costs, (ix) acquisition and integration related costs and (x) other.</w:t>
      </w:r>
    </w:p>
    <w:p>
      <w:pPr>
        <w:pStyle w:val="TextBody"/>
        <w:bidi w:val="0"/>
        <w:spacing w:before="0" w:after="0"/>
        <w:jc w:val="center"/>
        <w:rPr/>
      </w:pPr>
      <w:r>
        <w:rPr/>
        <w:drawing>
          <wp:inline distT="0" distB="0" distL="0" distR="0">
            <wp:extent cx="1371600" cy="5143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14"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you to evaluate these adjustments and the reasons we consider them appropriate for supplemental analysis. In evaluating Adjusted EBITDA and Adjusted EBITDA margin, you should be mindful that in the future we may incur expenses that are the same as or similar to some of the adjustments in this earnings release. There can be no assurance that we will not modify the presentation of Adjusted EBITDA and Adjusted EBITDA margin in the future, and any such modification may be material.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Adjusted EBITDA and Adjusted EBITDA margin have their limitations as analytical tools, and should not be considered in isolation or as a substitute for analysis of our results as reported under GAAP. Some of these limitations are that Adjusted EBITDA and Adjusted EBITDA margin: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4"/>
        </w:rPr>
        <w:t xml:space="preserve">do not reflect every expenditure, future requirements for capital expenditures or contractual commitments;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4"/>
        </w:rPr>
        <w:t xml:space="preserve">do not reflect changes in our working capital needs;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4"/>
        </w:rPr>
        <w:t xml:space="preserve">do not reflect the interest expense, net, or the amounts necessary to service interest or principal payments, on our outstanding debt;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4"/>
        </w:rPr>
        <w:t xml:space="preserve">do not reflect income tax (benefit) expense, and because the payment of taxes is part of our operations, tax expense is a necessary element of our costs and ability to operate;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4"/>
        </w:rPr>
        <w:t xml:space="preserve">do not reflect non-cash stock-based compensation, which will remain a key element of our overall compensation package;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 xml:space="preserve">do not reflect the impact of earnings or charges resulting from matters we consider not to be indicative of our ongoing operations.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pStyle w:val="TextBody"/>
        <w:bidi w:val="0"/>
        <w:spacing w:lineRule="auto" w:line="288" w:before="0" w:after="160"/>
        <w:jc w:val="left"/>
        <w:rPr>
          <w:rFonts w:ascii="Times New Roman;serif" w:hAnsi="Times New Roman;serif"/>
          <w:b w:val="false"/>
          <w:i/>
          <w:color w:val="000000"/>
          <w:sz w:val="24"/>
        </w:rPr>
      </w:pPr>
      <w:r>
        <w:rPr>
          <w:rFonts w:ascii="Times New Roman;serif" w:hAnsi="Times New Roman;serif"/>
          <w:b w:val="false"/>
          <w:i/>
          <w:color w:val="000000"/>
          <w:sz w:val="24"/>
        </w:rPr>
        <w:t xml:space="preserve">Net Debt and Net Debt Leverage Ratio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Net Debt and Net Debt Leverage Ratio are non-GAAP financial measures used in monitoring and evaluating our overall liquidity, financial flexibility, and leverage. Other companies may calculate similarly titled non-GAAP measures differently, limiting their usefulness as comparative measures. We define Net Debt as total debt less cash and cash equivalents. We</w:t>
      </w:r>
    </w:p>
    <w:p>
      <w:pPr>
        <w:pStyle w:val="TextBody"/>
        <w:bidi w:val="0"/>
        <w:spacing w:before="0" w:after="0"/>
        <w:jc w:val="center"/>
        <w:rPr/>
      </w:pPr>
      <w:r>
        <w:rPr/>
        <w:drawing>
          <wp:inline distT="0" distB="0" distL="0" distR="0">
            <wp:extent cx="1371600" cy="5143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16"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define the Net Debt Leverage Ratio as Net Debt divided by last twelve months (“LTM”) of Adjusted EBITDA. We believe this measure is an important indicator of our ability to service our long-term debt obligations. There are material limitations to using Net Debt Leverage Ratio as we may not always be able to use cash to repay debt on a dollar-for-dollar basis. </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Certain statements in this earnings release constitute forward-looking statements within the meaning of the Private Securities Litigation Reform Act of 1995. All statements contained in this release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acquisitions and related benefits, the implementation of our cost reduction plans and expected benefits, and the sufficiency of our cash balances, working capital and cash generated from operating, investing, and financing activities for our future liquidity and capital resource needs. These statements involve known and unknown risks, uncertainties, assumptions and other important factors, many of which are outside of our control, which may cause our actual results, performance or achievements to be materially different from any future results, performance or achievements expressed or implied by the forward-looking statements, including: potential breaches to our technological infrastructure and information systems; geopolitical instability and market instability caused by such instability, including as a result of the conflict in the Middle East involving Iran, the U.S., Israel and Lebanon; inflationary impacts, including on consumer demand for our products; the impact of trade policies on our global supply chain, the import or export of goods and their related costs, as well as on consumer confidence; natural disasters, public health issues or other catastrophic events; adverse weather conditions impacting our sales, which can lead to significant variability of sales in reporting periods; interruption of our production capability at our manufacturing facilities from accident, fire, calamity and other causes; unfavorable economic conditions and related impact on consumer spending and demand for our products; our ability to keep pace with technological developments and standards, such as generative artificial intelligence; compliance with government regulations; declining home ownership affecting demand for our products; our ability to globally source raw materials and components for manufacturing our products; competitive risks; product quality issues, warranty claims or safety concerns such as those due to the failure of builders to follow our product installation instructions and specifications; our ability and the cost to obtain transportation services; the protection of our intellectual property and defense of third-party infringement claims; international business risks; realizing anticipated benefits from acquisitions; possible asset impairments; and our ability to secure financing and our substantial indebtedness; and other factors set forth under “Risk Factors” and elsewhere in our most recent Annual Report on Form 10-K and subsequent reports we file with the SEC. Moreover, we operate in a very competitive and rapidly changing environment, and new risks emerge from time to time that may impair our business, financial condition, results of operations and cash flows. </w:t>
      </w:r>
    </w:p>
    <w:p>
      <w:pPr>
        <w:pStyle w:val="TextBody"/>
        <w:bidi w:val="0"/>
        <w:spacing w:before="0" w:after="0"/>
        <w:jc w:val="center"/>
        <w:rPr/>
      </w:pPr>
      <w:r>
        <w:rPr/>
        <w:drawing>
          <wp:inline distT="0" distB="0" distL="0" distR="0">
            <wp:extent cx="1371600" cy="5143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18"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reflect our views with respect to future events as of the date hereof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hereof. We anticipate that subsequent events and developments will cause our views to change. Our forward-looking statements further do not reflect the potential impact of any future acquisitions, merger, dispositions, joint ventures or investments we may undertake. </w:t>
      </w:r>
    </w:p>
    <w:p>
      <w:pPr>
        <w:pStyle w:val="TextBody"/>
        <w:bidi w:val="0"/>
        <w:spacing w:lineRule="auto" w:line="288" w:before="0" w:after="0"/>
        <w:jc w:val="left"/>
        <w:rPr/>
      </w:pPr>
      <w:r>
        <w:rPr>
          <w:rFonts w:ascii="Times New Roman;serif" w:hAnsi="Times New Roman;serif"/>
          <w:b/>
          <w:color w:val="000000"/>
          <w:sz w:val="24"/>
        </w:rPr>
        <w:t>Contact:</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Lynn Morgen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Casey Kotary </w:t>
      </w:r>
    </w:p>
    <w:p>
      <w:pPr>
        <w:pStyle w:val="TextBody"/>
        <w:bidi w:val="0"/>
        <w:spacing w:lineRule="auto" w:line="288" w:before="0" w:after="0"/>
        <w:jc w:val="left"/>
        <w:rPr/>
      </w:pPr>
      <w:r>
        <w:rPr>
          <w:rFonts w:ascii="Times New Roman;serif" w:hAnsi="Times New Roman;serif"/>
          <w:b w:val="false"/>
          <w:color w:val="000000"/>
          <w:sz w:val="24"/>
        </w:rPr>
        <w:t>ADVIS</w:t>
      </w:r>
      <w:r>
        <w:rPr>
          <w:rFonts w:ascii="Times New Roman;serif" w:hAnsi="Times New Roman;serif"/>
          <w:b/>
          <w:color w:val="000000"/>
          <w:sz w:val="24"/>
        </w:rPr>
        <w:t>IR</w:t>
      </w:r>
      <w:r>
        <w:rPr>
          <w:rFonts w:ascii="Times New Roman;serif" w:hAnsi="Times New Roman;serif"/>
          <w:b w:val="false"/>
          <w:color w:val="000000"/>
          <w:sz w:val="24"/>
        </w:rPr>
        <w:t>Y Partners</w:t>
      </w:r>
    </w:p>
    <w:p>
      <w:pPr>
        <w:pStyle w:val="TextBody"/>
        <w:bidi w:val="0"/>
        <w:spacing w:lineRule="auto" w:line="288" w:before="0" w:after="0"/>
        <w:jc w:val="left"/>
        <w:rPr>
          <w:rFonts w:ascii="Times New Roman;serif" w:hAnsi="Times New Roman;serif"/>
          <w:b w:val="false"/>
          <w:color w:val="3051F2"/>
          <w:sz w:val="24"/>
          <w:u w:val="single"/>
        </w:rPr>
      </w:pPr>
      <w:r>
        <w:rPr>
          <w:rFonts w:ascii="Times New Roman;serif" w:hAnsi="Times New Roman;serif"/>
          <w:b w:val="false"/>
          <w:color w:val="3051F2"/>
          <w:sz w:val="24"/>
          <w:u w:val="single"/>
        </w:rPr>
        <w:t>lathamir@advisiry.com</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212-750-5800</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drawing>
          <wp:inline distT="0" distB="0" distL="0" distR="0">
            <wp:extent cx="1371600" cy="5143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0"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lineRule="auto" w:line="276" w:before="0" w:after="0"/>
        <w:jc w:val="center"/>
        <w:rPr/>
      </w:pPr>
      <w:r>
        <w:rPr>
          <w:rFonts w:ascii="Times New Roman;serif" w:hAnsi="Times New Roman;serif"/>
          <w:b w:val="false"/>
          <w:i/>
          <w:color w:val="000000"/>
          <w:sz w:val="20"/>
        </w:rPr>
        <w:t>(unaudited)</w:t>
      </w:r>
      <w:r>
        <w:rPr>
          <w:color w:val="000000"/>
        </w:rPr>
        <w:t xml:space="preserve"> </w:t>
      </w:r>
    </w:p>
    <w:p>
      <w:pPr>
        <w:pStyle w:val="TextBody"/>
        <w:bidi w:val="0"/>
        <w:spacing w:before="0" w:after="0"/>
        <w:jc w:val="center"/>
        <w:rPr/>
      </w:pPr>
      <w:r>
        <w:rPr/>
      </w:r>
    </w:p>
    <w:tbl>
      <w:tblPr>
        <w:tblW w:w="10078" w:type="dxa"/>
        <w:jc w:val="center"/>
        <w:tblInd w:w="0" w:type="dxa"/>
        <w:tblLayout w:type="fixed"/>
        <w:tblCellMar>
          <w:top w:w="28" w:type="dxa"/>
          <w:left w:w="28" w:type="dxa"/>
          <w:bottom w:w="28" w:type="dxa"/>
          <w:right w:w="28" w:type="dxa"/>
        </w:tblCellMar>
      </w:tblPr>
      <w:tblGrid>
        <w:gridCol w:w="2611"/>
        <w:gridCol w:w="1437"/>
        <w:gridCol w:w="1456"/>
        <w:gridCol w:w="109"/>
        <w:gridCol w:w="109"/>
        <w:gridCol w:w="109"/>
        <w:gridCol w:w="210"/>
        <w:gridCol w:w="210"/>
        <w:gridCol w:w="210"/>
        <w:gridCol w:w="379"/>
        <w:gridCol w:w="379"/>
        <w:gridCol w:w="383"/>
        <w:gridCol w:w="111"/>
        <w:gridCol w:w="111"/>
        <w:gridCol w:w="111"/>
        <w:gridCol w:w="210"/>
        <w:gridCol w:w="210"/>
        <w:gridCol w:w="210"/>
        <w:gridCol w:w="379"/>
        <w:gridCol w:w="379"/>
        <w:gridCol w:w="383"/>
        <w:gridCol w:w="109"/>
        <w:gridCol w:w="109"/>
        <w:gridCol w:w="154"/>
      </w:tblGrid>
      <w:tr>
        <w:trPr/>
        <w:tc>
          <w:tcPr>
            <w:tcW w:w="261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March 28,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March 29,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117,315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111,420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80,158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78,539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37,157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32,881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36,589</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30,620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7,169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(6,601)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4,756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6,371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5,574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6,063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(11,340)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(10,041)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(2,806)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(4,079)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116,894,080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115,885,111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116,894,080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115,885,111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center"/>
        <w:rPr/>
      </w:pPr>
      <w:r>
        <w:rPr/>
        <w:drawing>
          <wp:inline distT="0" distB="0" distL="0" distR="0">
            <wp:extent cx="1371600" cy="5143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2"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color w:val="000000"/>
          <w:sz w:val="20"/>
        </w:rPr>
        <w:t>Latham Group, Inc.</w:t>
      </w:r>
      <w:r>
        <w:rPr>
          <w:color w:val="0000FF"/>
        </w:rPr>
        <w:t xml:space="preserve"> </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09"/>
        <w:gridCol w:w="2171"/>
        <w:gridCol w:w="2126"/>
        <w:gridCol w:w="109"/>
        <w:gridCol w:w="109"/>
        <w:gridCol w:w="109"/>
        <w:gridCol w:w="119"/>
        <w:gridCol w:w="119"/>
        <w:gridCol w:w="119"/>
        <w:gridCol w:w="259"/>
        <w:gridCol w:w="259"/>
        <w:gridCol w:w="263"/>
        <w:gridCol w:w="109"/>
        <w:gridCol w:w="109"/>
        <w:gridCol w:w="109"/>
        <w:gridCol w:w="150"/>
        <w:gridCol w:w="150"/>
        <w:gridCol w:w="150"/>
        <w:gridCol w:w="257"/>
        <w:gridCol w:w="257"/>
        <w:gridCol w:w="267"/>
        <w:gridCol w:w="109"/>
        <w:gridCol w:w="109"/>
        <w:gridCol w:w="158"/>
      </w:tblGrid>
      <w:tr>
        <w:trPr/>
        <w:tc>
          <w:tcPr>
            <w:tcW w:w="250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March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71,043</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89,213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39,914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87,609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74,926</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12,178</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20,943</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229,873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219,004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138,154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118,820</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26,482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29,621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30,723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161,144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155,189</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265,541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268,073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856,405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823,223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29,874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19,283</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7,630</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50,732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48,979</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122,267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79,142</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discount, debt issuance costs, and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276,983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276,591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34,269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34,269</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23,964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3,396</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459,703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417,362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100,000,000 shares authorized as of both March 28, 2026 and December 31, 2025; no shares issued and outstanding as of both March 28,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900,000,000 shares authorized as of March 28, 2026 and December 31, 2025; 117,407,719 and 116,766,927 shares issued and outstanding, as of March 28, 2026 and December 31, 2025,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472,145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473,423</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371600" cy="51435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9</w:t>
                      </w:r>
                    </w:p>
                  </w:txbxContent>
                </v:textbox>
                <w10:wrap type="none"/>
              </v:rect>
            </w:pict>
          </mc:Fallback>
        </mc:AlternateContent>
      </w:r>
    </w:p>
    <w:p>
      <w:pPr>
        <w:pStyle w:val="TextBody"/>
        <w:bidi w:val="0"/>
        <w:spacing w:before="0" w:after="0"/>
        <w:jc w:val="center"/>
        <w:rPr/>
      </w:pPr>
      <w:r>
        <w:rPr/>
      </w:r>
    </w:p>
    <w:tbl>
      <w:tblPr>
        <w:tblW w:w="6942" w:type="dxa"/>
        <w:jc w:val="center"/>
        <w:tblInd w:w="0" w:type="dxa"/>
        <w:tblLayout w:type="fixed"/>
        <w:tblCellMar>
          <w:top w:w="28" w:type="dxa"/>
          <w:left w:w="28" w:type="dxa"/>
          <w:bottom w:w="28" w:type="dxa"/>
          <w:right w:w="28" w:type="dxa"/>
        </w:tblCellMar>
      </w:tblPr>
      <w:tblGrid>
        <w:gridCol w:w="1331"/>
        <w:gridCol w:w="1168"/>
        <w:gridCol w:w="1175"/>
        <w:gridCol w:w="109"/>
        <w:gridCol w:w="109"/>
        <w:gridCol w:w="109"/>
        <w:gridCol w:w="109"/>
        <w:gridCol w:w="109"/>
        <w:gridCol w:w="109"/>
        <w:gridCol w:w="264"/>
        <w:gridCol w:w="264"/>
        <w:gridCol w:w="266"/>
        <w:gridCol w:w="109"/>
        <w:gridCol w:w="109"/>
        <w:gridCol w:w="109"/>
        <w:gridCol w:w="109"/>
        <w:gridCol w:w="109"/>
        <w:gridCol w:w="109"/>
        <w:gridCol w:w="264"/>
        <w:gridCol w:w="264"/>
        <w:gridCol w:w="266"/>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(72,226)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(63,692)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396,702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405,861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856,405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823,223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center"/>
        <w:rPr/>
      </w:pPr>
      <w:r>
        <w:rPr/>
        <w:drawing>
          <wp:inline distT="0" distB="0" distL="0" distR="0">
            <wp:extent cx="1371600" cy="5143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76" w:before="0" w:after="0"/>
        <w:jc w:val="center"/>
        <w:rPr/>
      </w:pPr>
      <w:r>
        <w:rPr>
          <w:rFonts w:ascii="Times New Roman;serif" w:hAnsi="Times New Roman;serif"/>
          <w:b w:val="false"/>
          <w:i/>
          <w:color w:val="000000"/>
          <w:sz w:val="20"/>
        </w:rPr>
        <w:t>(unaudited)</w:t>
      </w:r>
      <w:r>
        <w:rPr>
          <w:color w:val="0000FF"/>
        </w:rPr>
        <w:t xml:space="preserve"> </w:t>
      </w:r>
    </w:p>
    <w:tbl>
      <w:tblPr>
        <w:tblW w:w="9337" w:type="dxa"/>
        <w:jc w:val="center"/>
        <w:tblInd w:w="0" w:type="dxa"/>
        <w:tblLayout w:type="fixed"/>
        <w:tblCellMar>
          <w:top w:w="28" w:type="dxa"/>
          <w:left w:w="28" w:type="dxa"/>
          <w:bottom w:w="28" w:type="dxa"/>
          <w:right w:w="28" w:type="dxa"/>
        </w:tblCellMar>
      </w:tblPr>
      <w:tblGrid>
        <w:gridCol w:w="2180"/>
        <w:gridCol w:w="1918"/>
        <w:gridCol w:w="1931"/>
        <w:gridCol w:w="109"/>
        <w:gridCol w:w="109"/>
        <w:gridCol w:w="109"/>
        <w:gridCol w:w="162"/>
        <w:gridCol w:w="162"/>
        <w:gridCol w:w="162"/>
        <w:gridCol w:w="269"/>
        <w:gridCol w:w="269"/>
        <w:gridCol w:w="257"/>
        <w:gridCol w:w="128"/>
        <w:gridCol w:w="128"/>
        <w:gridCol w:w="128"/>
        <w:gridCol w:w="159"/>
        <w:gridCol w:w="159"/>
        <w:gridCol w:w="159"/>
        <w:gridCol w:w="249"/>
        <w:gridCol w:w="249"/>
        <w:gridCol w:w="341"/>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Fiscal Quarter Ended</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March 28,</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March 29,</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6"/>
            <w:tcBorders/>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(5,962)</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13,067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12,400</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Gain on insurance proceeds received for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loss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(417)</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430</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1,776</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1,971</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875</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Other non-cash,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(49,505)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(52,550)</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(9,630)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(9,559)</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189</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(4,624)</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9,708</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14,271</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(4,861)</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(47,720)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(46,882)</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color w:val="000000"/>
                <w:sz w:val="20"/>
              </w:rPr>
              <w:t>Cash flows from investing activities</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(3,452)</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(14,399)</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(4,934)</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(24,899)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(8,386)</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color w:val="000000"/>
                <w:sz w:val="20"/>
              </w:rPr>
              <w:t>Cash flows from financing activities</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borrowings on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31,000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25,000</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of finance 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withheld for taxes on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(2,306)</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28,402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22,493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343</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Net decrease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(43,562)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(32,432)</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71,043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56,398</w:t>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27,481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23,966</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color w:val="000000"/>
                <w:sz w:val="20"/>
              </w:rPr>
              <w:t>Supplemental cash flow information</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5,348</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6,266</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344</w:t>
            </w:r>
          </w:p>
        </w:tc>
      </w:tr>
    </w:tbl>
    <w:p>
      <w:pPr>
        <w:pStyle w:val="TextBody"/>
        <w:bidi w:val="0"/>
        <w:spacing w:before="0" w:after="0"/>
        <w:jc w:val="center"/>
        <w:rPr/>
      </w:pPr>
      <w:r>
        <w:rPr/>
        <w:drawing>
          <wp:inline distT="0" distB="0" distL="0" distR="0">
            <wp:extent cx="1371600" cy="51435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8"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11</w:t>
                      </w:r>
                    </w:p>
                  </w:txbxContent>
                </v:textbox>
                <w10:wrap type="none"/>
              </v:rect>
            </w:pict>
          </mc:Fallback>
        </mc:AlternateContent>
      </w:r>
    </w:p>
    <w:p>
      <w:pPr>
        <w:pStyle w:val="TextBody"/>
        <w:bidi w:val="0"/>
        <w:spacing w:before="0" w:after="0"/>
        <w:jc w:val="center"/>
        <w:rPr/>
      </w:pPr>
      <w:r>
        <w:rPr/>
      </w:r>
    </w:p>
    <w:tbl>
      <w:tblPr>
        <w:tblW w:w="9949" w:type="dxa"/>
        <w:jc w:val="center"/>
        <w:tblInd w:w="0" w:type="dxa"/>
        <w:tblLayout w:type="fixed"/>
        <w:tblCellMar>
          <w:top w:w="28" w:type="dxa"/>
          <w:left w:w="28" w:type="dxa"/>
          <w:bottom w:w="28" w:type="dxa"/>
          <w:right w:w="28" w:type="dxa"/>
        </w:tblCellMar>
      </w:tblPr>
      <w:tblGrid>
        <w:gridCol w:w="2661"/>
        <w:gridCol w:w="2338"/>
        <w:gridCol w:w="2350"/>
        <w:gridCol w:w="109"/>
        <w:gridCol w:w="109"/>
        <w:gridCol w:w="109"/>
        <w:gridCol w:w="109"/>
        <w:gridCol w:w="109"/>
        <w:gridCol w:w="109"/>
        <w:gridCol w:w="223"/>
        <w:gridCol w:w="223"/>
        <w:gridCol w:w="230"/>
        <w:gridCol w:w="109"/>
        <w:gridCol w:w="109"/>
        <w:gridCol w:w="109"/>
        <w:gridCol w:w="109"/>
        <w:gridCol w:w="109"/>
        <w:gridCol w:w="109"/>
        <w:gridCol w:w="180"/>
        <w:gridCol w:w="180"/>
        <w:gridCol w:w="256"/>
      </w:tblGrid>
      <w:tr>
        <w:trPr/>
        <w:tc>
          <w:tcPr>
            <w:tcW w:w="2661"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color w:val="000000"/>
                <w:sz w:val="20"/>
              </w:rPr>
              <w:t>Supplemental disclosure of non-cash investing and financing activities</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included in 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1,360</w:t>
            </w:r>
          </w:p>
        </w:tc>
      </w:tr>
      <w:tr>
        <w:trPr/>
        <w:tc>
          <w:tcPr>
            <w:tcW w:w="734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operating and finance lease assets obtained in exchange for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7,785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994</w:t>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through settlement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center"/>
        <w:rPr/>
      </w:pPr>
      <w:r>
        <w:rPr/>
        <w:drawing>
          <wp:inline distT="0" distB="0" distL="0" distR="0">
            <wp:extent cx="1371600" cy="51435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0"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56" w:before="0" w:after="0"/>
        <w:jc w:val="center"/>
        <w:rPr/>
      </w:pPr>
      <w:r>
        <w:rPr>
          <w:rFonts w:ascii="Times New Roman;serif" w:hAnsi="Times New Roman;serif"/>
          <w:b/>
          <w:color w:val="000000"/>
          <w:sz w:val="20"/>
        </w:rPr>
        <w:t>Adjusted EBITDA and Adjusted EBITDA Margin Reconciliation</w:t>
      </w:r>
      <w:r>
        <w:rPr>
          <w:color w:val="000000"/>
        </w:rPr>
        <w:t xml:space="preserve"> </w:t>
      </w:r>
    </w:p>
    <w:p>
      <w:pPr>
        <w:pStyle w:val="TextBody"/>
        <w:bidi w:val="0"/>
        <w:spacing w:lineRule="auto" w:line="256" w:before="0" w:after="0"/>
        <w:jc w:val="center"/>
        <w:rPr>
          <w:rFonts w:ascii="Times New Roman;serif" w:hAnsi="Times New Roman;serif"/>
          <w:b w:val="false"/>
          <w:i/>
          <w:color w:val="000000"/>
          <w:sz w:val="20"/>
        </w:rPr>
      </w:pPr>
      <w:r>
        <w:rPr>
          <w:rFonts w:ascii="Times New Roman;serif" w:hAnsi="Times New Roman;serif"/>
          <w:b w:val="false"/>
          <w:i/>
          <w:color w:val="000000"/>
          <w:sz w:val="20"/>
        </w:rPr>
        <w:t>(Non-GAAP Reconciliation)</w:t>
      </w:r>
    </w:p>
    <w:p>
      <w:pPr>
        <w:pStyle w:val="TextBody"/>
        <w:bidi w:val="0"/>
        <w:spacing w:lineRule="auto" w:line="25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8461" w:type="dxa"/>
        <w:jc w:val="left"/>
        <w:tblInd w:w="0" w:type="dxa"/>
        <w:tblLayout w:type="fixed"/>
        <w:tblCellMar>
          <w:top w:w="28" w:type="dxa"/>
          <w:left w:w="28" w:type="dxa"/>
          <w:bottom w:w="28" w:type="dxa"/>
          <w:right w:w="28" w:type="dxa"/>
        </w:tblCellMar>
      </w:tblPr>
      <w:tblGrid>
        <w:gridCol w:w="1786"/>
        <w:gridCol w:w="1559"/>
        <w:gridCol w:w="1589"/>
        <w:gridCol w:w="210"/>
        <w:gridCol w:w="210"/>
        <w:gridCol w:w="210"/>
        <w:gridCol w:w="264"/>
        <w:gridCol w:w="264"/>
        <w:gridCol w:w="253"/>
        <w:gridCol w:w="111"/>
        <w:gridCol w:w="111"/>
        <w:gridCol w:w="111"/>
        <w:gridCol w:w="210"/>
        <w:gridCol w:w="210"/>
        <w:gridCol w:w="210"/>
        <w:gridCol w:w="264"/>
        <w:gridCol w:w="264"/>
        <w:gridCol w:w="253"/>
        <w:gridCol w:w="109"/>
        <w:gridCol w:w="109"/>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March 28,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March 29,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13,067</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12,400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4,756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6,371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(2,806)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(4,079)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and disposal of property and equipment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Restructuring charges</w:t>
            </w:r>
            <w:r>
              <w:rPr>
                <w:rFonts w:ascii="Times New Roman;serif" w:hAnsi="Times New Roman;serif"/>
                <w:b w:val="false"/>
                <w:color w:val="000000"/>
                <w:sz w:val="13"/>
              </w:rPr>
              <w:t>(a)</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(b)</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Unrealized losses (gains) on foreign currency transactions</w:t>
            </w:r>
            <w:r>
              <w:rPr>
                <w:rFonts w:ascii="Times New Roman;serif" w:hAnsi="Times New Roman;serif"/>
                <w:b w:val="false"/>
                <w:color w:val="000000"/>
                <w:sz w:val="13"/>
              </w:rPr>
              <w:t>(c)</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Strategic initiative costs</w:t>
            </w:r>
            <w:r>
              <w:rPr>
                <w:rFonts w:ascii="Times New Roman;serif" w:hAnsi="Times New Roman;serif"/>
                <w:b w:val="false"/>
                <w:color w:val="000000"/>
                <w:sz w:val="13"/>
              </w:rPr>
              <w:t>(d)</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Acquisition and integration related costs</w:t>
            </w:r>
            <w:r>
              <w:rPr>
                <w:rFonts w:ascii="Times New Roman;serif" w:hAnsi="Times New Roman;serif"/>
                <w:b w:val="false"/>
                <w:color w:val="000000"/>
                <w:sz w:val="13"/>
              </w:rPr>
              <w:t>(e)</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3,126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(f)</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12,160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11,139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117,315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111,420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3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6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costs that include severance and other expenses for our executive management changes.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(b)Represents non-cash stock-based compensation expense.</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(c)Represents unrealized foreign currency transaction losses (gains) associated with our international subsidiaries.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(d)Represents fees paid to external consultants and other expenses for our strategic initiatives.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(e)Represents acquisition and integration costs, as well as other costs related to potential transactions.</w:t>
      </w:r>
    </w:p>
    <w:p>
      <w:pPr>
        <w:pStyle w:val="TextBody"/>
        <w:bidi w:val="0"/>
        <w:spacing w:lineRule="auto" w:line="268"/>
        <w:ind w:left="0" w:right="0" w:hanging="360"/>
        <w:jc w:val="left"/>
        <w:rPr/>
      </w:pPr>
      <w:r>
        <w:rPr>
          <w:rFonts w:ascii="Times New Roman;serif" w:hAnsi="Times New Roman;serif"/>
          <w:b w:val="false"/>
          <w:color w:val="000000"/>
          <w:sz w:val="20"/>
        </w:rPr>
        <w:t>(f)Other costs consist of other discrete items as determined by management, primarily including: (i) fees paid to external advisors for various matters and (ii) other items.</w:t>
      </w:r>
      <w:r>
        <w:rPr>
          <w:color w:val="000000"/>
        </w:rPr>
        <w:t xml:space="preserve"> </w:t>
      </w:r>
    </w:p>
    <w:p>
      <w:pPr>
        <w:pStyle w:val="TextBody"/>
        <w:bidi w:val="0"/>
        <w:spacing w:before="0" w:after="0"/>
        <w:jc w:val="center"/>
        <w:rPr/>
      </w:pPr>
      <w:r>
        <w:rPr/>
        <w:drawing>
          <wp:inline distT="0" distB="0" distL="0" distR="0">
            <wp:extent cx="1371600" cy="51435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1371600" cy="5143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72.8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Debt Leverage Ratio</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(Non-GAAP Reconciliation)</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4373" w:type="dxa"/>
        <w:jc w:val="left"/>
        <w:tblInd w:w="0" w:type="dxa"/>
        <w:tblLayout w:type="fixed"/>
        <w:tblCellMar>
          <w:top w:w="28" w:type="dxa"/>
          <w:left w:w="28" w:type="dxa"/>
          <w:bottom w:w="28" w:type="dxa"/>
          <w:right w:w="28" w:type="dxa"/>
        </w:tblCellMar>
      </w:tblPr>
      <w:tblGrid>
        <w:gridCol w:w="808"/>
        <w:gridCol w:w="710"/>
        <w:gridCol w:w="717"/>
        <w:gridCol w:w="109"/>
        <w:gridCol w:w="109"/>
        <w:gridCol w:w="109"/>
        <w:gridCol w:w="109"/>
        <w:gridCol w:w="109"/>
        <w:gridCol w:w="109"/>
        <w:gridCol w:w="434"/>
        <w:gridCol w:w="434"/>
        <w:gridCol w:w="616"/>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color w:val="000000"/>
                <w:sz w:val="20"/>
              </w:rPr>
            </w:pPr>
            <w:r>
              <w:rPr>
                <w:rFonts w:ascii="Times New Roman;serif" w:hAnsi="Times New Roman;serif"/>
                <w:b/>
                <w:color w:val="000000"/>
                <w:sz w:val="20"/>
              </w:rPr>
              <w:t>March 28, 2026</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311,233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(27,481)</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283,752</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LTM 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100,852</w:t>
            </w:r>
          </w:p>
        </w:tc>
      </w:tr>
      <w:tr>
        <w:trPr/>
        <w:tc>
          <w:tcPr>
            <w:tcW w:w="223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Debt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right"/>
              <w:rPr>
                <w:rFonts w:ascii="Times New Roman;serif" w:hAnsi="Times New Roman;serif"/>
                <w:b w:val="false"/>
                <w:color w:val="000000"/>
                <w:sz w:val="20"/>
              </w:rPr>
            </w:pPr>
            <w:r>
              <w:rPr>
                <w:rFonts w:ascii="Times New Roman;serif" w:hAnsi="Times New Roman;serif"/>
                <w:b w:val="false"/>
                <w:color w:val="000000"/>
                <w:sz w:val="20"/>
              </w:rPr>
              <w:t>2.81x</w:t>
            </w:r>
          </w:p>
        </w:tc>
      </w:tr>
    </w:tbl>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(1) LTM Adjusted EBITDA is defined as Adjusted EBITDA for the most recent 12-month period.</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5146</Words>
  <Characters>29075</Characters>
  <CharactersWithSpaces>33672</CharactersWithSpaces>
  <Paragraphs>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