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283"/>
              <w:jc w:val="left"/>
              <w:rPr/>
            </w:pPr>
            <w:r>
              <w:rPr/>
              <w:t>Name of Issuer</w:t>
            </w:r>
          </w:p>
        </w:tc>
        <w:tc>
          <w:tcPr>
            <w:tcW w:w="4357" w:type="dxa"/>
            <w:tcBorders/>
            <w:vAlign w:val="center"/>
          </w:tcPr>
          <w:p>
            <w:pPr>
              <w:pStyle w:val="TableContents"/>
              <w:bidi w:val="0"/>
              <w:spacing w:before="0" w:after="0"/>
              <w:jc w:val="left"/>
              <w:rPr/>
            </w:pPr>
            <w:r>
              <w:rPr/>
              <w:t>Latham Group, Inc.</w:t>
            </w:r>
          </w:p>
        </w:tc>
      </w:tr>
      <w:tr>
        <w:trPr/>
        <w:tc>
          <w:tcPr>
            <w:tcW w:w="5848" w:type="dxa"/>
            <w:tcBorders/>
            <w:vAlign w:val="center"/>
          </w:tcPr>
          <w:p>
            <w:pPr>
              <w:pStyle w:val="TableContents"/>
              <w:bidi w:val="0"/>
              <w:spacing w:before="0" w:after="283"/>
              <w:jc w:val="left"/>
              <w:rPr/>
            </w:pPr>
            <w:r>
              <w:rPr/>
              <w:t>SEC File Number</w:t>
            </w:r>
          </w:p>
        </w:tc>
        <w:tc>
          <w:tcPr>
            <w:tcW w:w="4357" w:type="dxa"/>
            <w:tcBorders/>
            <w:vAlign w:val="center"/>
          </w:tcPr>
          <w:p>
            <w:pPr>
              <w:pStyle w:val="TableContents"/>
              <w:bidi w:val="0"/>
              <w:spacing w:before="0" w:after="0"/>
              <w:jc w:val="left"/>
              <w:rPr/>
            </w:pPr>
            <w:r>
              <w:rPr/>
              <w:t>001-40358</w:t>
            </w:r>
          </w:p>
        </w:tc>
      </w:tr>
      <w:tr>
        <w:trPr/>
        <w:tc>
          <w:tcPr>
            <w:tcW w:w="5848" w:type="dxa"/>
            <w:tcBorders/>
            <w:vAlign w:val="center"/>
          </w:tcPr>
          <w:p>
            <w:pPr>
              <w:pStyle w:val="TableContents"/>
              <w:bidi w:val="0"/>
              <w:spacing w:before="0" w:after="283"/>
              <w:jc w:val="left"/>
              <w:rPr/>
            </w:pPr>
            <w:r>
              <w:rPr/>
              <w:t>Address of Issuer</w:t>
            </w:r>
          </w:p>
        </w:tc>
        <w:tc>
          <w:tcPr>
            <w:tcW w:w="4357" w:type="dxa"/>
            <w:tcBorders/>
            <w:vAlign w:val="center"/>
          </w:tcPr>
          <w:p>
            <w:pPr>
              <w:pStyle w:val="TableContents"/>
              <w:bidi w:val="0"/>
              <w:spacing w:before="0" w:after="0"/>
              <w:jc w:val="left"/>
              <w:rPr/>
            </w:pPr>
            <w:r>
              <w:rPr/>
              <w:t>787 WATERVLIET SHAKER ROAD</w:t>
              <w:br/>
              <w:t>LATHAM</w:t>
              <w:br/>
              <w:t xml:space="preserve">NEW YORK </w:t>
              <w:br/>
              <w:t>12110</w:t>
            </w:r>
          </w:p>
        </w:tc>
      </w:tr>
      <w:tr>
        <w:trPr/>
        <w:tc>
          <w:tcPr>
            <w:tcW w:w="5848" w:type="dxa"/>
            <w:tcBorders/>
            <w:vAlign w:val="center"/>
          </w:tcPr>
          <w:p>
            <w:pPr>
              <w:pStyle w:val="TableContents"/>
              <w:bidi w:val="0"/>
              <w:spacing w:before="0" w:after="283"/>
              <w:jc w:val="left"/>
              <w:rPr/>
            </w:pPr>
            <w:r>
              <w:rPr/>
              <w:t>Phone</w:t>
            </w:r>
          </w:p>
        </w:tc>
        <w:tc>
          <w:tcPr>
            <w:tcW w:w="4357" w:type="dxa"/>
            <w:tcBorders/>
            <w:vAlign w:val="center"/>
          </w:tcPr>
          <w:p>
            <w:pPr>
              <w:pStyle w:val="TableContents"/>
              <w:bidi w:val="0"/>
              <w:spacing w:before="0" w:after="0"/>
              <w:jc w:val="left"/>
              <w:rPr/>
            </w:pPr>
            <w:r>
              <w:rPr/>
              <w:t>800-833-3800</w:t>
            </w:r>
          </w:p>
        </w:tc>
      </w:tr>
      <w:tr>
        <w:trPr/>
        <w:tc>
          <w:tcPr>
            <w:tcW w:w="5848" w:type="dxa"/>
            <w:tcBorders/>
            <w:vAlign w:val="center"/>
          </w:tcPr>
          <w:p>
            <w:pPr>
              <w:pStyle w:val="TableContents"/>
              <w:bidi w:val="0"/>
              <w:spacing w:before="0" w:after="283"/>
              <w:jc w:val="left"/>
              <w:rPr/>
            </w:pPr>
            <w:r>
              <w:rPr/>
              <w:t>Name of Person for Whose Account the Securities are To Be Sold</w:t>
            </w:r>
          </w:p>
        </w:tc>
        <w:tc>
          <w:tcPr>
            <w:tcW w:w="4357" w:type="dxa"/>
            <w:tcBorders/>
            <w:vAlign w:val="center"/>
          </w:tcPr>
          <w:p>
            <w:pPr>
              <w:pStyle w:val="TableContents"/>
              <w:bidi w:val="0"/>
              <w:spacing w:before="0" w:after="0"/>
              <w:jc w:val="left"/>
              <w:rPr/>
            </w:pPr>
            <w:r>
              <w:rPr/>
              <w:t>Dhruv Kaushal Bhikhesh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8" w:type="dxa"/>
            <w:tcBorders/>
            <w:vAlign w:val="center"/>
          </w:tcPr>
          <w:p>
            <w:pPr>
              <w:pStyle w:val="TableContents"/>
              <w:bidi w:val="0"/>
              <w:spacing w:before="0" w:after="283"/>
              <w:jc w:val="left"/>
              <w:rPr/>
            </w:pPr>
            <w:r>
              <w:rPr/>
              <w:t>Relationship to Issuer</w:t>
            </w:r>
          </w:p>
        </w:tc>
        <w:tc>
          <w:tcPr>
            <w:tcW w:w="4357"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14622</w:t>
            </w:r>
          </w:p>
        </w:tc>
        <w:tc>
          <w:tcPr>
            <w:tcW w:w="1377" w:type="dxa"/>
            <w:tcBorders/>
            <w:vAlign w:val="center"/>
          </w:tcPr>
          <w:p>
            <w:pPr>
              <w:pStyle w:val="TableContents"/>
              <w:bidi w:val="0"/>
              <w:spacing w:before="0" w:after="283"/>
              <w:jc w:val="left"/>
              <w:rPr/>
            </w:pPr>
            <w:r>
              <w:rPr/>
              <w:t>107813.86</w:t>
            </w:r>
          </w:p>
        </w:tc>
        <w:tc>
          <w:tcPr>
            <w:tcW w:w="1552" w:type="dxa"/>
            <w:tcBorders/>
            <w:vAlign w:val="center"/>
          </w:tcPr>
          <w:p>
            <w:pPr>
              <w:pStyle w:val="TableContents"/>
              <w:bidi w:val="0"/>
              <w:spacing w:before="0" w:after="283"/>
              <w:jc w:val="left"/>
              <w:rPr/>
            </w:pPr>
            <w:r>
              <w:rPr/>
              <w:t>117646086</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08/11/2026</w:t>
            </w:r>
          </w:p>
        </w:tc>
        <w:tc>
          <w:tcPr>
            <w:tcW w:w="1430" w:type="dxa"/>
            <w:tcBorders/>
            <w:vAlign w:val="center"/>
          </w:tcPr>
          <w:p>
            <w:pPr>
              <w:pStyle w:val="TableContents"/>
              <w:bidi w:val="0"/>
              <w:spacing w:before="0" w:after="283"/>
              <w:jc w:val="left"/>
              <w:rPr/>
            </w:pPr>
            <w:r>
              <w:rPr/>
              <w:t>SAR</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14622</w:t>
            </w:r>
          </w:p>
        </w:tc>
        <w:tc>
          <w:tcPr>
            <w:tcW w:w="1046" w:type="dxa"/>
            <w:tcBorders/>
            <w:vAlign w:val="center"/>
          </w:tcPr>
          <w:p>
            <w:pPr>
              <w:pStyle w:val="TableContents"/>
              <w:bidi w:val="0"/>
              <w:spacing w:before="0" w:after="283"/>
              <w:jc w:val="left"/>
              <w:rPr/>
            </w:pPr>
            <w:r>
              <w:rPr/>
              <w:t>08/11/2026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3"/>
        <w:gridCol w:w="8432"/>
      </w:tblGrid>
      <w:tr>
        <w:trPr/>
        <w:tc>
          <w:tcPr>
            <w:tcW w:w="1773" w:type="dxa"/>
            <w:tcBorders/>
            <w:vAlign w:val="center"/>
          </w:tcPr>
          <w:p>
            <w:pPr>
              <w:pStyle w:val="TableContents"/>
              <w:bidi w:val="0"/>
              <w:spacing w:before="0" w:after="283"/>
              <w:jc w:val="left"/>
              <w:rPr/>
            </w:pPr>
            <w:r>
              <w:rPr/>
              <w:t>Remarks</w:t>
            </w:r>
          </w:p>
        </w:tc>
        <w:tc>
          <w:tcPr>
            <w:tcW w:w="8432"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Date of Notice</w:t>
            </w:r>
          </w:p>
        </w:tc>
        <w:tc>
          <w:tcPr>
            <w:tcW w:w="843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3" w:type="dxa"/>
            <w:tcBorders/>
            <w:vAlign w:val="center"/>
          </w:tcPr>
          <w:p>
            <w:pPr>
              <w:pStyle w:val="TableContents"/>
              <w:bidi w:val="0"/>
              <w:spacing w:before="0" w:after="283"/>
              <w:jc w:val="left"/>
              <w:rPr/>
            </w:pPr>
            <w:r>
              <w:rPr/>
              <w:t>Signature</w:t>
            </w:r>
          </w:p>
        </w:tc>
        <w:tc>
          <w:tcPr>
            <w:tcW w:w="8432" w:type="dxa"/>
            <w:tcBorders/>
            <w:vAlign w:val="center"/>
          </w:tcPr>
          <w:p>
            <w:pPr>
              <w:pStyle w:val="TableContents"/>
              <w:bidi w:val="0"/>
              <w:spacing w:before="0" w:after="0"/>
              <w:jc w:val="left"/>
              <w:rPr/>
            </w:pPr>
            <w:r>
              <w:rPr/>
              <w:t>/s/Wade Moss, as a duly authorized representative of Fidelity Brokerage Services LLC, as attorney-in-fact for Kaushal Dhruv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2971</Characters>
  <CharactersWithSpaces>3501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