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118745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8"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March 29, 2025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74"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-1270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-1270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 w:type="dxa"/>
            <w:vAlign w:val="bottom"/>
          </w:tcPr>
          <w:p>
            <w:pPr>
              <w:spacing w:after="0"/>
              <w:rPr>
                <w:sz w:val="15"/>
                <w:szCs w:val="15"/>
                <w:color w:val="auto"/>
              </w:rPr>
            </w:pPr>
          </w:p>
        </w:tc>
        <w:tc>
          <w:tcPr>
            <w:tcW w:w="4840" w:type="dxa"/>
            <w:vAlign w:val="bottom"/>
            <w:tcBorders>
              <w:bottom w:val="single" w:sz="8" w:color="auto"/>
            </w:tcBorders>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160"/>
        </w:trPr>
        <w:tc>
          <w:tcPr>
            <w:tcW w:w="5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40" w:type="dxa"/>
            <w:vAlign w:val="bottom"/>
          </w:tcPr>
          <w:p>
            <w:pPr>
              <w:spacing w:after="0"/>
              <w:rPr>
                <w:sz w:val="16"/>
                <w:szCs w:val="16"/>
                <w:color w:val="auto"/>
              </w:rPr>
            </w:pPr>
          </w:p>
        </w:tc>
      </w:tr>
      <w:tr>
        <w:trPr>
          <w:trHeight w:val="280"/>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220" w:type="dxa"/>
            <w:vAlign w:val="bottom"/>
          </w:tcPr>
          <w:p>
            <w:pPr>
              <w:spacing w:after="0"/>
              <w:rPr>
                <w:sz w:val="24"/>
                <w:szCs w:val="24"/>
                <w:color w:val="auto"/>
              </w:rPr>
            </w:pPr>
          </w:p>
        </w:tc>
        <w:tc>
          <w:tcPr>
            <w:tcW w:w="4840" w:type="dxa"/>
            <w:vAlign w:val="bottom"/>
            <w:tcBorders>
              <w:bottom w:val="single" w:sz="8" w:color="auto"/>
            </w:tcBorders>
          </w:tcPr>
          <w:p>
            <w:pPr>
              <w:jc w:val="right"/>
              <w:ind w:right="216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240"/>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0"/>
        </w:trPr>
        <w:tc>
          <w:tcPr>
            <w:tcW w:w="39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SWIM</w:t>
            </w:r>
          </w:p>
        </w:tc>
        <w:tc>
          <w:tcPr>
            <w:tcW w:w="35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76"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100"/>
        <w:spacing w:after="0" w:line="161" w:lineRule="exact"/>
        <w:tabs>
          <w:tab w:leader="none" w:pos="1740" w:val="left"/>
          <w:tab w:leader="none" w:pos="2080" w:val="left"/>
          <w:tab w:leader="none" w:pos="3360" w:val="left"/>
          <w:tab w:leader="none" w:pos="3680" w:val="left"/>
          <w:tab w:leader="none" w:pos="5220" w:val="left"/>
          <w:tab w:leader="none" w:pos="5560" w:val="left"/>
          <w:tab w:leader="none" w:pos="7460" w:val="left"/>
          <w:tab w:leader="none" w:pos="7800" w:val="left"/>
          <w:tab w:leader="none" w:pos="9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4"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48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2, 2025, 116,367,606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49530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160" w:type="dxa"/>
            <w:vAlign w:val="bottom"/>
            <w:tcBorders>
              <w:bottom w:val="single" w:sz="8" w:color="CCEEFF"/>
            </w:tcBorders>
            <w:gridSpan w:val="3"/>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tcBorders>
              <w:top w:val="single" w:sz="8" w:color="CCEEFF"/>
            </w:tcBorders>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3. Quantitative and Qualitative Disclosures About Market Risk</w:t>
            </w: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1.</w:t>
            </w:r>
          </w:p>
        </w:tc>
        <w:tc>
          <w:tcPr>
            <w:tcW w:w="142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Proceedings</w:t>
            </w:r>
          </w:p>
        </w:tc>
        <w:tc>
          <w:tcPr>
            <w:tcW w:w="5420" w:type="dxa"/>
            <w:vAlign w:val="bottom"/>
            <w:tcBorders>
              <w:bottom w:val="single" w:sz="8" w:color="CCEEFF"/>
            </w:tcBorders>
            <w:gridSpan w:val="8"/>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5.</w:t>
            </w:r>
          </w:p>
        </w:tc>
        <w:tc>
          <w:tcPr>
            <w:tcW w:w="4580" w:type="dxa"/>
            <w:vAlign w:val="bottom"/>
            <w:tcBorders>
              <w:top w:val="single" w:sz="8" w:color="0000EE"/>
            </w:tcBorders>
            <w:gridSpan w:val="10"/>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2260" w:type="dxa"/>
            <w:vAlign w:val="bottom"/>
            <w:tcBorders>
              <w:top w:val="single" w:sz="8" w:color="CCEEFF"/>
            </w:tcBorders>
            <w:gridSpan w:val="2"/>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6.</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5"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5"/>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4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5"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40" w:type="dxa"/>
            <w:vAlign w:val="bottom"/>
            <w:shd w:val="clear" w:color="auto" w:fill="CCEEFF"/>
          </w:tcPr>
          <w:p>
            <w:pPr>
              <w:spacing w:after="0"/>
              <w:rPr>
                <w:sz w:val="18"/>
                <w:szCs w:val="18"/>
                <w:color w:val="auto"/>
              </w:rPr>
            </w:pPr>
          </w:p>
        </w:tc>
      </w:tr>
      <w:tr>
        <w:trPr>
          <w:trHeight w:val="21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178,298</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112,848</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292,913</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40" w:type="dxa"/>
            <w:vAlign w:val="bottom"/>
            <w:shd w:val="clear" w:color="auto" w:fill="CCEEFF"/>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824,585</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40" w:type="dxa"/>
            <w:vAlign w:val="bottom"/>
            <w:tcBorders>
              <w:bottom w:val="single" w:sz="8" w:color="CCEEFF"/>
            </w:tcBorders>
          </w:tcPr>
          <w:p>
            <w:pPr>
              <w:spacing w:after="0"/>
              <w:rPr>
                <w:sz w:val="21"/>
                <w:szCs w:val="21"/>
                <w:color w:val="auto"/>
              </w:rPr>
            </w:pPr>
          </w:p>
        </w:tc>
      </w:tr>
      <w:tr>
        <w:trPr>
          <w:trHeight w:val="197"/>
        </w:trPr>
        <w:tc>
          <w:tcPr>
            <w:tcW w:w="7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4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70,977</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40" w:type="dxa"/>
            <w:vAlign w:val="bottom"/>
            <w:shd w:val="clear" w:color="auto" w:fill="CCEEFF"/>
          </w:tcPr>
          <w:p>
            <w:pPr>
              <w:spacing w:after="0"/>
              <w:rPr>
                <w:sz w:val="18"/>
                <w:szCs w:val="18"/>
                <w:color w:val="auto"/>
              </w:rPr>
            </w:pPr>
          </w:p>
        </w:tc>
      </w:tr>
      <w:tr>
        <w:trPr>
          <w:trHeight w:val="210"/>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443,443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406,985</w:t>
            </w:r>
          </w:p>
        </w:tc>
        <w:tc>
          <w:tcPr>
            <w:tcW w:w="4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7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as of both March 29, 2025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2024; no shares issued and outstanding as of both March 29, 2025 and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900,000,000 shares authorized as of March 29, 2025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116,362,977 and 115,764,839 shares issued and outstanding, as of March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29, 2025 and December 31, 2024, respectively</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40" w:type="dxa"/>
            <w:vAlign w:val="bottom"/>
            <w:shd w:val="clear" w:color="auto" w:fill="CCEEFF"/>
          </w:tcPr>
          <w:p>
            <w:pPr>
              <w:spacing w:after="0"/>
              <w:rPr>
                <w:sz w:val="18"/>
                <w:szCs w:val="18"/>
                <w:color w:val="auto"/>
              </w:rPr>
            </w:pPr>
          </w:p>
        </w:tc>
      </w:tr>
      <w:tr>
        <w:trPr>
          <w:trHeight w:val="210"/>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40" w:type="dxa"/>
            <w:vAlign w:val="bottom"/>
            <w:tcBorders>
              <w:bottom w:val="single" w:sz="8" w:color="CCEEFF"/>
            </w:tcBorders>
          </w:tcPr>
          <w:p>
            <w:pPr>
              <w:spacing w:after="0"/>
              <w:rPr>
                <w:sz w:val="18"/>
                <w:szCs w:val="18"/>
                <w:color w:val="auto"/>
              </w:rPr>
            </w:pPr>
          </w:p>
        </w:tc>
      </w:tr>
      <w:tr>
        <w:trPr>
          <w:trHeight w:val="210"/>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824,585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58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Borders>
              <w:bottom w:val="single" w:sz="8" w:color="CCEEFF"/>
            </w:tcBorders>
          </w:tcPr>
          <w:p>
            <w:pPr>
              <w:spacing w:after="0"/>
              <w:rPr>
                <w:sz w:val="12"/>
                <w:szCs w:val="12"/>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24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240" w:type="dxa"/>
            <w:vAlign w:val="bottom"/>
            <w:tcBorders>
              <w:bottom w:val="single" w:sz="8" w:color="CCEEFF"/>
            </w:tcBorders>
          </w:tcPr>
          <w:p>
            <w:pPr>
              <w:spacing w:after="0"/>
              <w:rPr>
                <w:sz w:val="18"/>
                <w:szCs w:val="18"/>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w:t>
            </w:r>
          </w:p>
        </w:tc>
        <w:tc>
          <w:tcPr>
            <w:tcW w:w="240" w:type="dxa"/>
            <w:vAlign w:val="bottom"/>
            <w:shd w:val="clear" w:color="auto" w:fill="CCEEFF"/>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40" w:type="dxa"/>
            <w:vAlign w:val="bottom"/>
            <w:shd w:val="clear" w:color="auto" w:fill="CCEEFF"/>
          </w:tcPr>
          <w:p>
            <w:pPr>
              <w:spacing w:after="0"/>
              <w:rPr>
                <w:sz w:val="18"/>
                <w:szCs w:val="18"/>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tcBorders>
              <w:bottom w:val="single" w:sz="8" w:color="CCEEFF"/>
            </w:tcBorders>
          </w:tcPr>
          <w:p>
            <w:pPr>
              <w:spacing w:after="0"/>
              <w:rPr>
                <w:sz w:val="18"/>
                <w:szCs w:val="18"/>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shd w:val="clear" w:color="auto" w:fill="CCEEFF"/>
          </w:tcPr>
          <w:p>
            <w:pPr>
              <w:spacing w:after="0"/>
              <w:rPr>
                <w:sz w:val="18"/>
                <w:szCs w:val="18"/>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shd w:val="clear" w:color="auto" w:fill="CCEEFF"/>
          </w:tcPr>
          <w:p>
            <w:pPr>
              <w:spacing w:after="0"/>
              <w:rPr>
                <w:sz w:val="18"/>
                <w:szCs w:val="18"/>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shd w:val="clear" w:color="auto" w:fill="CCEEFF"/>
          </w:tcPr>
          <w:p>
            <w:pPr>
              <w:spacing w:after="0"/>
              <w:rPr>
                <w:sz w:val="18"/>
                <w:szCs w:val="18"/>
                <w:color w:val="auto"/>
              </w:rPr>
            </w:pPr>
          </w:p>
        </w:tc>
      </w:tr>
      <w:tr>
        <w:trPr>
          <w:trHeight w:val="249"/>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40" w:type="dxa"/>
            <w:vAlign w:val="bottom"/>
            <w:tcBorders>
              <w:bottom w:val="single" w:sz="8" w:color="CCEEFF"/>
            </w:tcBorders>
          </w:tcPr>
          <w:p>
            <w:pPr>
              <w:spacing w:after="0"/>
              <w:rPr>
                <w:sz w:val="21"/>
                <w:szCs w:val="21"/>
                <w:color w:val="auto"/>
              </w:rPr>
            </w:pPr>
          </w:p>
        </w:tc>
      </w:tr>
      <w:tr>
        <w:trPr>
          <w:trHeight w:val="197"/>
        </w:trPr>
        <w:tc>
          <w:tcPr>
            <w:tcW w:w="5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240" w:type="dxa"/>
            <w:vAlign w:val="bottom"/>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24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54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Borders>
              <w:bottom w:val="single" w:sz="8" w:color="CCEEFF"/>
            </w:tcBorders>
          </w:tcPr>
          <w:p>
            <w:pPr>
              <w:spacing w:after="0"/>
              <w:rPr>
                <w:sz w:val="12"/>
                <w:szCs w:val="12"/>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shd w:val="clear" w:color="auto" w:fill="CCEEFF"/>
          </w:tcPr>
          <w:p>
            <w:pPr>
              <w:spacing w:after="0"/>
              <w:rPr>
                <w:sz w:val="18"/>
                <w:szCs w:val="18"/>
                <w:color w:val="auto"/>
              </w:rPr>
            </w:pPr>
          </w:p>
        </w:tc>
      </w:tr>
      <w:tr>
        <w:trPr>
          <w:trHeight w:val="209"/>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Borders>
              <w:bottom w:val="single" w:sz="8" w:color="CCEEFF"/>
            </w:tcBorders>
          </w:tcPr>
          <w:p>
            <w:pPr>
              <w:spacing w:after="0"/>
              <w:rPr>
                <w:sz w:val="18"/>
                <w:szCs w:val="18"/>
                <w:color w:val="auto"/>
              </w:rPr>
            </w:pPr>
          </w:p>
        </w:tc>
      </w:tr>
      <w:tr>
        <w:trPr>
          <w:trHeight w:val="210"/>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$ 459,684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30,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115,389,689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$ 460,927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115,764,839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$ 467,076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941,370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withheld for taxes on restricted stock</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29,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116,362,977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$ 466,741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Fiscal Quarter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237"/>
              <w:spacing w:after="0" w:line="109" w:lineRule="exact"/>
              <w:rPr>
                <w:sz w:val="20"/>
                <w:szCs w:val="20"/>
                <w:color w:val="auto"/>
              </w:rPr>
            </w:pPr>
            <w:r>
              <w:rPr>
                <w:rFonts w:ascii="Times New Roman" w:cs="Times New Roman" w:eastAsia="Times New Roman" w:hAnsi="Times New Roman"/>
                <w:sz w:val="12"/>
                <w:szCs w:val="12"/>
                <w:b w:val="1"/>
                <w:bCs w:val="1"/>
                <w:color w:val="auto"/>
              </w:rPr>
              <w:t>March 29,</w:t>
            </w: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237"/>
              <w:spacing w:after="0" w:line="109" w:lineRule="exact"/>
              <w:rPr>
                <w:sz w:val="20"/>
                <w:szCs w:val="20"/>
                <w:color w:val="auto"/>
              </w:rPr>
            </w:pPr>
            <w:r>
              <w:rPr>
                <w:rFonts w:ascii="Times New Roman" w:cs="Times New Roman" w:eastAsia="Times New Roman" w:hAnsi="Times New Roman"/>
                <w:sz w:val="12"/>
                <w:szCs w:val="12"/>
                <w:b w:val="1"/>
                <w:bCs w:val="1"/>
                <w:color w:val="auto"/>
              </w:rPr>
              <w:t>March 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94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6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(5,962)</w:t>
            </w:r>
          </w:p>
        </w:tc>
        <w:tc>
          <w:tcPr>
            <w:tcW w:w="4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Unrealized foreign currency (gain) loss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lease expense</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1,776</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interest rate swap</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1,971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Bad debt expense</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non-cash, net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Earnings from equity method investment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Trade receivables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(52,550)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(44,895)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(9,559)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tax receivable</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(4,861)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(5,987)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4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4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(46,882)</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(3,452)</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(5,345)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5940" w:type="dxa"/>
            <w:vAlign w:val="bottom"/>
            <w:tcBorders>
              <w:top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(8,386)</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(5,345)</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on long-term debt borrowings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(18,813)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Repayments of finance lease obligations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 withheld for taxes on restricted stock units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5940" w:type="dxa"/>
            <w:vAlign w:val="bottom"/>
            <w:tcBorders>
              <w:top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22,493</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(19,002)</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CEEFF"/>
            </w:tcBorders>
          </w:tcPr>
          <w:p>
            <w:pPr>
              <w:ind w:left="12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4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 cash</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(32,432)</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(58,952)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4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56,398</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102,763</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14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23,966</w:t>
            </w: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43,811</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4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6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6,266</w:t>
            </w:r>
          </w:p>
        </w:tc>
        <w:tc>
          <w:tcPr>
            <w:tcW w:w="4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taxes paid, net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6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1,360</w:t>
            </w:r>
          </w:p>
        </w:tc>
        <w:tc>
          <w:tcPr>
            <w:tcW w:w="4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2024 was derived from audited financial statements but does not include all disclosures required by GAAP. The accompanying unaudited condensed consolidated financial statements as of March 29, 2025 and for the fiscal quarters ended March 29, 2025 and March 30, 2024,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2024 included in the Company’s 2024 Annual Report on Form 10-K, filed with the SEC on March 5, 2025 (the “Annual Report”). In the opinion of management, all adjustments, consisting only of normal recurring adjustments necessary for a fair statement of these condensed consolidated financial statements, have been included. The Company’s results of operations for the fiscal quarter ended March 29, 2025 are not necessarily indicative of the results of operations that may be expected for the fiscal year ending December 31, 2025 or other interim periods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 as updated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8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in an effort to enhance the transparency and decision usefulness of income tax disclosures. For all entities, ASU 2023-09 is effective for fiscal years beginning after December 15, 2024. The amendments should be applied prospectively with retrospective application permitted. Early adoption is also permitted. The Company is currently evaluating ASU 2023-09 and its potential impact on the notes to the condensed consolidated financial statements.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(“ASU 2024-03”), which improves disclosures to provide more detailed information about a business entity’s expenses. ASU 2024-03 is effective for public business entities for fiscal years beginning after December 15, 2026. The amendments should be applied retrospectively to all prior periods presented in the financial statements, with early adoption permitted. The Company is currently evaluating ASU 2024-03 and its potential impact on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15 for further detail.</w:t>
      </w:r>
    </w:p>
    <w:p>
      <w:pPr>
        <w:spacing w:after="0" w:line="18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Scope Application of Profits Interest and Similar Awards (“ASU 2024-01”), which improves financial reporting by providing clarity on when an entity should apply the scope guidance in paragraph 718-10-15-3. ASU 2024-01 is effective for public business entities for fiscal years beginning after December 15, 2024. For all other entities, the amendments are effective for fiscal years beginning after December 15, 2025. The amendments should be applied retrospectively to all prior periods presented in the financial statements, with early adoption permitted. Adoption of the new standard did not have an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Coverstar Central, LLC</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August 2, 2024 (the “Acquisition Date”), Latham Pool Products acquired Coverstar Central, LLC (“Coverstar Central”) for total consideration of $71.5 million (the “Coverstar Central Acquisition”). The total consideration included $66.5 million in cash (including a net working capital adjustment of $1.2 million) and a non-cash settlement of preexisting obligations of $4.9 million. Preexisting relationships are effectively settled since such a relationship becomes intercompany upon the acquisition and is eliminated in post-combination financial statements. The cash consideration was funded with cash on hand. The Company incurred $0.9 million in transaction costs. The results of Coverstar Central’s operations have been included in the condensed consolidated financial statements since that date. Coverstar Central is an automatic safety cover dealer based in the United States. The acquisition allows for vertical integration of the Company’s automatic safety cover product category. Additionally, the acquisition provides the Company with an increase in dealer and franchise relationships.</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accounted for the Coverstar Central Acquisition using the acquisition method of accounting in accordance with FASB ASC 805, Business Combinations. This requires that the assets acquired and liabilities assumed be measured at fair value. Inventories were valued using the comparative sales method. Specific to intangible assets, backlog and customer relationships were valued using the multi-period excess earnings method. The Company recorded the assets acquired and liabilities assumed at their respective fair values as of the Acquisition Date. The fair value of assets acquired and liabilities assumed recorded in the condensed consolidated financial statements may be subject to adjustment pending completion of final evaluation. These fair value estimates will be reevaluated and adjusted, if needed, during the measurement period of up to one year from the Acquisition Date, and recorded as adjustments to goodwill.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purchase price allocation for the Company’s acquisition of Coverstar Central: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August 2, 2024</w:t>
            </w: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71,516</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Allocation: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excluding goodwill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52,057</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fair value of net assets acquired, excluding goodwill</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r>
      <w:tr>
        <w:trPr>
          <w:trHeight w:val="209"/>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0"/>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excess of the total consideration over the fair value of the identifiable assets acquired and the liabilities assumed in the acquisition was allocated to goodwill in the amount of $22.0 million. Goodwill resulting from the acquisition was attributable to vertical integration, the expanded market share and broader geographical footprint. The goodwill recognized is deductible for tax purposes.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allocated a portion of the total consideration to specific intangible asset categories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pro forma financial information presents the statements of operations of the Company with Coverstar Central as if the acquisition occurred on January 1, 2024. The pro forma results do not include any anticipated synergies, cost savings or other expected benefits of the acquisition. The pro forma financial information is not necessarily indicative of what the financial results would have been had the acquisition been completed on January 1, 2024 and is not necessarily indicative of the Company’s future financial results.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17"/>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ind w:right="262"/>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presented above reflects the effects as a result of the acquisition, including the amortization expense from acquired intangible assets, the additional cost of sales from acquired inventory, the elimination of intercompany transactions and the removal of certain costs (primarily payroll costs) that would not have occurred and any related tax effects. Transaction costs for Coverstar Central are reflected within pro forma net loss for the fiscal quarter ended March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Combinations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29, 2025, the Company completed the acquisition of two autocover dealers located in New York and Tennessee that qualified as a business combination. This transaction resulted in an increase to goodwill and intangibles, but was not material to our condensed consolidated financial statements, and as a result, additional business combination disclosures for this acquisition have been omitted.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quarters ended March 29, 2025 and March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4"/>
          </w:tcPr>
          <w:p>
            <w:pPr>
              <w:jc w:val="right"/>
              <w:ind w:right="744"/>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17"/>
        </w:trPr>
        <w:tc>
          <w:tcPr>
            <w:tcW w:w="4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60" w:type="dxa"/>
            <w:vAlign w:val="bottom"/>
          </w:tcPr>
          <w:p>
            <w:pPr>
              <w:spacing w:after="0"/>
              <w:rPr>
                <w:sz w:val="10"/>
                <w:szCs w:val="10"/>
                <w:color w:val="auto"/>
              </w:rPr>
            </w:pPr>
          </w:p>
        </w:tc>
      </w:t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March 29, 2025 and December 31, 2024, the Company’s interest rate swap was a liability of $0.7 million and $0.4 million, respectively, which were recorded within other long-term liabilities on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March 29, 2025 and as of December 31, 2024 was $154.7 million and $152.6 million, respectively. The change in the carrying value during the fiscal quarter ended March 29, 2025 was primarily driven by acquisitions made in the first fiscal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March 29, 2025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8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$ 109,795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154,485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$ 435,088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$ 289,230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$7.2 million of amortization expense related to intangible assets during the fiscal quarter ended March 29, 2025. The Company recognized $6.4 million of amortization expense related to intangible assets during the fiscal quarter ended March 30,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the carrying value of dealer relationships is driven by the acquisitions made in the first fiscal quarter of 2025.</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December 31, 2024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7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$ 431,713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0" w:type="dxa"/>
            <w:vAlign w:val="bottom"/>
          </w:tcPr>
          <w:p>
            <w:pPr>
              <w:spacing w:after="0"/>
              <w:rPr>
                <w:sz w:val="1"/>
                <w:szCs w:val="1"/>
                <w:color w:val="auto"/>
              </w:rPr>
            </w:pPr>
          </w:p>
        </w:tc>
      </w:tr>
      <w:tr>
        <w:trPr>
          <w:trHeight w:val="148"/>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82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289,230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60" w:type="dxa"/>
            <w:vAlign w:val="bottom"/>
            <w:tcBorders>
              <w:bottom w:val="single" w:sz="8" w:color="CCEEFF"/>
            </w:tcBorders>
          </w:tcPr>
          <w:p>
            <w:pPr>
              <w:spacing w:after="0"/>
              <w:rPr>
                <w:sz w:val="18"/>
                <w:szCs w:val="18"/>
                <w:color w:val="auto"/>
              </w:rPr>
            </w:pPr>
          </w:p>
        </w:tc>
      </w:tr>
      <w:tr>
        <w:trPr>
          <w:trHeight w:val="210"/>
        </w:trPr>
        <w:tc>
          <w:tcPr>
            <w:tcW w:w="35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86,863</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60" w:type="dxa"/>
            <w:vAlign w:val="bottom"/>
            <w:shd w:val="clear" w:color="auto" w:fill="CCEEFF"/>
          </w:tcPr>
          <w:p>
            <w:pPr>
              <w:spacing w:after="0"/>
              <w:rPr>
                <w:sz w:val="18"/>
                <w:szCs w:val="18"/>
                <w:color w:val="auto"/>
              </w:rPr>
            </w:pPr>
          </w:p>
        </w:tc>
      </w:tr>
      <w:tr>
        <w:trPr>
          <w:trHeight w:val="21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60" w:type="dxa"/>
            <w:vAlign w:val="bottom"/>
            <w:shd w:val="clear" w:color="auto" w:fill="CCEEFF"/>
          </w:tcPr>
          <w:p>
            <w:pPr>
              <w:spacing w:after="0"/>
              <w:rPr>
                <w:sz w:val="18"/>
                <w:szCs w:val="18"/>
                <w:color w:val="auto"/>
              </w:rPr>
            </w:pPr>
          </w:p>
        </w:tc>
      </w:tr>
      <w:tr>
        <w:trPr>
          <w:trHeight w:val="21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February 23, 2022, Latham Pool Products and certain subsidiary guarantors entered into a credit and guaranty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w:t>
      </w:r>
    </w:p>
    <w:p>
      <w:pPr>
        <w:sectPr>
          <w:pgSz w:w="11900" w:h="16838" w:orient="portrait"/>
          <w:cols w:equalWidth="0" w:num="1">
            <w:col w:w="9920"/>
          </w:cols>
          <w:pgMar w:left="980" w:top="378"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 As of March 29, 2025, the Company was in compliance with all financial covenants under the Credit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the “First Lien Net Leverage Ratio”). Borrowings under the Revolving Credit Facility are not subject to amortization and are due at maturity.</w:t>
      </w:r>
    </w:p>
    <w:p>
      <w:pPr>
        <w:spacing w:after="0" w:line="18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condensed consolidated balance sheet and are being amortized over the life of the Revolving Credit Facility.</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there was $25.0 million of outstanding borrowings on the Revolving Credit Facility and $50.0 million was available for future borrowing.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Credit Agreement, Latham Pool Products borrowed $325.0 million in term loans. 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88" w:lineRule="exact"/>
        <w:rPr>
          <w:sz w:val="20"/>
          <w:szCs w:val="20"/>
          <w:color w:val="auto"/>
        </w:rPr>
      </w:pPr>
    </w:p>
    <w:p>
      <w:pPr>
        <w:jc w:val="both"/>
        <w:ind w:right="400"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30, 2024, the Company made a pre-payment of $18.0 million in addition to the required annual payments of $3.3 million. No additional pre-payments are expected to be made during the year ending December 31, 2025.</w:t>
      </w:r>
    </w:p>
    <w:p>
      <w:pPr>
        <w:spacing w:after="0" w:line="162"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Outstanding borrowings as of March 29, 2025 were $281.9 million, net of discount and debt issuance costs of $6.2 million. In connection with the Term Loan, the Company is subject to various negative, reporting, financial, and other covenants, including maintaining specific liquidity measurements.</w:t>
      </w:r>
    </w:p>
    <w:p>
      <w:pPr>
        <w:spacing w:after="0" w:line="176" w:lineRule="exact"/>
        <w:rPr>
          <w:sz w:val="20"/>
          <w:szCs w:val="20"/>
          <w:color w:val="auto"/>
        </w:rPr>
      </w:pPr>
    </w:p>
    <w:p>
      <w:pPr>
        <w:ind w:right="400" w:firstLine="324"/>
        <w:spacing w:after="0" w:line="312" w:lineRule="auto"/>
        <w:rPr>
          <w:sz w:val="20"/>
          <w:szCs w:val="20"/>
          <w:color w:val="auto"/>
        </w:rPr>
      </w:pPr>
      <w:r>
        <w:rPr>
          <w:rFonts w:ascii="Times New Roman" w:cs="Times New Roman" w:eastAsia="Times New Roman" w:hAnsi="Times New Roman"/>
          <w:sz w:val="17"/>
          <w:szCs w:val="17"/>
          <w:color w:val="auto"/>
        </w:rPr>
        <w:t>As of March 29, 2025, the unamortized debt issuance costs and discount on the Term Loan were $3.4 million and $2.7 million, respectively. The effective interest rate was 9.31% at March 29, 2025, including the impact of the Company’s interest rate swap.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an interest rate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78" w:right="10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Revolving Credit Facility, in the next five fiscal years, excluding any potential payments based on excess cash flow levels, are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275,063</w:t>
            </w:r>
          </w:p>
        </w:tc>
      </w:tr>
      <w:tr>
        <w:trPr>
          <w:trHeight w:val="209"/>
        </w:trPr>
        <w:tc>
          <w:tcPr>
            <w:tcW w:w="7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288,063</w:t>
            </w: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WARRANTIES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3660" w:type="dxa"/>
            <w:vAlign w:val="bottom"/>
            <w:tcBorders>
              <w:bottom w:val="single" w:sz="8" w:color="auto"/>
            </w:tcBorders>
            <w:gridSpan w:val="5"/>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2,647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3,161</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reserve</w:t>
            </w:r>
          </w:p>
        </w:tc>
        <w:tc>
          <w:tcPr>
            <w:tcW w:w="1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1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6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3,031</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3,019</w:t>
            </w:r>
          </w:p>
        </w:tc>
        <w:tc>
          <w:tcPr>
            <w:tcW w:w="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for the fiscal quarters ended March 29, 2025 and March 30, 2024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6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2"/>
                <w:szCs w:val="12"/>
                <w:color w:val="auto"/>
              </w:rPr>
            </w:pP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4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March 29, 2025 and December 31, 2024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3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Lease-related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March 29, 2025 and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73"/>
        </w:trPr>
        <w:tc>
          <w:tcPr>
            <w:tcW w:w="6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fiscal year maturities of operating lease liabilities as of March 29, 2025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w:t>
            </w:r>
          </w:p>
        </w:tc>
      </w:tr>
      <w:tr>
        <w:trPr>
          <w:trHeight w:val="209"/>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36,188</w:t>
            </w: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09"/>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w:t>
            </w:r>
          </w:p>
        </w:tc>
      </w:tr>
      <w:tr>
        <w:trPr>
          <w:trHeight w:val="20"/>
        </w:trPr>
        <w:tc>
          <w:tcPr>
            <w:tcW w:w="4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3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60" w:type="dxa"/>
            <w:vAlign w:val="bottom"/>
          </w:tcPr>
          <w:p>
            <w:pPr>
              <w:spacing w:after="0"/>
              <w:rPr>
                <w:sz w:val="12"/>
                <w:szCs w:val="12"/>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In-ground Swimming Pools</w:t>
            </w:r>
          </w:p>
        </w:tc>
        <w:tc>
          <w:tcPr>
            <w:tcW w:w="1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57,734</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Covers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Liners</w:t>
            </w:r>
          </w:p>
        </w:tc>
        <w:tc>
          <w:tcPr>
            <w:tcW w:w="1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w:t>
            </w:r>
          </w:p>
        </w:tc>
        <w:tc>
          <w:tcPr>
            <w:tcW w:w="60" w:type="dxa"/>
            <w:vAlign w:val="bottom"/>
            <w:shd w:val="clear" w:color="auto" w:fill="CCEEFF"/>
          </w:tcPr>
          <w:p>
            <w:pPr>
              <w:spacing w:after="0"/>
              <w:rPr>
                <w:sz w:val="18"/>
                <w:szCs w:val="18"/>
                <w:color w:val="auto"/>
              </w:rPr>
            </w:pPr>
          </w:p>
        </w:tc>
      </w:tr>
      <w:tr>
        <w:trPr>
          <w:trHeight w:val="209"/>
        </w:trPr>
        <w:tc>
          <w:tcPr>
            <w:tcW w:w="3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effective income tax rate for the fiscal quarter ended March 29, 2025 was 40.6% compared to (7.2)% for the fiscal quarter ended March 30, 2024. The differences between the U.S. federal statutory income tax rate and the Company’s effective income tax rates for the fiscal quarter ended March 29, 2025 and the fiscal quarter ended March 30, 2024 were primarily attributable to the discrete impact of stock-based compensation expense for which there is no associated tax benefit and the effects of branch accounting for Latham 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May 10, 2022, the Board of Directors of the Company (the “Board”) approved a stock repurchase program (the “Repurchase Program”), which authorizes the Company to repurchase up to $100 million of the Company’s shares of common stock by May 2025.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March 29, 2025, $77.0 million remained available for share repurchases pursuant to the Repurchase Program. The Company did not repurchase any shares of its common stock during the fiscal quarter ended March 29, 2025. The Company accounts for the excess of the repurchase price over the par value of shares acquired as a reduction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April 12, 2021, the Company’s stockholders approved the Latham Group, Inc. 2021 Omnibus Equity Incentive Plan (the “2021 Omnibus Equity Plan”), which became effective on April 22, 2021. The 2021 Omnibus Equity Plan provides for the issuance of incentive stock options, non-qualified stock options, stock appreciation rights, restricted stock, restricted stock units, performance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May 2, 2023, at the 2023 annual meeting of stockholders of the Company, the stockholders approved the first amendment (the “Equity Plan First Amendment”) to the 2021 Omnibus Equity Plan, which was previously approved by the Board. The Equity Plan First Amendment became effective upon stockholder approval, and provides for (i) an increase by 8,000,000 shares of the share pool, i.e. the maximum number of shares of the Company’s common stock that may be issued pursuant to awards granted under the 2021 Omnibus Equity Plan, (ii) a prohibition on recycling of shares withheld or remitted to pay taxes for all awards, (iii) a minimum vesting period of one year for all awards, with an exception for shares representing 5% of the share pool, and (iv) a prohibition on the transfer of stock options and stock appreciation rights for value or to third-party financial institutions without stockholder approval.</w:t>
      </w:r>
    </w:p>
    <w:p>
      <w:pPr>
        <w:spacing w:after="0" w:line="18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Except as amended by the Equity Plan First Amendment, the other terms of the 2021 Omnibus Equity Plan remain in full force and effect. Subsequent to the Equity Plan First Amendment, the maximum aggregate number of shares reserved for issuance under the 2021 Omnibus Equity Plan is 21,170,212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4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360" w:type="dxa"/>
            <w:vAlign w:val="bottom"/>
          </w:tcPr>
          <w:p>
            <w:pPr>
              <w:spacing w:after="0"/>
              <w:rPr>
                <w:sz w:val="12"/>
                <w:szCs w:val="12"/>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60" w:type="dxa"/>
            <w:vAlign w:val="bottom"/>
            <w:tcBorders>
              <w:top w:val="single" w:sz="8" w:color="CCEEFF"/>
            </w:tcBorders>
            <w:shd w:val="clear" w:color="auto" w:fill="CCEEFF"/>
          </w:tcPr>
          <w:p>
            <w:pPr>
              <w:spacing w:after="0"/>
              <w:rPr>
                <w:sz w:val="18"/>
                <w:szCs w:val="18"/>
                <w:color w:val="auto"/>
              </w:rPr>
            </w:pPr>
          </w:p>
        </w:tc>
      </w:tr>
      <w:tr>
        <w:trPr>
          <w:trHeight w:val="210"/>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6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total unrecognized stock-based compensation expense related to all unvested stock-based awards was $15.7 million, which is expected to be recognized over a weighted-average period of 2.2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fiscal quarter ended March 29,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(941,370)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(56,405)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29,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4,001,061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 activity during the fiscal quarter ended March 29,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29, 2025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1,383,738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29, 2025</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1,383,738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15.20</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6.61</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March 29, 2025</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976,745</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6.58</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 w:cs="Times New Roman" w:eastAsia="Times New Roman" w:hAnsi="Times New Roman"/>
          <w:sz w:val="10"/>
          <w:szCs w:val="10"/>
          <w:color w:val="auto"/>
        </w:rPr>
        <w:t>.</w:t>
      </w:r>
    </w:p>
    <w:p>
      <w:pPr>
        <w:sectPr>
          <w:pgSz w:w="11900" w:h="16838" w:orient="portrait"/>
          <w:cols w:equalWidth="0" w:num="1">
            <w:col w:w="9920"/>
          </w:cols>
          <w:pgMar w:left="980" w:top="378"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quarter ended March 29,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 Term</w:t>
            </w:r>
          </w:p>
        </w:tc>
        <w:tc>
          <w:tcPr>
            <w:tcW w:w="16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29,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March 29, 2025</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660,556</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8.13</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 appreciation rights exercisable at March 29, 2025</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292,602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3.19</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8.12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29, 2025 the Compensation Committee of the Board approved the grant of performance stock units (“PSUs”) as a portion of the annual equity award to the Company’s executive officers.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Thirty-three percent of the target number of PSUs awarded on the date of grant will be earned annually at 0% to 200% of the target number of PSUs based on the Company’s achievement of Adjusted EBITDA (with 100% of PSUs being earned at target performance, and linear interpolation between threshold and target and maximum performance) as defined in the award agreement, for each year of the three-year performance period beginning January 1, 2025 and ending December 31, 2027. Any earned PSUs cliff vest on the third anniversary of the grant date. Adjusted EBITDA is considered a performance condition and the grant date fair value corresponds with management’s expectation of the probable outcome of the performance condition as of the grant date. The grant date fair value is determined based on the fair market value of the Company’s stock at market close on the grant date multiplied by the target number of shares subject to the award and adjusted for management's expectation of the probable outcome of the performance condition. The probability of achieving the performance criteria is assessed quarterly during the performance period. Compensation expense related to unvested PSUs is recognized ratably over the performance period.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fiscal quarter ended March 29,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807,771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Adjustment for performance achievement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29,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1,133,384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right="1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performance expectations as of the end of each respective fiscal year.</w:t>
      </w:r>
    </w:p>
    <w:p>
      <w:pPr>
        <w:spacing w:after="0" w:line="161"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325,613 PSUs could potentially be included if the maximum performance level of 200% is earned for all PSUs granted during the fiscal quarter ended March 29,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5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2"/>
                <w:szCs w:val="12"/>
                <w:color w:val="auto"/>
              </w:rPr>
            </w:pPr>
          </w:p>
        </w:tc>
        <w:tc>
          <w:tcPr>
            <w:tcW w:w="16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(7,864)</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60" w:type="dxa"/>
            <w:vAlign w:val="bottom"/>
            <w:tcBorders>
              <w:bottom w:val="single" w:sz="8" w:color="auto"/>
            </w:tcBorders>
            <w:shd w:val="clear" w:color="auto" w:fill="CCEEFF"/>
          </w:tcPr>
          <w:p>
            <w:pPr>
              <w:spacing w:after="0"/>
              <w:rPr>
                <w:sz w:val="18"/>
                <w:szCs w:val="18"/>
                <w:color w:val="auto"/>
              </w:rPr>
            </w:pPr>
          </w:p>
        </w:tc>
      </w:tr>
      <w:tr>
        <w:trPr>
          <w:trHeight w:val="209"/>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60" w:type="dxa"/>
            <w:vAlign w:val="bottom"/>
            <w:tcBorders>
              <w:bottom w:val="single" w:sz="8" w:color="auto"/>
            </w:tcBorders>
          </w:tcPr>
          <w:p>
            <w:pPr>
              <w:spacing w:after="0"/>
              <w:rPr>
                <w:sz w:val="18"/>
                <w:szCs w:val="18"/>
                <w:color w:val="auto"/>
              </w:rPr>
            </w:pPr>
          </w:p>
        </w:tc>
      </w:tr>
      <w:tr>
        <w:trPr>
          <w:trHeight w:val="20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r>
      <w:tr>
        <w:trPr>
          <w:trHeight w:val="209"/>
        </w:trPr>
        <w:tc>
          <w:tcPr>
            <w:tcW w:w="5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-16510</wp:posOffset>
            </wp:positionV>
            <wp:extent cx="34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and December 31, 2024, 116,362,977 and 115,764,839 shares of common stock were issued and outstanding, respectively.</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loss per share because the effect was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376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6160" w:type="dxa"/>
            <w:vAlign w:val="bottom"/>
          </w:tcPr>
          <w:p>
            <w:pPr>
              <w:spacing w:after="0"/>
              <w:rPr>
                <w:sz w:val="12"/>
                <w:szCs w:val="12"/>
                <w:color w:val="auto"/>
              </w:rPr>
            </w:pPr>
          </w:p>
        </w:tc>
        <w:tc>
          <w:tcPr>
            <w:tcW w:w="2000" w:type="dxa"/>
            <w:vAlign w:val="bottom"/>
            <w:tcBorders>
              <w:top w:val="single" w:sz="8" w:color="auto"/>
            </w:tcBorders>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72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40" w:type="dxa"/>
            <w:vAlign w:val="bottom"/>
          </w:tcPr>
          <w:p>
            <w:pPr>
              <w:spacing w:after="0"/>
              <w:rPr>
                <w:sz w:val="12"/>
                <w:szCs w:val="12"/>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200,279</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4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1,278,535</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1,521,158</w:t>
            </w:r>
          </w:p>
        </w:tc>
        <w:tc>
          <w:tcPr>
            <w:tcW w:w="40" w:type="dxa"/>
            <w:vAlign w:val="bottom"/>
            <w:shd w:val="clear" w:color="auto" w:fill="CCEEFF"/>
          </w:tcPr>
          <w:p>
            <w:pPr>
              <w:spacing w:after="0"/>
              <w:rPr>
                <w:sz w:val="18"/>
                <w:szCs w:val="18"/>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657,999</w:t>
            </w:r>
          </w:p>
        </w:tc>
        <w:tc>
          <w:tcPr>
            <w:tcW w:w="40" w:type="dxa"/>
            <w:vAlign w:val="bottom"/>
          </w:tcPr>
          <w:p>
            <w:pPr>
              <w:spacing w:after="0"/>
              <w:rPr>
                <w:sz w:val="19"/>
                <w:szCs w:val="19"/>
                <w:color w:val="auto"/>
              </w:rPr>
            </w:pPr>
          </w:p>
        </w:tc>
      </w:tr>
      <w:tr>
        <w:trPr>
          <w:trHeight w:val="23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87,462</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75,937</w:t>
            </w:r>
          </w:p>
        </w:tc>
        <w:tc>
          <w:tcPr>
            <w:tcW w:w="40" w:type="dxa"/>
            <w:vAlign w:val="bottom"/>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that designs, manufactures, and markets in-ground swimming pools, pool covers, and pool liners. The Company’s Chief Executive Officer, who is the chief operating decision maker (“CODM”), reviews financial information presented on a consolidated basis for purposes of assessing financial performance and allocating resources.</w:t>
      </w:r>
    </w:p>
    <w:p>
      <w:pPr>
        <w:spacing w:after="0" w:line="18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reports consolidated net income (loss), as management believes that is the measure most consistent with the measurement principles in the Company’s condensed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Operations of the Company’s single segment consisted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680" w:type="dxa"/>
            <w:vAlign w:val="bottom"/>
            <w:tcBorders>
              <w:bottom w:val="single" w:sz="8" w:color="auto"/>
            </w:tcBorders>
          </w:tcPr>
          <w:p>
            <w:pPr>
              <w:spacing w:after="0"/>
              <w:rPr>
                <w:sz w:val="15"/>
                <w:szCs w:val="15"/>
                <w:color w:val="auto"/>
              </w:rPr>
            </w:pPr>
          </w:p>
        </w:tc>
      </w:tr>
      <w:tr>
        <w:trPr>
          <w:trHeight w:val="209"/>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110,629</w:t>
            </w:r>
          </w:p>
        </w:tc>
      </w:tr>
      <w:tr>
        <w:trPr>
          <w:trHeight w:val="216"/>
        </w:trPr>
        <w:tc>
          <w:tcPr>
            <w:tcW w:w="5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cost of sales</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76,438</w:t>
            </w:r>
          </w:p>
        </w:tc>
      </w:tr>
      <w:tr>
        <w:trPr>
          <w:trHeight w:val="216"/>
        </w:trPr>
        <w:tc>
          <w:tcPr>
            <w:tcW w:w="5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selling, general and administrative expense</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16"/>
        </w:trPr>
        <w:tc>
          <w:tcPr>
            <w:tcW w:w="5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Amortization</w:t>
            </w:r>
            <w:r>
              <w:rPr>
                <w:rFonts w:ascii="Times New Roman" w:cs="Times New Roman" w:eastAsia="Times New Roman" w:hAnsi="Times New Roman"/>
                <w:sz w:val="25"/>
                <w:szCs w:val="25"/>
                <w:color w:val="auto"/>
                <w:vertAlign w:val="superscript"/>
              </w:rPr>
              <w:t>(3)</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5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(4)</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5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Acquisition and integration related costs</w:t>
            </w:r>
            <w:r>
              <w:rPr>
                <w:rFonts w:ascii="Times New Roman" w:cs="Times New Roman" w:eastAsia="Times New Roman" w:hAnsi="Times New Roman"/>
                <w:sz w:val="25"/>
                <w:szCs w:val="25"/>
                <w:color w:val="auto"/>
                <w:vertAlign w:val="superscript"/>
              </w:rPr>
              <w:t>(5)</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(6)</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w:t>
            </w: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firstLine="332"/>
        <w:spacing w:after="0" w:line="282"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sales includes total cost of sales (as presented in the condensed consolidated statements of operations) excluding depreciation, stock-based compensation, restructuring charges, and strategic initiative costs.</w:t>
      </w:r>
    </w:p>
    <w:p>
      <w:pPr>
        <w:spacing w:after="0" w:line="161" w:lineRule="exact"/>
        <w:rPr>
          <w:rFonts w:ascii="Times New Roman" w:cs="Times New Roman" w:eastAsia="Times New Roman" w:hAnsi="Times New Roman"/>
          <w:sz w:val="18"/>
          <w:szCs w:val="18"/>
          <w:color w:val="auto"/>
        </w:rPr>
      </w:pPr>
    </w:p>
    <w:p>
      <w:pPr>
        <w:ind w:right="180" w:firstLine="332"/>
        <w:spacing w:after="0" w:line="266"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 includes total selling, general and administrative expense (as presented in the condensed consolidated statements of operations) excluding depreciation, amortization, stock-based compensation, strategic initiative costs and acquisition and integration related costs.</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finance lease amortization.</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225" w:lineRule="exact"/>
        <w:rPr>
          <w:rFonts w:ascii="Times New Roman" w:cs="Times New Roman" w:eastAsia="Times New Roman" w:hAnsi="Times New Roman"/>
          <w:sz w:val="18"/>
          <w:szCs w:val="18"/>
          <w:color w:val="auto"/>
        </w:rPr>
      </w:pPr>
    </w:p>
    <w:p>
      <w:pPr>
        <w:ind w:right="100" w:firstLine="332"/>
        <w:spacing w:after="0" w:line="266"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2024 Annual Report on Form 10-K filed with the Securities and Exchange Commission, (“SEC”) on March 5, 2025 (the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changes in U.S. trade priorities, policies, regulations and tariffs, the implementation of our cost reduction plans and expected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or furnish with the SEC, including elsewhere in this Quarterly Report on Form 10-Q. For similar reasons, our past results may not be a reliable indicator of future performance and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covers, and pool liners.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and co-branded marketing programs.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covers, and pool liners.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operations consist of approximately 1,800 employees across about 30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March 29, 2025</w:t>
      </w:r>
    </w:p>
    <w:p>
      <w:pPr>
        <w:spacing w:after="0" w:line="229" w:lineRule="exact"/>
        <w:rPr>
          <w:sz w:val="20"/>
          <w:szCs w:val="20"/>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0.7%, or $0.8 million, to $111.4 million for the fiscal quarter ended March 29, 2025, compared to $110.6 million for the fiscal quarter ended March 30, 2024.</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loss of $1.9 million to $6.0 million and representing a 5.4% net loss margin for the fiscal quarter ended March 29, 2025, compared to net loss of $7.9 million for the fiscal quarter ended March 30, 2024.</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Adjusted EBITDA (as defined below) of $1.2 million to $11.1 million for the fiscal quarter ended March 29, 2025, compared to $12.3 million for the fiscal quarter ended March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Based on our current business trends reflecting the seasonal ramp-up orders in the later part of the first fiscal quarter, our results of operations for the fiscal quarter ended March 29, 2025 were aligned with our expectations. These results were primarily driven by category share gains in fiberglass pools and autocovers, along with contributions from the Coverstar Central acquisition in August 2024 and the early 2025 acquisitions of two of our smaller autocover dealers. The seasonal ramp-up in orders began in late March, supporting our expectation for progressively higher year-on-year comparisons during the typically stronger second and third fiscal quarters of the year. At the same time, we remain cautious on 2025 new pool starts, which we currently project to be roughly in line with 2024 levels. Additionally, we are closely monitoring the potential impact of current macroeconomic and geopolitical conditions, including the global trade environment and elevated tariffs on imported raw materials, as well as general reduced consumer confidence and increased economic uncertainty. Imports represent approximately 15-20% of the raw materials used in our manufacturing process, so our exposure to additional recently implemented tariffs is relatively limited. While global trade and economic uncertainty remains, we are confident in our ability to offset raw material cost increases through strategic pre-purchasing and operational adjustments. Additionally, we recently implemented targeted price increases on certain products to help further mitigate the potential impact of tariffs.</w:t>
      </w:r>
    </w:p>
    <w:p>
      <w:pPr>
        <w:spacing w:after="0" w:line="19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product innovation, facility upgrades and technology and systems. These initiatives complement continued investment in our sales, marketing, engineering and research and development efforts that are designed to accelerate conversion to fiberglass pool products and ongoing digital transformation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2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Strategic transactions continue to be part of our growth strategy. On August 2, 2024, we completed a stock acquisition of Coverstar Central, our exclusive dealer of automatic safety covers in 29 states – mainly in the center of the U.S. Coverstar Central has been our trusted partner since 2006, and this acquisition represents a valuable strategic opportunity that we expect to benefit from in multiple ways. First, the vertical integration of our automatic safety cover product line in the acquired geographies is expected to increase margins. Second, as one company with a fully integrated sales and marketing strategy, we expect to accelerate the sales growth of this product line. Finally, we see opportunities to leverage Coverstar Central’s long-standing relationships with pool builders in its markets to increase the awareness of, and conversion to, fiberglass pools. During the fiscal quarter ended March 29, 2025, we further strengthened our position in this growing category by acquiring two of our smaller autocover dealers located in Tennessee and New York.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(gain) loss on sale and disposal of property and equipment, (v) restructuring charges, (vi) stock-based compensation expense, (vii) unrealized (gains) losses on foreign currency transactions, (viii) strategic initiative costs, (ix) acquisition and integration related costs and (x) other.</w:t>
      </w:r>
    </w:p>
    <w:p>
      <w:pPr>
        <w:spacing w:after="0" w:line="19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March 29, 2025 Compared to Fiscal Quarter Ended March 30, 2024</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March 29, 2025 and March 30, 2024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84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in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gridSpan w:val="3"/>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5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6"/>
        </w:trPr>
        <w:tc>
          <w:tcPr>
            <w:tcW w:w="3700" w:type="dxa"/>
            <w:vAlign w:val="bottom"/>
            <w:gridSpan w:val="3"/>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11,139</w:t>
            </w:r>
          </w:p>
        </w:tc>
        <w:tc>
          <w:tcPr>
            <w:tcW w:w="160" w:type="dxa"/>
            <w:vAlign w:val="bottom"/>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12,292</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(1,153)</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360" w:firstLine="332"/>
        <w:spacing w:after="0" w:line="282"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loss,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Net sales were $111.4 million for the fiscal quarter ended March 29, 2025, compared to $110.6 million for the fiscal quarter ended March 30, 2024. The $0.8 million, or 0.7%, increase in net sales was due to a $2.4 million increase in sales volume, partially offset by a $1.6 million decrease from lower pricing. The increase in total net sales of $0.8 million across our product lines consisted of an increase of $4.7 million for pool covers, partially offset by decreases of $2.1 million for in-ground swimming pools and $1.8 million for pool liners.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Cost of sales was $78.5 million for the fiscal quarter ended March 29, 2025, compared to $80.0 million for the fiscal quarter ended March 30, 2024. The $1.5 million, or 1.9%, decrease in cost of sales was primarily the result of the decrease in fixed cost leverage. Gross margin increased by 1.8%, to 29.5% of net sales for the fiscal quarter ended March 29, 2025, compared to 27.7% of net sales for the fiscal quarter ended March 30, 2024. The 1.8% increase in gross margin was primarily driven by our lean manufacturing and value engineering initiatives and a margin benefit from the three Coverstar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right="42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was $30.6 million for the fiscal quarter ended March 29, 2025, compared to $26.3 million for the fiscal quarter ended March 30, 2024, and increased as a percentage of net sales by 3.6%. The $4.3 million, or 16.6%, increase in selling, general, and administrative expense was primarily driven by increased spending on sales and marketing to drive future growth, as well as the three Coverstar acquisitions.</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Amortization was $7.2 million for the fiscal quarter ended March 29, 2025, compared to $6.4 million for the fiscal quarter ended March 30, 2024. The $0.8 million, or 12.2%, increase in amortization was primarily driven by the three Coverstar acquisitions.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Interest expense, net was $6.4 million for the fiscal quarter ended March 29, 2025, compared to $5.0 million for the fiscal quarter ended March 30, 2024. The $1.4 million, or 27.9%, increase in interest expense, net was primarily the result of the change in the fair value of our interest rate swap, compared to the fiscal quarter ended March 30, 2024, partially offset by a lower effective interest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Other income, net was $0.3 million for the fiscal quarter ended March 29, 2025, compared to other expense, net of $1.6 million for fiscal quarter ended March 30, 2024. The $1.9 million increase in other (income) expense, net was primarily driven by a 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Earnings from our equity method investment in Premier Pools &amp; Spa were $1.0 million for the fiscal quarter ended March 29, 2025, compared to $1.3 million for the fiscal quarter ended March 30, 2024 representing the financial performance of Premier Pools &amp; Spa.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Income tax benefit was $4.1 million for the fiscal quarter ended March 29, 2025, compared to income tax expense of $0.5 million for the fiscal quarter ended March 30, 2024. Our effective tax rate was 40.6% for the fiscal quarter ended March 29, 2025, compared to (7.2)% for the fiscal quarter ended March 30, 2024. The difference between the U.S. federal statutory income tax rate and our effective income tax rate for both the fiscal quarters ended March 29, 2025 and March 30, 2024 was primarily attributable to the discrete impact of stock compensation expense for which there is no associated tax benefit and the effects of branch accounting for Latham 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Net loss was $6.0 million for the fiscal quarter ended March 29, 2025, compared to $7.9 million for the fiscal quarter ended March 30, 2024. The $1.9 million, or 24.2%, decrease in net loss was primarily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Margin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loss margin was 5.4% for the fiscal quarter ended March 29, 2025, compared to 7.1% for the fiscal quarter ended March 30, 2024. The 1.7% decrease in net loss margin was driven by a $1.9 million decrease in net loss, compared to the fiscal quarter ended March 30, 2024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Adjusted EBITDA was $11.1 million for the fiscal quarter ended March 29, 2025, compared to $12.3 million for the fiscal quarter ended March 30, 2024. The $1.2 million, or 9.4%, decrease in Adjusted EBITDA was primarily because of increased investment in sales and marketing programs, partially offset by the benefits from lean manufacturing and value engineering initiatives, as well as the other factors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Adjusted EBITDA margin was 10.0% for the fiscal quarter ended March 29, 2025, compared to 11.1% for the fiscal quarter ended March 30, 2024. The 1.1% decrease in Adjusted EBITDA margin was primarily because of a $1.2 million increase in Adjusted EBITDA and a $0.8 million increase in net sales, compared to the fiscal quarter ended March 30, 2024, which were impacted by the factors described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7"/>
          <w:szCs w:val="17"/>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(gain) loss on sale and disposal of property and equipment,</w:t>
      </w:r>
    </w:p>
    <w:p>
      <w:pPr>
        <w:spacing w:after="0" w:line="4"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(vi) stock-based compensation expense, (vii) unrealized (gains) losses on foreign currency transactions,</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 costs, (ix) acquisition and integration related costs and (x) other.</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(benefit) expense,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00" w:right="36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ectPr>
          <w:pgSz w:w="11900" w:h="16838" w:orient="portrait"/>
          <w:cols w:equalWidth="0" w:num="1">
            <w:col w:w="9860"/>
          </w:cols>
          <w:pgMar w:left="980" w:top="378" w:right="1059"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378" w:right="10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loss to Adjusted EBITDA for the periods presented and the calculation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6"/>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and disposal of property and equipment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(a)</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 expense</w:t>
            </w:r>
            <w:r>
              <w:rPr>
                <w:rFonts w:ascii="Times New Roman" w:cs="Times New Roman" w:eastAsia="Times New Roman" w:hAnsi="Times New Roman"/>
                <w:sz w:val="25"/>
                <w:szCs w:val="25"/>
                <w:color w:val="auto"/>
                <w:vertAlign w:val="superscript"/>
              </w:rPr>
              <w:t>(b)</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Unrealized (gains) losses on foreign currency transactions </w:t>
            </w:r>
            <w:r>
              <w:rPr>
                <w:rFonts w:ascii="Times New Roman" w:cs="Times New Roman" w:eastAsia="Times New Roman" w:hAnsi="Times New Roman"/>
                <w:sz w:val="25"/>
                <w:szCs w:val="25"/>
                <w:color w:val="auto"/>
                <w:vertAlign w:val="superscript"/>
              </w:rPr>
              <w:t>(c)</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(d)</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Acquisition and integration related costs</w:t>
            </w:r>
            <w:r>
              <w:rPr>
                <w:rFonts w:ascii="Times New Roman" w:cs="Times New Roman" w:eastAsia="Times New Roman" w:hAnsi="Times New Roman"/>
                <w:sz w:val="25"/>
                <w:szCs w:val="25"/>
                <w:color w:val="auto"/>
                <w:vertAlign w:val="superscript"/>
              </w:rPr>
              <w:t>(e)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(f)</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111,420</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110,629</w:t>
            </w: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right="80" w:hanging="332"/>
        <w:spacing w:after="0" w:line="25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associated with our international subsidiaries.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9" w:lineRule="exact"/>
        <w:rPr>
          <w:rFonts w:ascii="Times New Roman" w:cs="Times New Roman" w:eastAsia="Times New Roman" w:hAnsi="Times New Roman"/>
          <w:sz w:val="18"/>
          <w:szCs w:val="18"/>
          <w:color w:val="auto"/>
        </w:rPr>
      </w:pPr>
    </w:p>
    <w:p>
      <w:pPr>
        <w:ind w:left="340" w:right="200" w:hanging="332"/>
        <w:spacing w:after="0" w:line="26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 As of March 29, 2025, we had $24.0 million of cash, $306.9 million of outstanding indebtedness and an additional $50.0 million of borrowing availability under our Revolving Credit Facility.</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investments in lean manufacturing and value engineering, including production capacity, diversifying our product offerings, storage, and delivery equipment. We are in the midst of a multi-year capital plan to invest in our facilities, technology, and systems.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and certain subsidiary guarantors entered into a credit and guaranty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29, 2025, we were in compliance with all covenants under the Credit Agreement.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7"/>
          <w:szCs w:val="17"/>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(as defined in the Credit</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Agreement, the “First Lien Net Leverage Ratio”). Borrowings under the Revolving Credit Facility are not subject to amortization and are due at maturity.</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we had $25.0 million in outstanding borrowings under the Revolving Credit Facility and $50.0 million was available for future borrowing.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29, 2025, we had $281.9 million of outstanding borrowings under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May 10, 2022, our Board approved a stock repurchase program (the “Repurchase Program”), which authorizes us to repurchase up to $100 million of our shares of common stock by May 2025.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We did not repurchase any shares of our common stock during the fiscal quarter ended March 29, 2025. As of March 29, 2025, $77.0 million remained available for share repurchases pursuant to our 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60" w:type="dxa"/>
            <w:vAlign w:val="bottom"/>
          </w:tcPr>
          <w:p>
            <w:pPr>
              <w:spacing w:after="0"/>
              <w:rPr>
                <w:sz w:val="12"/>
                <w:szCs w:val="12"/>
                <w:color w:val="auto"/>
              </w:rPr>
            </w:pPr>
          </w:p>
        </w:tc>
      </w:tr>
      <w:tr>
        <w:trPr>
          <w:trHeight w:val="196"/>
        </w:trPr>
        <w:tc>
          <w:tcPr>
            <w:tcW w:w="5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(46,882)</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bottom w:val="single" w:sz="8" w:color="CCEEFF"/>
            </w:tcBorders>
          </w:tcPr>
          <w:p>
            <w:pPr>
              <w:spacing w:after="0"/>
              <w:rPr>
                <w:sz w:val="18"/>
                <w:szCs w:val="18"/>
                <w:color w:val="auto"/>
              </w:rPr>
            </w:pPr>
          </w:p>
        </w:tc>
      </w:tr>
      <w:tr>
        <w:trPr>
          <w:trHeight w:val="210"/>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 cash</w:t>
            </w:r>
          </w:p>
        </w:tc>
        <w:tc>
          <w:tcPr>
            <w:tcW w:w="1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During the fiscal quarter ended March 29, 2025, operating activities used $46.9 million of cash. Net loss, after adjustments for non-cash items, provided cash of $10.3 million. Cash used in operating activities was driven by changes in our operating assets and liabilities of $57.2 million. Net cash used by changes in our operating assets and liabilities for the fiscal quarter ended March 29, 2025 consisted primarily of a $52.6 million increase in trade receivables, a $9.6 million increase in inventories, a $4.9 million decrease in accrued expenses and other current liabilities, a $4.6 million increase in income tax receivable, a $0.1 million decrease in other long-term liabilities and a less than $0.1 million increase in other assets, partially offset by a $14.3 million increase in accounts payable and a $0.2 million decrease in prepaid expenses and other current assets. The change in trade receivables was primarily driven by the timing of net sales. The change in inventory was driven by pre-purchasing due to the global trade environment. The changes in accrued expenses and other current liabilities and accounts payable were primarily driven by volume of purchases and timing of payments.</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During the fiscal quarter ended March 30, 2024, operating activities used $34.5 million of cash. Net loss, after adjustments for non-cash items, provided cash of $6.8 million. Cash used in operating activities was driven by changes in our operating assets and liabilities of $41.3 million. Net cash used by changes in our operating assets and liabilities for the fiscal quarter ended March 30, 2024 consisted primarily of a $44.9 million increase in trade receivables, a $6.0 million decrease in accrued expenses and other current liabilities, a $0.4 million increase in income tax receivable, a $0.2 million decrease in other long-term liabilities and a $0.1 million</w:t>
      </w:r>
    </w:p>
    <w:p>
      <w:pPr>
        <w:sectPr>
          <w:pgSz w:w="11900" w:h="16838" w:orient="portrait"/>
          <w:cols w:equalWidth="0" w:num="1">
            <w:col w:w="9920"/>
          </w:cols>
          <w:pgMar w:left="980" w:top="378"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increase in other assets, partially offset by a $8.2 million increase in accounts payable, a $1.6 million decrease in inventories and a $0.5 million decrease in prepaid expenses and other current assets. The change in trade receivables was primarily driven by the timing of net sales. The changes in accrued expenses and other current liabilities and accounts payable were primarily driven by volume of purchases and timing of payments.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29, 2025, investing activities used $8.4 million of cash, consisting of the acquisition of two of our autocover dealers of $4.9 million and purchases of property and equipment for $3.5 million. The purchase of property and equipment was primarily to expand capacity for production and diversify offerings, especially for fiberglass pools, the majority of which relates to finishing up carryover projects from the prior year.</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30, 2024, investing activities used $5.3 million of cash, consisting of purchases of property and equipment for $5.3 million. The purchase of property and equipment was primarily to expand capacity for production and diversify offerings, especially for fiberglass pools, the majority of which relates to finishing up carryover projects from the prior year.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29, 2025, financing activities provided $22.5 million of cash, primarily consisting of long-term debt borrowings of $25.0 million partially offset by common stock withheld for taxes on restricted stock units of $2.3 million and repayments of finance lease obligations of $0.2 million.</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30, 2024, financing activities used $19.0 million of cash, primarily consisting of repayments on long-term debt borrowings of $18.8 million and repayments of finance lease obligations of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fiscal quarter ended March 29, 2025 from those described under the heading “Management’s Discussion and Analysis of Financial Condition and Results of Operations—Contractual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and notes to such financial statements, is disclosed in Note 2 to our condensed consolidated financial statements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w:t>
      </w:r>
    </w:p>
    <w:p>
      <w:pPr>
        <w:sectPr>
          <w:pgSz w:w="11900" w:h="16838" w:orient="portrait"/>
          <w:cols w:equalWidth="0" w:num="1">
            <w:col w:w="9880"/>
          </w:cols>
          <w:pgMar w:left="980" w:top="378" w:right="1039" w:bottom="1440"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378" w:right="10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currencies. Changes in these rates may have an impact on future cash flow and earnings. We manage these risks through normal operating and financing activities.</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29, 2025, there have been no material changes to the information included under the heading “Management’s Discussion and Analysis of Financial Condition and Results of Operations—Quantitative and Qualitative Disclosures about Market Risk” in our Annual Report.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entered into an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March 29, 2025, would cause an increase or decrease to annual interest expense, net of approximately $1.3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29, 2025. Based upon their evaluation, our Chief Executive Officer and Chief Financial Officer concluded that our disclosure controls and procedures were effective at a reasonable assurance level as of March 29,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 new enterprise resource planning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spacing w:after="0" w:line="183"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legal proceedings in the ordinary course of business, including, among others, contract and employment claims, personal injury claims, intellectual property claims, product liability claims and warranty claims, some of which may be covered by insurance. Currently, there are no legal proceedings against us that we believe will have a material adverse effect on our business, financial condition, results of operations or cash flows. Further, no material legal proceedings were terminated, settled, or otherwise resolved during the fiscal quarter ended March 29, 2025. However, the results of any current or future legal proceedings cannot be predicted with certainty and, regardless of the outcome, we may incur significant costs and experience a diversion of management resources as a result of legal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and other subsequent reports we file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 dispositions, joint ventures or investments we may undertake. Any of these known or emerging factors may materially adversely affect our business, financial condition, and operating results, as well as the trading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May 10, 2022, our Board approved the Repurchase Program, which authorizes us to repurchase up to $100.0 million of our shares of common stock by May 2025.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March 29, 2025, $77.0 million remained available for share repurchases pursuant to the Repurchase Program. We did not repurchase any shares of our common stock during the fiscal quarter ended March 29, 2025.</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29, 2025,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8700" w:type="dxa"/>
            <w:vAlign w:val="bottom"/>
            <w:tcBorders>
              <w:top w:val="single" w:sz="8" w:color="auto"/>
            </w:tcBorders>
            <w:gridSpan w:val="9"/>
          </w:tcPr>
          <w:p>
            <w:pPr>
              <w:spacing w:after="0" w:line="169"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 and Restated Certificate of Incorporation of Latham Group, Inc. (incorporated by reference to Exhibit 3.1 to</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Latham Group, Inc.’s Quarterly Report on Form 10-Q filed with the SEC on June 3, 2021 (File No. 001-40358))</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8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and Restated Bylaws of Latham Group, Inc. (incorporated by reference to Exhibit 3.2 to Latham Group, Inc.’s</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Quarterly Report on Form 10-Q filed with the SEC on June 3, 2021 (File No. 001-40358))</w:t>
              </w:r>
            </w:hyperlink>
          </w:p>
        </w:tc>
        <w:tc>
          <w:tcPr>
            <w:tcW w:w="2200" w:type="dxa"/>
            <w:vAlign w:val="bottom"/>
            <w:gridSpan w:val="5"/>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49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SEC Rule 13a-14(a) and 15d-14(a)</w:t>
            </w:r>
          </w:p>
        </w:tc>
        <w:tc>
          <w:tcPr>
            <w:tcW w:w="3740" w:type="dxa"/>
            <w:vAlign w:val="bottom"/>
            <w:gridSpan w:val="6"/>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CFO, pursuant to SEC Rule 13a-14(a) and 15d-14(a)</w:t>
            </w:r>
          </w:p>
        </w:tc>
      </w:tr>
      <w:tr>
        <w:trPr>
          <w:trHeight w:val="20"/>
        </w:trPr>
        <w:tc>
          <w:tcPr>
            <w:tcW w:w="10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8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 Sarbanes-Oxley</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86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the CFO, pursuant to 18 U.S.C. Section 1350, as adopted pursuant to Section 906 of the Sarbanes-Oxley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220" w:type="dxa"/>
            <w:vAlign w:val="bottom"/>
            <w:tcBorders>
              <w:right w:val="single" w:sz="8" w:color="0000EE"/>
            </w:tcBorders>
            <w:gridSpan w:val="3"/>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60" w:type="dxa"/>
            <w:vAlign w:val="bottom"/>
            <w:gridSpan w:val="8"/>
          </w:tcPr>
          <w:p>
            <w:pPr>
              <w:spacing w:after="0" w:line="20" w:lineRule="exact"/>
              <w:rPr>
                <w:sz w:val="1"/>
                <w:szCs w:val="1"/>
                <w:color w:val="auto"/>
              </w:rPr>
            </w:pPr>
          </w:p>
        </w:tc>
      </w:tr>
      <w:tr>
        <w:trPr>
          <w:trHeight w:val="218"/>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15684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86" w:lineRule="exact"/>
        <w:rPr>
          <w:sz w:val="20"/>
          <w:szCs w:val="20"/>
          <w:color w:val="auto"/>
        </w:rPr>
      </w:pPr>
    </w:p>
    <w:p>
      <w:pPr>
        <w:ind w:left="1160" w:hanging="115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60" w:hanging="115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Oliver C. Gloe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980" w:top="378" w:right="1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620" w:val="left"/>
        </w:tabs>
        <w:rPr>
          <w:sz w:val="20"/>
          <w:szCs w:val="20"/>
          <w:color w:val="auto"/>
        </w:rPr>
      </w:pPr>
      <w:r>
        <w:rPr>
          <w:rFonts w:ascii="Times New Roman" w:cs="Times New Roman" w:eastAsia="Times New Roman" w:hAnsi="Times New Roman"/>
          <w:sz w:val="21"/>
          <w:szCs w:val="21"/>
          <w:color w:val="auto"/>
        </w:rPr>
        <w:t>May 7, 2025</w:t>
      </w:r>
      <w:r>
        <w:rPr>
          <w:sz w:val="20"/>
          <w:szCs w:val="20"/>
          <w:color w:val="auto"/>
        </w:rPr>
        <w:tab/>
      </w:r>
      <w:r>
        <w:rPr>
          <w:rFonts w:ascii="Times New Roman" w:cs="Times New Roman" w:eastAsia="Times New Roman" w:hAnsi="Times New Roman"/>
          <w:sz w:val="20"/>
          <w:szCs w:val="20"/>
          <w:i w:val="1"/>
          <w:iCs w:val="1"/>
          <w:color w:val="auto"/>
        </w:rPr>
        <w:t>/s/ Scott M.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Scott M. Rajeski</w:t>
      </w:r>
    </w:p>
    <w:p>
      <w:pPr>
        <w:spacing w:after="0" w:line="1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Chief Executive Officer and President</w:t>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Latham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9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21"/>
          <w:szCs w:val="21"/>
          <w:color w:val="auto"/>
        </w:rPr>
        <w:t>May 7, 2025</w:t>
      </w:r>
      <w:r>
        <w:rPr>
          <w:sz w:val="20"/>
          <w:szCs w:val="20"/>
          <w:color w:val="auto"/>
        </w:rPr>
        <w:tab/>
      </w:r>
      <w:r>
        <w:rPr>
          <w:rFonts w:ascii="Times New Roman" w:cs="Times New Roman" w:eastAsia="Times New Roman" w:hAnsi="Times New Roman"/>
          <w:sz w:val="20"/>
          <w:szCs w:val="20"/>
          <w:i w:val="1"/>
          <w:iCs w:val="1"/>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Oliver C. Gloe</w:t>
      </w:r>
    </w:p>
    <w:p>
      <w:pPr>
        <w:spacing w:after="0" w:line="1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Latham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March 29, 2025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Scott M. Rajeski,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tabs>
          <w:tab w:leader="none" w:pos="6580" w:val="left"/>
        </w:tabs>
        <w:rPr>
          <w:sz w:val="20"/>
          <w:szCs w:val="20"/>
          <w:color w:val="auto"/>
        </w:rPr>
      </w:pPr>
      <w:r>
        <w:rPr>
          <w:rFonts w:ascii="Times New Roman" w:cs="Times New Roman" w:eastAsia="Times New Roman" w:hAnsi="Times New Roman"/>
          <w:sz w:val="22"/>
          <w:szCs w:val="22"/>
          <w:color w:val="auto"/>
        </w:rPr>
        <w:t>May 7, 2025</w:t>
      </w:r>
      <w:r>
        <w:rPr>
          <w:sz w:val="20"/>
          <w:szCs w:val="20"/>
          <w:color w:val="auto"/>
        </w:rPr>
        <w:tab/>
      </w:r>
      <w:r>
        <w:rPr>
          <w:rFonts w:ascii="Times New Roman" w:cs="Times New Roman" w:eastAsia="Times New Roman" w:hAnsi="Times New Roman"/>
          <w:sz w:val="21"/>
          <w:szCs w:val="21"/>
          <w:i w:val="1"/>
          <w:iCs w:val="1"/>
          <w:color w:val="auto"/>
        </w:rPr>
        <w:t>/s/ Scott M.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13335</wp:posOffset>
            </wp:positionV>
            <wp:extent cx="3145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Scott M. Rajeski</w:t>
      </w:r>
    </w:p>
    <w:p>
      <w:pPr>
        <w:jc w:val="center"/>
        <w:ind w:left="4940"/>
        <w:spacing w:after="0" w:line="230" w:lineRule="auto"/>
        <w:rPr>
          <w:sz w:val="20"/>
          <w:szCs w:val="20"/>
          <w:color w:val="auto"/>
        </w:rPr>
      </w:pPr>
      <w:r>
        <w:rPr>
          <w:rFonts w:ascii="Times New Roman" w:cs="Times New Roman" w:eastAsia="Times New Roman" w:hAnsi="Times New Roman"/>
          <w:sz w:val="22"/>
          <w:szCs w:val="22"/>
          <w:color w:val="auto"/>
        </w:rPr>
        <w:t>Chief Executive Officer and President</w:t>
      </w:r>
    </w:p>
    <w:p>
      <w:pPr>
        <w:spacing w:after="0" w:line="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March 29, 2025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tabs>
          <w:tab w:leader="none" w:pos="6660" w:val="left"/>
        </w:tabs>
        <w:rPr>
          <w:sz w:val="20"/>
          <w:szCs w:val="20"/>
          <w:color w:val="auto"/>
        </w:rPr>
      </w:pPr>
      <w:r>
        <w:rPr>
          <w:rFonts w:ascii="Times New Roman" w:cs="Times New Roman" w:eastAsia="Times New Roman" w:hAnsi="Times New Roman"/>
          <w:sz w:val="22"/>
          <w:szCs w:val="22"/>
          <w:color w:val="auto"/>
        </w:rPr>
        <w:t>May 7, 2025</w:t>
      </w:r>
      <w:r>
        <w:rPr>
          <w:sz w:val="20"/>
          <w:szCs w:val="20"/>
          <w:color w:val="auto"/>
        </w:rPr>
        <w:tab/>
      </w:r>
      <w:r>
        <w:rPr>
          <w:rFonts w:ascii="Times New Roman" w:cs="Times New Roman" w:eastAsia="Times New Roman" w:hAnsi="Times New Roman"/>
          <w:sz w:val="21"/>
          <w:szCs w:val="21"/>
          <w:i w:val="1"/>
          <w:iCs w:val="1"/>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13335</wp:posOffset>
            </wp:positionV>
            <wp:extent cx="31457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Oliver C. Gloe</w:t>
      </w:r>
    </w:p>
    <w:p>
      <w:pPr>
        <w:jc w:val="center"/>
        <w:ind w:left="4940"/>
        <w:spacing w:after="0" w:line="230"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Roman"/>
      <w:start w:val="5"/>
    </w:lvl>
  </w:abstractNum>
  <w:abstractNum w:abstractNumId="8">
    <w:nsid w:val="3352255A"/>
    <w:multiLevelType w:val="hybridMultilevel"/>
    <w:lvl w:ilvl="0">
      <w:lvlJc w:val="left"/>
      <w:lvlText w:val="(%1)"/>
      <w:numFmt w:val="lowerRoman"/>
      <w:start w:val="8"/>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3" Type="http://schemas.openxmlformats.org/officeDocument/2006/relationships/hyperlink" Target="https://www.sec.gov/Archives/edgar/data/1833197/000110465921076404/tm2117455d1_ex3-1.htm" TargetMode="External"/><Relationship Id="rId54" Type="http://schemas.openxmlformats.org/officeDocument/2006/relationships/hyperlink" Target="https://www.sec.gov/Archives/edgar/data/1833197/000110465921076404/tm211745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2025-05-07T06:46:53Z</dcterms:created>
  <dcterms:modified xsi:type="dcterms:W3CDTF">2025-05-07T06:46:53Z</dcterms:modified>
</cp:coreProperties>
</file>