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118745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88" w:lineRule="exact"/>
        <w:rPr>
          <w:sz w:val="24"/>
          <w:szCs w:val="24"/>
          <w:color w:val="auto"/>
        </w:rPr>
      </w:pPr>
    </w:p>
    <w:p>
      <w:pPr>
        <w:ind w:left="640" w:hanging="577"/>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the quarterly period ended </w:t>
      </w:r>
      <w:r>
        <w:rPr>
          <w:rFonts w:ascii="Times New Roman" w:cs="Times New Roman" w:eastAsia="Times New Roman" w:hAnsi="Times New Roman"/>
          <w:sz w:val="14"/>
          <w:szCs w:val="14"/>
          <w:b w:val="1"/>
          <w:bCs w:val="1"/>
          <w:u w:val="single" w:color="auto"/>
          <w:color w:val="auto"/>
        </w:rPr>
        <w:t>June 29, 2024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74" w:lineRule="exact"/>
        <w:rPr>
          <w:sz w:val="24"/>
          <w:szCs w:val="24"/>
          <w:color w:val="auto"/>
        </w:rPr>
      </w:pPr>
    </w:p>
    <w:p>
      <w:pPr>
        <w:ind w:left="640" w:hanging="577"/>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46" w:lineRule="exact"/>
        <w:rPr>
          <w:sz w:val="24"/>
          <w:szCs w:val="24"/>
          <w:color w:val="auto"/>
        </w:rPr>
      </w:pPr>
    </w:p>
    <w:p>
      <w:pPr>
        <w:spacing w:after="0"/>
        <w:tabs>
          <w:tab w:leader="none" w:pos="1880" w:val="left"/>
        </w:tabs>
        <w:rPr>
          <w:sz w:val="20"/>
          <w:szCs w:val="20"/>
          <w:color w:val="auto"/>
        </w:rPr>
      </w:pPr>
      <w:r>
        <w:rPr>
          <w:rFonts w:ascii="Times New Roman" w:cs="Times New Roman" w:eastAsia="Times New Roman" w:hAnsi="Times New Roman"/>
          <w:sz w:val="14"/>
          <w:szCs w:val="14"/>
          <w:color w:val="auto"/>
        </w:rPr>
        <w:t>For the transition period from</w:t>
      </w:r>
      <w:r>
        <w:rPr>
          <w:sz w:val="20"/>
          <w:szCs w:val="20"/>
          <w:color w:val="auto"/>
        </w:rPr>
        <w:tab/>
      </w:r>
      <w:r>
        <w:rPr>
          <w:rFonts w:ascii="Times New Roman" w:cs="Times New Roman" w:eastAsia="Times New Roman" w:hAnsi="Times New Roman"/>
          <w:sz w:val="12"/>
          <w:szCs w:val="12"/>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1113790</wp:posOffset>
            </wp:positionH>
            <wp:positionV relativeFrom="paragraph">
              <wp:posOffset>-1270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-1270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b w:val="1"/>
          <w:bCs w:val="1"/>
          <w:color w:val="auto"/>
        </w:rPr>
        <w:t>001-40358</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Latham Group, Inc.</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20" w:type="dxa"/>
            <w:vAlign w:val="bottom"/>
          </w:tcPr>
          <w:p>
            <w:pPr>
              <w:spacing w:after="0"/>
              <w:rPr>
                <w:sz w:val="15"/>
                <w:szCs w:val="15"/>
                <w:color w:val="auto"/>
              </w:rPr>
            </w:pPr>
          </w:p>
        </w:tc>
        <w:tc>
          <w:tcPr>
            <w:tcW w:w="4840" w:type="dxa"/>
            <w:vAlign w:val="bottom"/>
            <w:tcBorders>
              <w:bottom w:val="single" w:sz="8" w:color="auto"/>
            </w:tcBorders>
          </w:tcPr>
          <w:p>
            <w:pPr>
              <w:jc w:val="right"/>
              <w:ind w:right="2008"/>
              <w:spacing w:after="0"/>
              <w:rPr>
                <w:sz w:val="20"/>
                <w:szCs w:val="20"/>
                <w:color w:val="auto"/>
              </w:rPr>
            </w:pPr>
            <w:r>
              <w:rPr>
                <w:rFonts w:ascii="Times New Roman" w:cs="Times New Roman" w:eastAsia="Times New Roman" w:hAnsi="Times New Roman"/>
                <w:sz w:val="14"/>
                <w:szCs w:val="14"/>
                <w:b w:val="1"/>
                <w:bCs w:val="1"/>
                <w:color w:val="auto"/>
              </w:rPr>
              <w:t>83-2797583</w:t>
            </w:r>
          </w:p>
        </w:tc>
      </w:tr>
      <w:tr>
        <w:trPr>
          <w:trHeight w:val="160"/>
        </w:trPr>
        <w:tc>
          <w:tcPr>
            <w:tcW w:w="50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840" w:type="dxa"/>
            <w:vAlign w:val="bottom"/>
          </w:tcPr>
          <w:p>
            <w:pPr>
              <w:spacing w:after="0"/>
              <w:rPr>
                <w:sz w:val="16"/>
                <w:szCs w:val="16"/>
                <w:color w:val="auto"/>
              </w:rPr>
            </w:pPr>
          </w:p>
        </w:tc>
      </w:tr>
      <w:tr>
        <w:trPr>
          <w:trHeight w:val="280"/>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787 Watervliet Shaker Road, Latham, NY</w:t>
            </w:r>
          </w:p>
        </w:tc>
        <w:tc>
          <w:tcPr>
            <w:tcW w:w="220" w:type="dxa"/>
            <w:vAlign w:val="bottom"/>
          </w:tcPr>
          <w:p>
            <w:pPr>
              <w:spacing w:after="0"/>
              <w:rPr>
                <w:sz w:val="24"/>
                <w:szCs w:val="24"/>
                <w:color w:val="auto"/>
              </w:rPr>
            </w:pPr>
          </w:p>
        </w:tc>
        <w:tc>
          <w:tcPr>
            <w:tcW w:w="4840" w:type="dxa"/>
            <w:vAlign w:val="bottom"/>
            <w:tcBorders>
              <w:bottom w:val="single" w:sz="8" w:color="auto"/>
            </w:tcBorders>
          </w:tcPr>
          <w:p>
            <w:pPr>
              <w:jc w:val="right"/>
              <w:ind w:right="2168"/>
              <w:spacing w:after="0"/>
              <w:rPr>
                <w:sz w:val="20"/>
                <w:szCs w:val="20"/>
                <w:color w:val="auto"/>
              </w:rPr>
            </w:pPr>
            <w:r>
              <w:rPr>
                <w:rFonts w:ascii="Times New Roman" w:cs="Times New Roman" w:eastAsia="Times New Roman" w:hAnsi="Times New Roman"/>
                <w:sz w:val="14"/>
                <w:szCs w:val="14"/>
                <w:b w:val="1"/>
                <w:bCs w:val="1"/>
                <w:color w:val="auto"/>
              </w:rPr>
              <w:t>12110</w:t>
            </w:r>
          </w:p>
        </w:tc>
      </w:tr>
      <w:tr>
        <w:trPr>
          <w:trHeight w:val="240"/>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833-3800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420" w:type="dxa"/>
            <w:vAlign w:val="bottom"/>
          </w:tcPr>
          <w:p>
            <w:pPr>
              <w:spacing w:after="0"/>
              <w:rPr>
                <w:sz w:val="16"/>
                <w:szCs w:val="16"/>
                <w:color w:val="auto"/>
              </w:rPr>
            </w:pPr>
          </w:p>
        </w:tc>
        <w:tc>
          <w:tcPr>
            <w:tcW w:w="3580" w:type="dxa"/>
            <w:vAlign w:val="bottom"/>
          </w:tcPr>
          <w:p>
            <w:pPr>
              <w:spacing w:after="0"/>
              <w:rPr>
                <w:sz w:val="16"/>
                <w:szCs w:val="16"/>
                <w:color w:val="auto"/>
              </w:rPr>
            </w:pPr>
          </w:p>
        </w:tc>
      </w:tr>
      <w:tr>
        <w:trPr>
          <w:trHeight w:val="266"/>
        </w:trPr>
        <w:tc>
          <w:tcPr>
            <w:tcW w:w="3920" w:type="dxa"/>
            <w:vAlign w:val="bottom"/>
            <w:tcBorders>
              <w:bottom w:val="single" w:sz="8" w:color="auto"/>
            </w:tcBorders>
          </w:tcPr>
          <w:p>
            <w:pPr>
              <w:jc w:val="center"/>
              <w:ind w:right="448"/>
              <w:spacing w:after="0"/>
              <w:rPr>
                <w:sz w:val="20"/>
                <w:szCs w:val="20"/>
                <w:color w:val="auto"/>
              </w:rPr>
            </w:pPr>
            <w:r>
              <w:rPr>
                <w:rFonts w:ascii="Times New Roman" w:cs="Times New Roman" w:eastAsia="Times New Roman" w:hAnsi="Times New Roman"/>
                <w:sz w:val="14"/>
                <w:szCs w:val="14"/>
                <w:color w:val="auto"/>
              </w:rPr>
              <w:t>Title of each class</w:t>
            </w:r>
          </w:p>
        </w:tc>
        <w:tc>
          <w:tcPr>
            <w:tcW w:w="24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Symbol(s)</w:t>
            </w:r>
          </w:p>
        </w:tc>
        <w:tc>
          <w:tcPr>
            <w:tcW w:w="358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40"/>
        </w:trPr>
        <w:tc>
          <w:tcPr>
            <w:tcW w:w="39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4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SWIM</w:t>
            </w:r>
          </w:p>
        </w:tc>
        <w:tc>
          <w:tcPr>
            <w:tcW w:w="35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76" w:lineRule="exact"/>
        <w:rPr>
          <w:sz w:val="24"/>
          <w:szCs w:val="24"/>
          <w:color w:val="auto"/>
        </w:rPr>
      </w:pPr>
    </w:p>
    <w:p>
      <w:pPr>
        <w:ind w:right="46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p>
      <w:pPr>
        <w:ind w:left="100"/>
        <w:spacing w:after="0" w:line="161" w:lineRule="exact"/>
        <w:tabs>
          <w:tab w:leader="none" w:pos="1740" w:val="left"/>
          <w:tab w:leader="none" w:pos="2080" w:val="left"/>
          <w:tab w:leader="none" w:pos="3360" w:val="left"/>
          <w:tab w:leader="none" w:pos="3680" w:val="left"/>
          <w:tab w:leader="none" w:pos="5220" w:val="left"/>
          <w:tab w:leader="none" w:pos="5560" w:val="left"/>
          <w:tab w:leader="none" w:pos="7460" w:val="left"/>
          <w:tab w:leader="none" w:pos="7800" w:val="left"/>
          <w:tab w:leader="none" w:pos="96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54"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480"/>
        <w:spacing w:after="0" w:line="21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August 2, 2024, 115,577,103 shares of the registrant’s common stock, $0.0001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49530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92710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4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4160" w:type="dxa"/>
            <w:vAlign w:val="bottom"/>
            <w:tcBorders>
              <w:bottom w:val="single" w:sz="8" w:color="CCEEFF"/>
            </w:tcBorders>
            <w:gridSpan w:val="3"/>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1. Financial Statements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4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2. Management’s Discussion and Analysis of Financial Condition and Results of Operations</w:t>
            </w: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tcBorders>
              <w:top w:val="single" w:sz="8" w:color="CCEEFF"/>
            </w:tcBorders>
            <w:gridSpan w:val="1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3. Quantitative and Qualitative Disclosures About Market Risk</w:t>
            </w:r>
          </w:p>
        </w:tc>
        <w:tc>
          <w:tcPr>
            <w:tcW w:w="2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4. Controls and Procedures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1.</w:t>
            </w:r>
          </w:p>
        </w:tc>
        <w:tc>
          <w:tcPr>
            <w:tcW w:w="1420" w:type="dxa"/>
            <w:vAlign w:val="bottom"/>
            <w:tcBorders>
              <w:bottom w:val="single" w:sz="8" w:color="0000EE"/>
            </w:tcBorders>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Proceedings</w:t>
            </w:r>
          </w:p>
        </w:tc>
        <w:tc>
          <w:tcPr>
            <w:tcW w:w="5420" w:type="dxa"/>
            <w:vAlign w:val="bottom"/>
            <w:tcBorders>
              <w:bottom w:val="single" w:sz="8" w:color="CCEEFF"/>
            </w:tcBorders>
            <w:gridSpan w:val="8"/>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1A. Risk Factors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2.</w:t>
            </w:r>
          </w:p>
        </w:tc>
        <w:tc>
          <w:tcPr>
            <w:tcW w:w="6840" w:type="dxa"/>
            <w:vAlign w:val="bottom"/>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5.</w:t>
            </w:r>
          </w:p>
        </w:tc>
        <w:tc>
          <w:tcPr>
            <w:tcW w:w="4580" w:type="dxa"/>
            <w:vAlign w:val="bottom"/>
            <w:tcBorders>
              <w:top w:val="single" w:sz="8" w:color="0000EE"/>
            </w:tcBorders>
            <w:gridSpan w:val="11"/>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2260" w:type="dxa"/>
            <w:vAlign w:val="bottom"/>
            <w:tcBorders>
              <w:top w:val="single" w:sz="8" w:color="CCEEFF"/>
            </w:tcBorders>
            <w:gridSpan w:val="2"/>
          </w:tcPr>
          <w:p>
            <w:pPr>
              <w:spacing w:after="0"/>
              <w:rPr>
                <w:sz w:val="15"/>
                <w:szCs w:val="15"/>
                <w:color w:val="auto"/>
              </w:rPr>
            </w:pPr>
          </w:p>
        </w:tc>
        <w:tc>
          <w:tcPr>
            <w:tcW w:w="2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6.</w:t>
            </w:r>
          </w:p>
        </w:tc>
        <w:tc>
          <w:tcPr>
            <w:tcW w:w="660" w:type="dxa"/>
            <w:vAlign w:val="bottom"/>
            <w:tcBorders>
              <w:bottom w:val="single" w:sz="8" w:color="0000EE"/>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Exhibits</w:t>
            </w:r>
          </w:p>
        </w:tc>
        <w:tc>
          <w:tcPr>
            <w:tcW w:w="6180" w:type="dxa"/>
            <w:vAlign w:val="bottom"/>
            <w:tcBorders>
              <w:bottom w:val="single" w:sz="8" w:color="CCEEFF"/>
            </w:tcBorders>
            <w:gridSpan w:val="11"/>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5720" w:type="dxa"/>
            <w:vAlign w:val="bottom"/>
            <w:gridSpan w:val="6"/>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8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 to Condensed Consolidated Financial Statements (Unaudited)</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92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1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w:t>
            </w:r>
          </w:p>
        </w:tc>
        <w:tc>
          <w:tcPr>
            <w:tcW w:w="35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1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90,768</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102,763</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receivables,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97,137</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40" w:type="dxa"/>
            <w:vAlign w:val="bottom"/>
            <w:shd w:val="clear" w:color="auto" w:fill="CCEEFF"/>
          </w:tcPr>
          <w:p>
            <w:pPr>
              <w:spacing w:after="0"/>
              <w:rPr>
                <w:sz w:val="18"/>
                <w:szCs w:val="18"/>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238,617</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113,014</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131,363</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282,793</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40" w:type="dxa"/>
            <w:vAlign w:val="bottom"/>
            <w:shd w:val="clear" w:color="auto" w:fill="CCEEFF"/>
          </w:tcPr>
          <w:p>
            <w:pPr>
              <w:spacing w:after="0"/>
              <w:rPr>
                <w:sz w:val="18"/>
                <w:szCs w:val="18"/>
                <w:color w:val="auto"/>
              </w:rPr>
            </w:pPr>
          </w:p>
        </w:tc>
      </w:tr>
      <w:tr>
        <w:trPr>
          <w:trHeight w:val="249"/>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830,026</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835,003</w:t>
            </w:r>
          </w:p>
        </w:tc>
        <w:tc>
          <w:tcPr>
            <w:tcW w:w="40" w:type="dxa"/>
            <w:vAlign w:val="bottom"/>
            <w:tcBorders>
              <w:bottom w:val="single" w:sz="8" w:color="CCEEFF"/>
            </w:tcBorders>
          </w:tcPr>
          <w:p>
            <w:pPr>
              <w:spacing w:after="0"/>
              <w:rPr>
                <w:sz w:val="21"/>
                <w:szCs w:val="21"/>
                <w:color w:val="auto"/>
              </w:rPr>
            </w:pPr>
          </w:p>
        </w:tc>
      </w:tr>
      <w:tr>
        <w:trPr>
          <w:trHeight w:val="197"/>
        </w:trPr>
        <w:tc>
          <w:tcPr>
            <w:tcW w:w="7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26,567</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40,691</w:t>
            </w:r>
          </w:p>
        </w:tc>
        <w:tc>
          <w:tcPr>
            <w:tcW w:w="40" w:type="dxa"/>
            <w:vAlign w:val="bottom"/>
            <w:shd w:val="clear" w:color="auto" w:fill="CCEEFF"/>
          </w:tcPr>
          <w:p>
            <w:pPr>
              <w:spacing w:after="0"/>
              <w:rPr>
                <w:sz w:val="18"/>
                <w:szCs w:val="18"/>
                <w:color w:val="auto"/>
              </w:rPr>
            </w:pPr>
          </w:p>
        </w:tc>
      </w:tr>
      <w:tr>
        <w:trPr>
          <w:trHeight w:val="209"/>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86,206</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discount, debt issuance costs, and current portion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279,951</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40" w:type="dxa"/>
            <w:vAlign w:val="bottom"/>
            <w:tcBorders>
              <w:bottom w:val="single" w:sz="8" w:color="CCEEFF"/>
            </w:tcBorders>
          </w:tcPr>
          <w:p>
            <w:pPr>
              <w:spacing w:after="0"/>
              <w:rPr>
                <w:sz w:val="18"/>
                <w:szCs w:val="18"/>
                <w:color w:val="auto"/>
              </w:rPr>
            </w:pPr>
          </w:p>
        </w:tc>
      </w:tr>
      <w:tr>
        <w:trPr>
          <w:trHeight w:val="21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435,803</w:t>
            </w:r>
          </w:p>
        </w:tc>
        <w:tc>
          <w:tcPr>
            <w:tcW w:w="40" w:type="dxa"/>
            <w:vAlign w:val="bottom"/>
            <w:shd w:val="clear" w:color="auto" w:fill="CCEEFF"/>
          </w:tcPr>
          <w:p>
            <w:pPr>
              <w:spacing w:after="0"/>
              <w:rPr>
                <w:sz w:val="18"/>
                <w:szCs w:val="18"/>
                <w:color w:val="auto"/>
              </w:rPr>
            </w:pP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98"/>
        </w:trPr>
        <w:tc>
          <w:tcPr>
            <w:tcW w:w="7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100,000,000 shares authorized as of both June 29, 2024 and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 no shares issued and outstanding as of both June 29, 2024 and December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31, 2023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900,000,000 shares authorized as of June 29, 2024 and</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115,577,103 and 114,871,782 shares issued and outstanding, as of June 29,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20"/>
                <w:szCs w:val="20"/>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459,684</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40" w:type="dxa"/>
            <w:vAlign w:val="bottom"/>
            <w:tcBorders>
              <w:bottom w:val="single" w:sz="8" w:color="CCEEFF"/>
            </w:tcBorders>
          </w:tcPr>
          <w:p>
            <w:pPr>
              <w:spacing w:after="0"/>
              <w:rPr>
                <w:sz w:val="18"/>
                <w:szCs w:val="18"/>
                <w:color w:val="auto"/>
              </w:rPr>
            </w:pPr>
          </w:p>
        </w:tc>
      </w:tr>
      <w:tr>
        <w:trPr>
          <w:trHeight w:val="20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40" w:type="dxa"/>
            <w:vAlign w:val="bottom"/>
            <w:shd w:val="clear" w:color="auto" w:fill="CCEEFF"/>
          </w:tcPr>
          <w:p>
            <w:pPr>
              <w:spacing w:after="0"/>
              <w:rPr>
                <w:sz w:val="18"/>
                <w:szCs w:val="18"/>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830,026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835,003</w:t>
            </w:r>
          </w:p>
        </w:tc>
        <w:tc>
          <w:tcPr>
            <w:tcW w:w="4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42"/>
        </w:trPr>
        <w:tc>
          <w:tcPr>
            <w:tcW w:w="4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314,847</w:t>
            </w:r>
          </w:p>
        </w:tc>
      </w:tr>
      <w:tr>
        <w:trPr>
          <w:trHeight w:val="216"/>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126,895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231,244</w:t>
            </w:r>
          </w:p>
        </w:tc>
      </w:tr>
      <w:tr>
        <w:trPr>
          <w:trHeight w:val="209"/>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83,603</w:t>
            </w: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63,266</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w:t>
            </w:r>
          </w:p>
        </w:tc>
      </w:tr>
      <w:tr>
        <w:trPr>
          <w:trHeight w:val="209"/>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w:t>
            </w: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15,290</w:t>
            </w: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09"/>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14,464</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10"/>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49"/>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w:t>
            </w:r>
          </w:p>
        </w:tc>
      </w:tr>
      <w:tr>
        <w:trPr>
          <w:trHeight w:val="197"/>
        </w:trPr>
        <w:tc>
          <w:tcPr>
            <w:tcW w:w="4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115,469,246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112,248,822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115,254,088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112,175,510</w:t>
            </w: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117,023,112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112,692,543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116,472,164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112,175,510</w:t>
            </w:r>
          </w:p>
        </w:tc>
      </w:tr>
    </w:tbl>
    <w:p>
      <w:pPr>
        <w:spacing w:after="0" w:line="1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42"/>
        </w:trPr>
        <w:tc>
          <w:tcPr>
            <w:tcW w:w="46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1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09"/>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7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10"/>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r>
      <w:tr>
        <w:trPr>
          <w:trHeight w:val="20"/>
        </w:trPr>
        <w:tc>
          <w:tcPr>
            <w:tcW w:w="4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2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0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114,667,975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$ 440,880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April 1, 2023</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114,690,053</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$ 447,649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(68,936)</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Repurchase and retirement of common stock under</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program</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July 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114,734,756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$ 453,413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0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114,871,782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$ 459,684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March 30, 2024</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115,389,689</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$ 460,927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(64,820)</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187,414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June 29, 2024</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115,577,103</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$ 463,027</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(51,541)</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408,131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5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ind w:right="297"/>
              <w:spacing w:after="0" w:line="109" w:lineRule="exact"/>
              <w:rPr>
                <w:sz w:val="20"/>
                <w:szCs w:val="20"/>
                <w:color w:val="auto"/>
              </w:rPr>
            </w:pPr>
            <w:r>
              <w:rPr>
                <w:rFonts w:ascii="Times New Roman" w:cs="Times New Roman" w:eastAsia="Times New Roman" w:hAnsi="Times New Roman"/>
                <w:sz w:val="12"/>
                <w:szCs w:val="12"/>
                <w:b w:val="1"/>
                <w:bCs w:val="1"/>
                <w:color w:val="auto"/>
              </w:rPr>
              <w:t>June 29,</w:t>
            </w:r>
          </w:p>
        </w:tc>
        <w:tc>
          <w:tcPr>
            <w:tcW w:w="2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ind w:right="337"/>
              <w:spacing w:after="0" w:line="109" w:lineRule="exact"/>
              <w:rPr>
                <w:sz w:val="20"/>
                <w:szCs w:val="20"/>
                <w:color w:val="auto"/>
              </w:rPr>
            </w:pPr>
            <w:r>
              <w:rPr>
                <w:rFonts w:ascii="Times New Roman" w:cs="Times New Roman" w:eastAsia="Times New Roman" w:hAnsi="Times New Roman"/>
                <w:sz w:val="12"/>
                <w:szCs w:val="12"/>
                <w:b w:val="1"/>
                <w:bCs w:val="1"/>
                <w:color w:val="auto"/>
              </w:rPr>
              <w:t>July 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94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9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64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5,415</w:t>
            </w:r>
          </w:p>
        </w:tc>
        <w:tc>
          <w:tcPr>
            <w:tcW w:w="460" w:type="dxa"/>
            <w:vAlign w:val="bottom"/>
            <w:gridSpan w:val="2"/>
          </w:tcPr>
          <w:p>
            <w:pPr>
              <w:jc w:val="right"/>
              <w:ind w:right="1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20,967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Amortization of deferred financing costs and debt discount</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860</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lease expense</w:t>
            </w: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3,550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interest rate swaps</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(2,101)</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2,930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3,343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Bad debt expense</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1,277</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4,390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non-cash, net</w:t>
            </w: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Earnings from equity method investment</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(1,841)</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Distributions received from equity method investment</w:t>
            </w: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2,860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Trade receivables</w:t>
            </w: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(36,831)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(37,276)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13,139</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38,902</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(2,309)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Income tax receivable</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(665)</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9,817</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8,935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long-term liabilities</w:t>
            </w:r>
          </w:p>
        </w:tc>
        <w:tc>
          <w:tcPr>
            <w:tcW w:w="14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4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14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17,911</w:t>
            </w: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36,289</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r>
              <w:rPr>
                <w:rFonts w:ascii="Times New Roman" w:cs="Times New Roman" w:eastAsia="Times New Roman" w:hAnsi="Times New Roman"/>
                <w:sz w:val="13"/>
                <w:szCs w:val="13"/>
                <w:color w:val="auto"/>
              </w:rPr>
              <w:t>:</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4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(9,833)</w:t>
            </w: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(23,365)</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4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4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(9,833)</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(23,365)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r>
              <w:rPr>
                <w:rFonts w:ascii="Times New Roman" w:cs="Times New Roman" w:eastAsia="Times New Roman" w:hAnsi="Times New Roman"/>
                <w:sz w:val="13"/>
                <w:szCs w:val="13"/>
                <w:color w:val="auto"/>
              </w:rPr>
              <w:t>:</w:t>
            </w: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Payments on long-term debt borrowings</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(19,625)</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(1,625)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Proceeds from borrowings on revolving credit facility</w:t>
            </w: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Payments on revolving credit facilities</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(48,000)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Repayments of finance lease obligations</w:t>
            </w:r>
          </w:p>
        </w:tc>
        <w:tc>
          <w:tcPr>
            <w:tcW w:w="14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(380)</w:t>
            </w: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(259)</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(20,005)</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(1,884)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Borders>
              <w:bottom w:val="single" w:sz="8" w:color="CCEEFF"/>
            </w:tcBorders>
          </w:tcPr>
          <w:p>
            <w:pPr>
              <w:ind w:left="120"/>
              <w:spacing w:after="0" w:line="135" w:lineRule="exact"/>
              <w:rPr>
                <w:sz w:val="20"/>
                <w:szCs w:val="20"/>
                <w:color w:val="auto"/>
              </w:rPr>
            </w:pPr>
            <w:r>
              <w:rPr>
                <w:rFonts w:ascii="Times New Roman" w:cs="Times New Roman" w:eastAsia="Times New Roman" w:hAnsi="Times New Roman"/>
                <w:sz w:val="13"/>
                <w:szCs w:val="13"/>
                <w:color w:val="auto"/>
              </w:rPr>
              <w:t>Effect of exchange rate changes on cash</w:t>
            </w:r>
          </w:p>
        </w:tc>
        <w:tc>
          <w:tcPr>
            <w:tcW w:w="14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(550)</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(decrease) increase in cash</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(11,995)</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10,490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Cash at beginning of period</w:t>
            </w:r>
          </w:p>
        </w:tc>
        <w:tc>
          <w:tcPr>
            <w:tcW w:w="14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102,763</w:t>
            </w: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32,626</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at end of period</w:t>
            </w:r>
          </w:p>
        </w:tc>
        <w:tc>
          <w:tcPr>
            <w:tcW w:w="14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90,768</w:t>
            </w:r>
          </w:p>
        </w:tc>
        <w:tc>
          <w:tcPr>
            <w:tcW w:w="2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43,116</w:t>
            </w: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r>
              <w:rPr>
                <w:rFonts w:ascii="Times New Roman" w:cs="Times New Roman" w:eastAsia="Times New Roman" w:hAnsi="Times New Roman"/>
                <w:sz w:val="13"/>
                <w:szCs w:val="13"/>
                <w:color w:val="auto"/>
              </w:rPr>
              <w:t>:</w:t>
            </w: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94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1640" w:type="dxa"/>
            <w:vAlign w:val="bottom"/>
            <w:gridSpan w:val="2"/>
            <w:shd w:val="clear" w:color="auto" w:fill="CCEEFF"/>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16,131</w:t>
            </w:r>
          </w:p>
        </w:tc>
        <w:tc>
          <w:tcPr>
            <w:tcW w:w="460" w:type="dxa"/>
            <w:vAlign w:val="bottom"/>
            <w:gridSpan w:val="2"/>
            <w:shd w:val="clear" w:color="auto" w:fill="CCEEFF"/>
          </w:tcPr>
          <w:p>
            <w:pPr>
              <w:jc w:val="right"/>
              <w:ind w:right="1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11,247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Income taxes paid, net</w:t>
            </w: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r>
              <w:rPr>
                <w:rFonts w:ascii="Times New Roman" w:cs="Times New Roman" w:eastAsia="Times New Roman" w:hAnsi="Times New Roman"/>
                <w:sz w:val="13"/>
                <w:szCs w:val="13"/>
                <w:color w:val="auto"/>
              </w:rPr>
              <w:t>:</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 included in accounts payable and accrued expenses</w:t>
            </w:r>
          </w:p>
        </w:tc>
        <w:tc>
          <w:tcPr>
            <w:tcW w:w="164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460" w:type="dxa"/>
            <w:vAlign w:val="bottom"/>
            <w:gridSpan w:val="2"/>
          </w:tcPr>
          <w:p>
            <w:pPr>
              <w:jc w:val="right"/>
              <w:ind w:right="1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Capitalized internal-use software included in accounts payable – related party</w:t>
            </w: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940" w:type="dxa"/>
            <w:vAlign w:val="bottom"/>
          </w:tcPr>
          <w:p>
            <w:pPr>
              <w:spacing w:after="0"/>
              <w:rPr>
                <w:sz w:val="20"/>
                <w:szCs w:val="20"/>
                <w:color w:val="auto"/>
              </w:rPr>
            </w:pPr>
            <w:r>
              <w:rPr>
                <w:rFonts w:ascii="Times New Roman" w:cs="Times New Roman" w:eastAsia="Times New Roman" w:hAnsi="Times New Roman"/>
                <w:sz w:val="13"/>
                <w:szCs w:val="13"/>
                <w:color w:val="auto"/>
              </w:rPr>
              <w:t>Right-of-use operating and finance lease assets obtained in exchange for lease liabilities</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Latham Group, Inc. (the “Company”) wholly owns Latham Pool Products, Inc. (“Latham Pool Products”), a designer, manufacturer, and marketer of in-ground residential swimming pools in North America, Australia, and New Zealand. Latham Pool Products offers a portfolio of in-ground swimming pools and related products, including pool liners and pool covers.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Split, Initial Public Offering and Reorganization</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April 13, 2021, the Company’s certificate of incorporation was amended and restated. On April 13, 2021, the Company effected a 109,673,709 for-one stock split of its issued and outstanding shares of common stock. Accordingly, all share and per share data included in these condensed consolidated financial statements and notes thereto reflect the impact of the amended and restated certificate of incorporation and the stock split.</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$399.3 million, after deducting underwriting discounts and commissions and other offering costs.</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Prior to the closing of the Company’s IPO, the Company’s parent entity, Latham Investment Holdings, L.P., merged with and into Latham Group,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accompanying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balance sheet at December 31, 2023 was derived from audited financial statements but does not include all disclosures required by GAAP. The accompanying unaudited condensed consolidated financial statements as of June 29, 2024 and for the fiscal quarter and two fiscal quarters ended June 29, 2024 and July 1, 2023, respectively,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fiscal year ended December 31, 2023 included in the Company’s 2023 Annual Report on Form 10-K, filed with the SEC on March 13, 2024 (the “Annual Report”). In the opinion of management, all adjustments, consisting only of normal recurring adjustments necessary for a fair statement of these condensed consolidated financial statements, have been included. The Company’s results of operations for the fiscal quarter and two fiscal quarters ended June 29, 2024 are not necessarily indicative of the results of operations that may be expected for the fiscal year ending December 31, 2024 or other interim periods thereof.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relevant factors that it believes to be reasonable under the circumstances. Estimates are evaluated on an ongoing basis and</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revised as there are changes in circumstances, facts, and experience. Changes in estimates are recorded in the period in which they become known.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the current period presentation in the condensed consolidated financial statements and the accompanying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Although the Company generally has demand for its products throughout the fiscal year, its business is seasonal and weather is one of the principal external factors affecting the business. Historically, net sales and net income are highest (or net loss is lowest) during the second and third fiscal quarters, representing the peak months of swimming pool use, pool installation, and remodeling and repair activities. Severe weather may also affect net sales in all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the Annual Report for a discussion of the Company’s significant accounting policies, as updated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improves financial reporting by requiring disclosure of incremental segment information on an annual and interim basis for all public entities to enable investors to develop more decision-useful analysis. For all entities, ASU 2023-07 is effective for fiscal years beginning after December 15, 2023, and interim periods within fiscal years beginning after December 15, 2024. The amendments should be applied retrospectively to all prior periods presented in the financial statements, with early adoption permitted. The Company is currently evaluating ASU 2023-07 and its potential impact on the notes to the condensed consolidated financial statements.</w:t>
      </w:r>
    </w:p>
    <w:p>
      <w:pPr>
        <w:spacing w:after="0" w:line="18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in an effort to enhance the transparency and decision usefulness of income tax disclosures. For all entities, ASU 2023-09 is effective for fiscal years beginning after December 15, 2024. The amendments should be applied prospectively with retrospective application permitted. Early adoption is also permitted. The Company is currently evaluating ASU 2023-09 and its potential impact on the notes to the condensed consolidated financial statements.</w:t>
      </w:r>
    </w:p>
    <w:p>
      <w:pPr>
        <w:spacing w:after="0" w:line="18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March 2024, the FASB issued ASU 2024-01, Compensation – Stock Compensation (Topic 718): Scope Application of Profits Interest and Similar Awards (“ASU 2024-01”), which improves financial reporting by providing clarity on when an entity should apply the scope guidance in paragraph 718-10-15-3. ASU 2024-01 is effective for public business entities for fiscal years beginning after December 15, 2024. For all other entities, the amendments are effective for fiscal years beginning after December 15, 2025. The amendments should be applied retrospectively to all prior periods presented in the financial statements, with early adoption permitted. The Company is currently evaluating ASU 2024-01 and its potential impact on the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incorporated into valuation techniques. These valuations require significant judgment.</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two fiscal quarters ended June 29, 2024 or July 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Company’s Term Loan (as defined below; see Note 6) is carried at amortized cost; however, the Company estimates the fair value of the Term Loan for disclosure purposes. The fair value of the Term Loan is determined using inputs based on observable market data of a non-public exchange, which are classified as Level 2 inputs. The following table sets forth the carrying amount and fair value of its Term Loan (in thousands):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31"/>
        </w:trPr>
        <w:tc>
          <w:tcPr>
            <w:tcW w:w="43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0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0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1"/>
                <w:szCs w:val="11"/>
                <w:color w:val="auto"/>
              </w:rPr>
            </w:pPr>
          </w:p>
        </w:tc>
      </w:tr>
      <w:tr>
        <w:trPr>
          <w:trHeight w:val="173"/>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282,361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274,596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301,201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289,153</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229" w:lineRule="exact"/>
        <w:rPr>
          <w:sz w:val="20"/>
          <w:szCs w:val="20"/>
          <w:color w:val="auto"/>
        </w:rPr>
      </w:pPr>
    </w:p>
    <w:p>
      <w:pPr>
        <w:ind w:right="120" w:firstLine="324"/>
        <w:spacing w:after="0" w:line="276" w:lineRule="auto"/>
        <w:rPr>
          <w:sz w:val="20"/>
          <w:szCs w:val="20"/>
          <w:color w:val="auto"/>
        </w:rPr>
      </w:pPr>
      <w:r>
        <w:rPr>
          <w:rFonts w:ascii="Times New Roman" w:cs="Times New Roman" w:eastAsia="Times New Roman" w:hAnsi="Times New Roman"/>
          <w:sz w:val="17"/>
          <w:szCs w:val="17"/>
          <w:color w:val="auto"/>
        </w:rPr>
        <w:t>The Company estimates the fair value of interest rate swaps (see Note 6) on a fiscal quarterly basis using Level 2 inputs, including the forward SOFR curve. The fair value is estimated by comparing (i) the present value of all future monthly fixed rate payments versus</w:t>
      </w:r>
    </w:p>
    <w:p>
      <w:pPr>
        <w:spacing w:after="0" w:line="1" w:lineRule="exact"/>
        <w:rPr>
          <w:sz w:val="20"/>
          <w:szCs w:val="20"/>
          <w:color w:val="auto"/>
        </w:rPr>
      </w:pPr>
    </w:p>
    <w:p>
      <w:pPr>
        <w:ind w:right="120" w:firstLine="8"/>
        <w:spacing w:after="0" w:line="255"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payments based on the forward SOFR curve. As of June 29, 2024 and December 31, 2023, the fair value of the Company’s interest rate swap was an asset of $0.9 million and a liability of $1.2 million, respectively, which were recorded within other assets and other long-term liabilities, respectively, on the condensed consolidated balance sheets.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carrying amount of goodwill as of June 29, 2024 and as of December 31, 2023 was $131.2 million and $131.4 million, respectively. The change in the carrying value during the two fiscal quarters ended June 29, 2024 was solely because of fluctuations in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 as of June 29, 2024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53"/>
              <w:spacing w:after="0" w:line="145"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16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$ 148,100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$ 115,128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Patented technology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Pool designs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relationships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197,376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127,048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$ 393,493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$ 269,696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$6.4 million and $12.8 million of amortization expense related to intangible assets during the fiscal quarter and two fiscal quarters ended June 29, 2024. The Company recognized $6.6 million and $13.3 million of amortization expense related to intangible assets during the fiscal quarter and two fiscal quarters ended July 1, 2023.</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net as of December 31, 2023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2"/>
                <w:szCs w:val="12"/>
                <w:color w:val="auto"/>
              </w:rPr>
            </w:pPr>
          </w:p>
        </w:tc>
        <w:tc>
          <w:tcPr>
            <w:tcW w:w="7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8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$ 148,100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29,583</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$ 118,589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Patented technology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Pool designs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relationships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197,376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134,906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$ 393,493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$ 282,793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estimates that amortization expense related to definite-lived intangible assets will be as follows in each of the next five fiscal years and thereafter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0" w:type="dxa"/>
            <w:vAlign w:val="bottom"/>
          </w:tcPr>
          <w:p>
            <w:pPr>
              <w:spacing w:after="0"/>
              <w:rPr>
                <w:sz w:val="1"/>
                <w:szCs w:val="1"/>
                <w:color w:val="auto"/>
              </w:rPr>
            </w:pPr>
          </w:p>
        </w:tc>
      </w:tr>
      <w:tr>
        <w:trPr>
          <w:trHeight w:val="148"/>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82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24,592</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155,597</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269,696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Inventories, net consisted of the following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30,579</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42,056</w:t>
            </w:r>
          </w:p>
        </w:tc>
        <w:tc>
          <w:tcPr>
            <w:tcW w:w="60" w:type="dxa"/>
            <w:vAlign w:val="bottom"/>
            <w:tcBorders>
              <w:bottom w:val="single" w:sz="8" w:color="CCEEFF"/>
            </w:tcBorders>
          </w:tcPr>
          <w:p>
            <w:pPr>
              <w:spacing w:after="0"/>
              <w:rPr>
                <w:sz w:val="18"/>
                <w:szCs w:val="18"/>
                <w:color w:val="auto"/>
              </w:rPr>
            </w:pPr>
          </w:p>
        </w:tc>
      </w:tr>
      <w:tr>
        <w:trPr>
          <w:trHeight w:val="209"/>
        </w:trPr>
        <w:tc>
          <w:tcPr>
            <w:tcW w:w="352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83,668</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97,137</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Company’s outstanding long-term debt obligations consisted of the following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289,688</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60" w:type="dxa"/>
            <w:vAlign w:val="bottom"/>
            <w:shd w:val="clear" w:color="auto" w:fill="CCEEFF"/>
          </w:tcPr>
          <w:p>
            <w:pPr>
              <w:spacing w:after="0"/>
              <w:rPr>
                <w:sz w:val="18"/>
                <w:szCs w:val="18"/>
                <w:color w:val="auto"/>
              </w:rPr>
            </w:pPr>
          </w:p>
        </w:tc>
      </w:tr>
      <w:tr>
        <w:trPr>
          <w:trHeight w:val="209"/>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282,361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301,201</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60" w:type="dxa"/>
            <w:vAlign w:val="bottom"/>
            <w:shd w:val="clear" w:color="auto" w:fill="CCEEFF"/>
          </w:tcPr>
          <w:p>
            <w:pPr>
              <w:spacing w:after="0"/>
              <w:rPr>
                <w:sz w:val="18"/>
                <w:szCs w:val="18"/>
                <w:color w:val="auto"/>
              </w:rPr>
            </w:pPr>
          </w:p>
        </w:tc>
      </w:tr>
      <w:tr>
        <w:trPr>
          <w:trHeight w:val="209"/>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13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279,111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279,951</w:t>
            </w:r>
          </w:p>
        </w:tc>
        <w:tc>
          <w:tcPr>
            <w:tcW w:w="6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On February 23, 2022, Latham Pool Products entered into an agreement (the “Credit Agreement”) with Barclays Bank PLC, which provides a senior secured multicurrency revolving line of credit (the “Revolving Credit Facility”) in an initial principal amount of $75.0 million and a U.S. Dollar senior secured term loan facility (the “Term Loan”) in an initial principal amount of $325.0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29, 2024, the Company was in compliance with all financial covenants under the Credit Agreement.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 3.50%. A commitment fee accrues on any unused portion of the commitments under the Revolving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Credit Facility. The commitment fee is due and payable quarterly in arrears, and initially was 0.375% per annum and thereafter accrues at a rate per annum ranging from 0.25% to 0.50%, depending on the First Lien Net Leverage Ratio (as defined in the Credit Agreement). Borrowings under the Revolving Credit Facility are due at maturity.</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$0.8 million related to the Revolving Credit Facility. The debt issuance costs were recorded within other assets on the condensed consolidated balance sheet as of the applicable period and are being amortized over the life of the Revolving Credit Facility.</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required to meet certain financial covenants in connection with the Revolving Credit Facility, including maintaining specific liquidity measurements. There are also negative covenants, including certain restrictions on the Company’s and its subsidiaries’ ability to incur additional indebtedness, create liens, make investments, consolidate, or merge with other entities, enter into transactions with affiliates, make prepayments with respect to certain indebtedness, make dividend payments, loans, or advances to the Company, declare dividends and make restricted payments and other distributions.</w:t>
      </w:r>
    </w:p>
    <w:p>
      <w:pPr>
        <w:spacing w:after="0" w:line="18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As of June 29, 2024, there were no outstanding borrowings on the Revolving Credit Facility and $75.0 million was available for future borrowing.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Term Loan matures on February 23, 2029. The Term Loan bears interest, at the borrower’s option, at a rate per annum based on Term SOFR (as defined in the Credit Agreement), plus a margin ranging from 3.75% to 4.00%, depending on the First Lien Net Leverage Ratio, or based on the Base Rate (as defined in the Credit Agreement), plus a margin ranging from 2.75% to 3.00%, depending on the First Lien Net Leverage Ratio. The Term Loan is subject to scheduled quarterly amortization payments of $812,500, equal to</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0.25% of the initial principal amount of the Term Loan. The Credit Agreement contains customary mandatory prepayment provisions for the Term Loan, including requirements to make mandatory prepayments with 50% of any excess cash flow and with 100% of the net cash proceeds from the incurrence of indebtedness not otherwise permitted to be incurred by the covenants, asset sales, and casualty and condemnation events, in each case, subject to customary exceptions.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two fiscal quarters ended June 29, 2024, the Company made a payment of $18.0 million.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borrowings as of June 29, 2024 were $282.4 million, net of unamortized discount and debt issuance costs of</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$7.3 million. In connection with the Term Loan, the Company is subject to various negative, reporting, financial, and other covenants, including maintaining specific liquidity measurements.</w:t>
      </w:r>
    </w:p>
    <w:p>
      <w:pPr>
        <w:spacing w:after="0" w:line="181" w:lineRule="exact"/>
        <w:rPr>
          <w:sz w:val="20"/>
          <w:szCs w:val="20"/>
          <w:color w:val="auto"/>
        </w:rPr>
      </w:pPr>
    </w:p>
    <w:p>
      <w:pPr>
        <w:ind w:right="600" w:firstLine="324"/>
        <w:spacing w:after="0" w:line="312" w:lineRule="auto"/>
        <w:rPr>
          <w:sz w:val="20"/>
          <w:szCs w:val="20"/>
          <w:color w:val="auto"/>
        </w:rPr>
      </w:pPr>
      <w:r>
        <w:rPr>
          <w:rFonts w:ascii="Times New Roman" w:cs="Times New Roman" w:eastAsia="Times New Roman" w:hAnsi="Times New Roman"/>
          <w:sz w:val="17"/>
          <w:szCs w:val="17"/>
          <w:color w:val="auto"/>
        </w:rPr>
        <w:t>As of June 29, 2024, the unamortized debt issuance costs and discount on the Term Loan were $4.1 million and $3.3 million, respectively. The effective interest rate was 9.98% at June 29, 2024, including the impact of the Company’s interest rate swaps.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rate risk associated with the Credit Agreement is mitigated partially through interest rate swaps.</w:t>
      </w:r>
    </w:p>
    <w:p>
      <w:pPr>
        <w:spacing w:after="0" w:line="22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executed an interest rate swap on April 30, 2020. The swap had an effective date of May 18, 2020 and a termination date of May 18, 2023. In February 2022, the Company amended its interest rate swap to change the index rate from LIBOR to SOFR in connection with the entry into the Credit Agreement. Under the terms of the amended swap, the Company fixed its SOFR borrowing rate at 0.496% on a notional amount of $200.0 million. The interest rate swap was not designated as a hedging instrument for accounting purposes (see Note 3).</w:t>
      </w:r>
    </w:p>
    <w:p>
      <w:pPr>
        <w:spacing w:after="0" w:line="18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Additionally, the Company entered into an interest rate swap that was executed on March 10, 2023. The swap has an effective date of May 18, 2023 and a termination date of May 18, 2026. Under the terms of the swap, the Company fixed its SOFR borrowing rate at 4.3725% on a notional amount of $161.0 million. The interest rate swap is not designated as a hedging instrument for accounting purposes (see Note 3).</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Principal payments due on the outstanding debt, excluding the Revolving Credit Facility, in the next five fiscal years, excluding any potential payments based on excess cash flow, are as follows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8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Term Loan</w:t>
            </w: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2024</w:t>
            </w:r>
          </w:p>
        </w:tc>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275,063</w:t>
            </w:r>
          </w:p>
        </w:tc>
      </w:tr>
      <w:tr>
        <w:trPr>
          <w:trHeight w:val="210"/>
        </w:trPr>
        <w:tc>
          <w:tcPr>
            <w:tcW w:w="5040" w:type="dxa"/>
            <w:vAlign w:val="bottom"/>
            <w:tcBorders>
              <w:bottom w:val="single" w:sz="8" w:color="CCEEFF"/>
            </w:tcBorders>
            <w:shd w:val="clear" w:color="auto" w:fill="CCEEFF"/>
          </w:tcPr>
          <w:p>
            <w:pPr>
              <w:spacing w:after="0"/>
              <w:rPr>
                <w:sz w:val="18"/>
                <w:szCs w:val="18"/>
                <w:color w:val="auto"/>
              </w:rPr>
            </w:pPr>
          </w:p>
        </w:tc>
        <w:tc>
          <w:tcPr>
            <w:tcW w:w="28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289,688</w:t>
            </w:r>
          </w:p>
        </w:tc>
      </w:tr>
      <w:tr>
        <w:trPr>
          <w:trHeight w:val="20"/>
        </w:trPr>
        <w:tc>
          <w:tcPr>
            <w:tcW w:w="50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wholly owned subsidiaries (the “Guarantors”) of the Company that are party to that certain security agreement, which was executed in connection with the Credit Agreement. The obligations under the Credit Agreement are secured by substantially all of the 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PRODUCT WARRANTIES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warranty reserve activity consisted of the following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3580" w:type="dxa"/>
            <w:vAlign w:val="bottom"/>
            <w:tcBorders>
              <w:bottom w:val="single" w:sz="8" w:color="auto"/>
            </w:tcBorders>
            <w:gridSpan w:val="5"/>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fiscal year</w:t>
            </w: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reserve</w:t>
            </w:r>
          </w:p>
        </w:tc>
        <w:tc>
          <w:tcPr>
            <w:tcW w:w="1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Settlements made (in cash or in kind)</w:t>
            </w:r>
          </w:p>
        </w:tc>
        <w:tc>
          <w:tcPr>
            <w:tcW w:w="13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(1,475)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(2,871)</w:t>
            </w:r>
          </w:p>
        </w:tc>
        <w:tc>
          <w:tcPr>
            <w:tcW w:w="60" w:type="dxa"/>
            <w:vAlign w:val="bottom"/>
            <w:shd w:val="clear" w:color="auto" w:fill="CCEEFF"/>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fiscal quarter</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spacing w:after="0" w:line="19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manufacturing facilities, office space, land, and certain vehicles and equipment under operating leases. The Company also leases certain vehicles and equipment under finance leases. The Company determines if an arrangement is a lease at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inception. A contract is or contains a lease if the contract conveys the right to control the use of an identified asset for a period of time in exchange for consideration.</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lease expense for the fiscal quarter and two fiscal quarters ended June 29, 2024 and July 1, 2023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42"/>
        </w:trPr>
        <w:tc>
          <w:tcPr>
            <w:tcW w:w="4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160" w:type="dxa"/>
            <w:vAlign w:val="bottom"/>
          </w:tcPr>
          <w:p>
            <w:pPr>
              <w:spacing w:after="0"/>
              <w:rPr>
                <w:sz w:val="12"/>
                <w:szCs w:val="12"/>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amortization of assets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interest on lease 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shd w:val="clear" w:color="auto" w:fill="CCEEFF"/>
          </w:tcPr>
          <w:p>
            <w:pPr>
              <w:spacing w:after="0"/>
              <w:rPr>
                <w:sz w:val="18"/>
                <w:szCs w:val="18"/>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16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Operating and finance lease right-of-use assets and lease-related liabilities as of June 29, 2024 and December 31, 2023 were as follows (in thousands):</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26,993</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4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right-of-use assets</w:t>
            </w: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30,668</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4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Lease-related liabilities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31,919</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35,951</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supplemental information related to leases as of June 29, 2024 and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information related to the cash flows for operating leases recorded on the condensed consolidated statements of cash flows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73"/>
        </w:trPr>
        <w:tc>
          <w:tcPr>
            <w:tcW w:w="6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1, 2023</w:t>
            </w:r>
          </w:p>
        </w:tc>
      </w:tr>
      <w:tr>
        <w:trPr>
          <w:trHeight w:val="209"/>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fiscal year maturities of operating lease liabilities as of June 29, 2024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2024</w:t>
            </w:r>
          </w:p>
        </w:tc>
        <w:tc>
          <w:tcPr>
            <w:tcW w:w="19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r>
      <w:tr>
        <w:trPr>
          <w:trHeight w:val="24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9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r>
      <w:tr>
        <w:trPr>
          <w:trHeight w:val="243"/>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8,062</w:t>
            </w:r>
          </w:p>
        </w:tc>
      </w:tr>
      <w:tr>
        <w:trPr>
          <w:trHeight w:val="223"/>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36,803</w:t>
            </w:r>
          </w:p>
        </w:tc>
      </w:tr>
      <w:tr>
        <w:trPr>
          <w:trHeight w:val="243"/>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9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w:t>
            </w:r>
          </w:p>
        </w:tc>
      </w:tr>
      <w:tr>
        <w:trPr>
          <w:trHeight w:val="209"/>
        </w:trPr>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19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28,080</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31,919</w:t>
            </w:r>
          </w:p>
        </w:tc>
      </w:tr>
      <w:tr>
        <w:trPr>
          <w:trHeight w:val="20"/>
        </w:trPr>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SALES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disaggregation of net sales by product line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42"/>
        </w:trPr>
        <w:tc>
          <w:tcPr>
            <w:tcW w:w="2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40" w:type="dxa"/>
            <w:vAlign w:val="bottom"/>
          </w:tcPr>
          <w:p>
            <w:pPr>
              <w:spacing w:after="0"/>
              <w:rPr>
                <w:sz w:val="12"/>
                <w:szCs w:val="12"/>
                <w:color w:val="auto"/>
              </w:rPr>
            </w:pPr>
          </w:p>
        </w:tc>
      </w:tr>
      <w:tr>
        <w:trPr>
          <w:trHeight w:val="209"/>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In-ground Swimming Pools</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140,791</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Covers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61,500</w:t>
            </w:r>
          </w:p>
        </w:tc>
        <w:tc>
          <w:tcPr>
            <w:tcW w:w="4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Liners</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53,661</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57,839</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84,201</w:t>
            </w:r>
          </w:p>
        </w:tc>
        <w:tc>
          <w:tcPr>
            <w:tcW w:w="40" w:type="dxa"/>
            <w:vAlign w:val="bottom"/>
            <w:shd w:val="clear" w:color="auto" w:fill="CCEEFF"/>
          </w:tcPr>
          <w:p>
            <w:pPr>
              <w:spacing w:after="0"/>
              <w:rPr>
                <w:sz w:val="18"/>
                <w:szCs w:val="18"/>
                <w:color w:val="auto"/>
              </w:rPr>
            </w:pPr>
          </w:p>
        </w:tc>
      </w:tr>
      <w:tr>
        <w:trPr>
          <w:trHeight w:val="210"/>
        </w:trPr>
        <w:tc>
          <w:tcPr>
            <w:tcW w:w="2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160,122</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177,128</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270,751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314,847</w:t>
            </w:r>
          </w:p>
        </w:tc>
        <w:tc>
          <w:tcPr>
            <w:tcW w:w="40" w:type="dxa"/>
            <w:vAlign w:val="bottom"/>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fiscal quarter and two fiscal quarters ended June 29, 2024 was 3.2% and 15.2%, respectively, compared to 46.1% and (29.2)% for the fiscal quarter and two fiscal quarters ended July 1, 2023. The differences between the U.S. federal statutory income tax rate and our effective income tax rates for the fiscal quarter ended June 29, 2024 and the fiscal quarter ended July 1, 2023 were primarily attributable to the impacts of stock-based compensation expense and foreign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May 10, 2022, the Board of Directors of the Company approved a stock repurchase program (the “Repurchase Program”), which authorizes the Company to repurchase up to $100 million of the Company’s shares of common stock by May 2025. The Company may effect these repurchases in open market transactions, privately negotiated purchases, or other acquisitions. The Company is not obligated to repurchase any of its shares of its common stock under the Repurchase Program and the timing and amount of any repurchases will depend on market conditions, the Company’s stock price, alternative uses of capital, the terms of the Company’s debt instruments, and other factors.</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June 29, 2024, $77.0 million remained available for share repurchases pursuant to the Repurchase Program. The Company did not repurchase any shares of its common stock during the fiscal quarter ended June 29, 2024. The Company accounts for the excess of the repurchase price over the par value of shares acquired as a reduction to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On April 12, 2021, the Company’s stockholders approved the 2021 Omnibus Equity Incentive Plan (the “2021 Omnibus Equity Plan”), which became effective on April 22, 2021. The 2021 Omnibus Equity Plan provides for the issuance of incentive stock options, non-qualified stock options, stock appreciation rights, restricted stock, restricted stock units, performance stock units and other stock-based and cash-based awards. The maximum grant date fair value of cash and equity awards that may be awarded to a</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non-employee director under the 2021 Omnibus Equity Plan during any one fiscal year, together with any cash fees paid to such non-employee director during such fiscal year, is $750,000.</w:t>
      </w:r>
    </w:p>
    <w:p>
      <w:pPr>
        <w:spacing w:after="0" w:line="16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 May 2, 2023, at the 2023 annual meeting of stockholders of the Company, the stockholders approved the first amendment (the “First Amendment”) to the 2021 Omnibus Equity Plan, which was previously approved by the Board of Directors of the Company. The First Amendment became effective upon stockholder approval, and included an increase by 8,000,000 shares of the share pool, i.e. the maximum number of shares of the Company’s common stock that may be issued pursuant to awards granted under the 2021 Omnibus Equity Plan.</w:t>
      </w:r>
    </w:p>
    <w:p>
      <w:pPr>
        <w:spacing w:after="0" w:line="183"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Except as amended by the First Amendment, the other terms of the 2021 Omnibus Equity Plan remain in full force and effect. Subsequent to the First Amendment, the maximum aggregate number of shares reserved for issuance under the 2021 Omnibus Equity Plan is 21,170,212 shares.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42"/>
        </w:trPr>
        <w:tc>
          <w:tcPr>
            <w:tcW w:w="398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2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280" w:type="dxa"/>
            <w:vAlign w:val="bottom"/>
            <w:tcBorders>
              <w:bottom w:val="single" w:sz="8" w:color="CCEEFF"/>
            </w:tcBorders>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shd w:val="clear" w:color="auto" w:fill="CCEEFF"/>
          </w:tcPr>
          <w:p>
            <w:pPr>
              <w:spacing w:after="0"/>
              <w:rPr>
                <w:sz w:val="18"/>
                <w:szCs w:val="18"/>
                <w:color w:val="auto"/>
              </w:rPr>
            </w:pPr>
          </w:p>
        </w:tc>
      </w:tr>
      <w:tr>
        <w:trPr>
          <w:trHeight w:val="216"/>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280" w:type="dxa"/>
            <w:vAlign w:val="bottom"/>
            <w:tcBorders>
              <w:bottom w:val="single" w:sz="8" w:color="CCEEFF"/>
            </w:tcBorders>
          </w:tcPr>
          <w:p>
            <w:pPr>
              <w:spacing w:after="0"/>
              <w:rPr>
                <w:sz w:val="18"/>
                <w:szCs w:val="18"/>
                <w:color w:val="auto"/>
              </w:rPr>
            </w:pPr>
          </w:p>
        </w:tc>
      </w:tr>
      <w:tr>
        <w:trPr>
          <w:trHeight w:val="209"/>
        </w:trPr>
        <w:tc>
          <w:tcPr>
            <w:tcW w:w="39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As of June 29, 2024, total unrecognized stock-based compensation expense related to all unvested stock-based awards was $12.8 million, which is expected to be recognized over a weighted-average period of 2.1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restricted stock awards activity during the two fiscal quarters ended June 29,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420" w:type="dxa"/>
            <w:vAlign w:val="bottom"/>
          </w:tcPr>
          <w:p>
            <w:pPr>
              <w:spacing w:after="0"/>
              <w:rPr>
                <w:sz w:val="12"/>
                <w:szCs w:val="12"/>
                <w:color w:val="auto"/>
              </w:rPr>
            </w:pPr>
          </w:p>
        </w:tc>
        <w:tc>
          <w:tcPr>
            <w:tcW w:w="10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74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7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29, 2024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restricted stock units activity during the two fiscal quarters ended June 29,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42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10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74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2,235,479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2,616,819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(598,715)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(115,296)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29,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4,138,287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stock options activity during the two fiscal quarters ended June 29,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8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Contract Term</w:t>
            </w:r>
          </w:p>
        </w:tc>
        <w:tc>
          <w:tcPr>
            <w:tcW w:w="2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June 29, 2024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1,421,854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7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June 29, 2024</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1,421,854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15.25</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7.39</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ind w:left="6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June 29, 2024</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779,935</w:t>
            </w: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16.45</w:t>
            </w:r>
          </w:p>
        </w:tc>
        <w:tc>
          <w:tcPr>
            <w:tcW w:w="16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7.19</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ind w:left="6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Times New Roman" w:cs="Times New Roman" w:eastAsia="Times New Roman" w:hAnsi="Times New Roman"/>
          <w:sz w:val="10"/>
          <w:szCs w:val="10"/>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During the fiscal quarter ended April 1, 2023, as a portion of the annual equity award grants to the Company’s executive officers, the Compensation Committee of the Board of Directors approved stock appreciation rights for an aggregate of 790,181 shares of the Company’s common stock, with a strike price of $3.24 per share. At the time of such approval, the Company did not have enough shares of the Company’s common stock in the share pool under the 2021 Omnibus Equity Plan to support such grant. As of April 1, 2023, the contingent grant of stock appreciation rights remained subject to stockholder approval of the First Amendment. On May 2, 2023, following stockholder approval of the First Amendment, the foregoing stock appreciation right awards became effective without condition.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stock appreciation rights activity during the two fiscal quarters ended June 29,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8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 Term</w:t>
            </w:r>
          </w:p>
        </w:tc>
        <w:tc>
          <w:tcPr>
            <w:tcW w:w="16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29,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706,460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48,280</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June 29, 2024</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706,460</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8.88</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48,280</w:t>
            </w:r>
          </w:p>
        </w:tc>
        <w:tc>
          <w:tcPr>
            <w:tcW w:w="0" w:type="dxa"/>
            <w:vAlign w:val="bottom"/>
          </w:tcPr>
          <w:p>
            <w:pPr>
              <w:spacing w:after="0"/>
              <w:rPr>
                <w:sz w:val="1"/>
                <w:szCs w:val="1"/>
                <w:color w:val="auto"/>
              </w:rPr>
            </w:pPr>
          </w:p>
        </w:tc>
      </w:tr>
      <w:tr>
        <w:trPr>
          <w:trHeight w:val="197"/>
        </w:trPr>
        <w:tc>
          <w:tcPr>
            <w:tcW w:w="58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Stock appreciation rights exercisable at June 29, 2024</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161,893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8.84</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appreciation rights is calculated as the difference between the strike price of the stock appreciation rights and the fair value of the Company’s common stock for those stock appreciation rights that had strike prices lower than the fair value of the Company’s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During the two fiscal quarters ended June 29, 2024, the Compensation Committee of the Board of Directors approved the grant of performance stock units (“PSUs”) as a portion of the annual equity award to the Company’s executive officers.</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PSUs will be earned at 0% to 200% of the target PSUs (with 100% of PSUs being earned at target performance, and linear interpolation between threshold and target and maximum performance) based on the Company’s achievement of Adjusted EBITDA, as defined in the award agreement, over a one-fiscal year performance period ending December 31, 2024. Any earned PSUs cliff vest on the third anniversary of the grant date. Adjusted EBITDA is considered a performance condition and the grant date fair value corresponds with management’s expectation of the probable outcome of the performance condition as of the grant date. The grant date fair value is determined based on the fair market value of the Company’s stock at market close on the grant date multiplied by the target number of shares subject to the award. The probability of achieving the performance criteria is assessed quarterly during the performance period. Compensation expense related to unvested PSUs is recognized ratably over the service period.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PSU activity during the two fiscal quarters ended June 29,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443,100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Adjustment for expected performance achievement </w:t>
            </w:r>
            <w:r>
              <w:rPr>
                <w:rFonts w:ascii="Times New Roman" w:cs="Times New Roman" w:eastAsia="Times New Roman" w:hAnsi="Times New Roman"/>
                <w:sz w:val="25"/>
                <w:szCs w:val="25"/>
                <w:color w:val="auto"/>
                <w:vertAlign w:val="superscript"/>
              </w:rPr>
              <w:t>(1)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Outstanding at June 29, 2024 </w:t>
            </w:r>
            <w:r>
              <w:rPr>
                <w:rFonts w:ascii="Times New Roman" w:cs="Times New Roman" w:eastAsia="Times New Roman" w:hAnsi="Times New Roman"/>
                <w:sz w:val="24"/>
                <w:szCs w:val="24"/>
                <w:color w:val="auto"/>
                <w:vertAlign w:val="superscript"/>
              </w:rPr>
              <w:t>(2)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443,100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previously granted PSUs based on the Company’s performance expectations as of June 29, 2024.</w:t>
      </w:r>
    </w:p>
    <w:p>
      <w:pPr>
        <w:spacing w:after="0" w:line="225" w:lineRule="exact"/>
        <w:rPr>
          <w:rFonts w:ascii="Times New Roman" w:cs="Times New Roman" w:eastAsia="Times New Roman" w:hAnsi="Times New Roman"/>
          <w:sz w:val="18"/>
          <w:szCs w:val="18"/>
          <w:color w:val="auto"/>
        </w:rPr>
      </w:pPr>
    </w:p>
    <w:p>
      <w:pPr>
        <w:ind w:right="240" w:firstLine="332"/>
        <w:spacing w:after="0" w:line="282" w:lineRule="auto"/>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443,100 PSUs could potentially be included if the maximum performance level of 200% is earned for all PSUs outstanding as of June 29, 2024.</w:t>
      </w:r>
    </w:p>
    <w:p>
      <w:pPr>
        <w:spacing w:after="0" w:line="15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common stockholders was calculated as follows (in thousands,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56"/>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3"/>
                <w:szCs w:val="13"/>
                <w:color w:val="auto"/>
              </w:rPr>
            </w:pPr>
          </w:p>
        </w:tc>
        <w:tc>
          <w:tcPr>
            <w:tcW w:w="1120" w:type="dxa"/>
            <w:vAlign w:val="bottom"/>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20" w:type="dxa"/>
            <w:vAlign w:val="bottom"/>
          </w:tcPr>
          <w:p>
            <w:pPr>
              <w:spacing w:after="0"/>
              <w:rPr>
                <w:sz w:val="13"/>
                <w:szCs w:val="13"/>
                <w:color w:val="auto"/>
              </w:rPr>
            </w:pPr>
          </w:p>
        </w:tc>
        <w:tc>
          <w:tcPr>
            <w:tcW w:w="1180" w:type="dxa"/>
            <w:vAlign w:val="bottom"/>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July 1, 2023</w:t>
            </w: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198"/>
        </w:trPr>
        <w:tc>
          <w:tcPr>
            <w:tcW w:w="41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24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w:t>
            </w: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115,469,246</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112,248,822</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115,254,088</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112,175,510</w:t>
            </w:r>
          </w:p>
        </w:tc>
      </w:tr>
      <w:tr>
        <w:trPr>
          <w:trHeight w:val="209"/>
        </w:trPr>
        <w:tc>
          <w:tcPr>
            <w:tcW w:w="4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117,023,112</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112,692,543</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116,472,164</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112,175,510</w:t>
            </w:r>
          </w:p>
        </w:tc>
      </w:tr>
      <w:tr>
        <w:trPr>
          <w:trHeight w:val="178"/>
        </w:trPr>
        <w:tc>
          <w:tcPr>
            <w:tcW w:w="4160" w:type="dxa"/>
            <w:vAlign w:val="bottom"/>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4"/>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stockholders: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09"/>
        </w:trPr>
        <w:tc>
          <w:tcPr>
            <w:tcW w:w="41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bl>
    <w:p>
      <w:pPr>
        <w:spacing w:after="0" w:line="200" w:lineRule="exact"/>
        <w:rPr>
          <w:sz w:val="20"/>
          <w:szCs w:val="20"/>
          <w:color w:val="auto"/>
        </w:rPr>
      </w:pPr>
    </w:p>
    <w:p>
      <w:pPr>
        <w:spacing w:after="0" w:line="214"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As of June 29, 2024 and December 31, 2023, 115,555,660 and 114,828,896 shares of common stock were issued and outstanding for accounting purposes, respectively.</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number of shares that may be dilutive common shares in the future that were not included in the computation of diluted net income (loss) per share because the effect was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9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72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r>
      <w:tr>
        <w:trPr>
          <w:trHeight w:val="142"/>
        </w:trPr>
        <w:tc>
          <w:tcPr>
            <w:tcW w:w="4280" w:type="dxa"/>
            <w:vAlign w:val="bottom"/>
          </w:tcPr>
          <w:p>
            <w:pPr>
              <w:spacing w:after="0"/>
              <w:rPr>
                <w:sz w:val="12"/>
                <w:szCs w:val="12"/>
                <w:color w:val="auto"/>
              </w:rPr>
            </w:pPr>
          </w:p>
        </w:tc>
        <w:tc>
          <w:tcPr>
            <w:tcW w:w="146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24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220" w:type="dxa"/>
            <w:vAlign w:val="bottom"/>
          </w:tcPr>
          <w:p>
            <w:pPr>
              <w:spacing w:after="0"/>
              <w:rPr>
                <w:sz w:val="12"/>
                <w:szCs w:val="12"/>
                <w:color w:val="auto"/>
              </w:rPr>
            </w:pPr>
          </w:p>
        </w:tc>
        <w:tc>
          <w:tcPr>
            <w:tcW w:w="144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26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20" w:type="dxa"/>
            <w:vAlign w:val="bottom"/>
          </w:tcPr>
          <w:p>
            <w:pPr>
              <w:spacing w:after="0"/>
              <w:rPr>
                <w:sz w:val="12"/>
                <w:szCs w:val="12"/>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1,331,897</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58,259</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102,129</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301,440</w:t>
            </w: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1,432,041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1,730,204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1,476,599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1,808,350</w:t>
            </w:r>
          </w:p>
        </w:tc>
        <w:tc>
          <w:tcPr>
            <w:tcW w:w="20" w:type="dxa"/>
            <w:vAlign w:val="bottom"/>
            <w:shd w:val="clear" w:color="auto" w:fill="CCEEFF"/>
          </w:tcPr>
          <w:p>
            <w:pPr>
              <w:spacing w:after="0"/>
              <w:rPr>
                <w:sz w:val="18"/>
                <w:szCs w:val="18"/>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647,582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529,681</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652,790</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264,841</w:t>
            </w:r>
          </w:p>
        </w:tc>
        <w:tc>
          <w:tcPr>
            <w:tcW w:w="20" w:type="dxa"/>
            <w:vAlign w:val="bottom"/>
          </w:tcPr>
          <w:p>
            <w:pPr>
              <w:spacing w:after="0"/>
              <w:rPr>
                <w:sz w:val="21"/>
                <w:szCs w:val="21"/>
                <w:color w:val="auto"/>
              </w:rPr>
            </w:pPr>
          </w:p>
        </w:tc>
      </w:tr>
      <w:tr>
        <w:trPr>
          <w:trHeight w:val="24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2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41,563</w:t>
            </w: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BrightAI Services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Starting in 2020, BrightAI Corporation (“BrightAI”) has rendered services to the Company, for which the cost has been capitalized as internal-use software. A co-founder of BrightAI served on the Company’s Board of Directors from December 9, 2020 until his resignation on February 21, 2024. In December 2022, the Company executed an additional agreement with BrightAI for the provision of hardware to run the technology developed by BrightAI and the Company. During the two fiscal quarters ended June 29, 2024 and July 1, 2023, the Company incurred no material amounts and $0.8 million, respectively, associated with services performed by BrightAI, which was recorded as construction in progress within property and equipment, net on the condensed consolidated balance sheet as of July 1, 2023. As of December 31, 2023, the Company had no accounts payable related to BrightAI.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 COSTS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During the second and third fiscal quarters of 2023, the Company initiated an additional plan focused on efforts to improve efficiencies and decrease costs. The plan involved a reduction in the Company’s workforce as well as closures of various manufacturing facilities. The Company had an exit or disposal cost related liability of less than $0.1 million as of June 29, 2024 and $0.2 million as of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On August 2, 2024, the Company completed a stock acquisition of CoverStar Central, LLC. (“CoverStar Central”), the Company’s exclusive dealer of automatic safety covers in 29 states – mainly in the center of the U.S. The purchase price was $64.5 million, subject to certain adjustments, including for working capital as compared to an agreed target and transaction expenses. The Company fully funded the transaction with cash on hand.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condensed consolidated financial statements and related notes appearing elsewhere in this Quarterly Report on Form 10-Q and our 2023 Annual Report on Form 10-K filed with the Securities and Exchange Commission, (“SEC”) on March 13, 2024 (the “Annual Report”).</w:t>
      </w:r>
    </w:p>
    <w:p>
      <w:pPr>
        <w:spacing w:after="0" w:line="180" w:lineRule="exact"/>
        <w:rPr>
          <w:sz w:val="20"/>
          <w:szCs w:val="20"/>
          <w:color w:val="auto"/>
        </w:rPr>
      </w:pPr>
    </w:p>
    <w:p>
      <w:pPr>
        <w:ind w:right="5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Quarterly Report on Form 10-Q, references to “Latham,” “the Company,” “we,” “us” and “our,” refer to the Company and its consolidated subsidiaries unless otherwise indicated or the context requires otherwise.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the implementation of our cost reduction plans and expected annualized cost savings, the implementation of our digital transformation and lean manufacturing activities, a potential non-cash impairment charge for goodwill, the recent acquisition of Coverstar Central, LLC. (“Coverstar Central”), 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those set forth under “Risk Factors,” “Management's Discussion and Analysis of Financial Condition and Results of Operations” and elsewhere in the Annual Report and as described in other subsequent reports we file or furnish with the SEC, including elsewhere in this Quarterly Report on Form 10-Q. For similar reasons, our past results may not be a reliable indicator of future performance and trends. We encourage you to read this report and our other filings with the SEC carefully. You also should be aware that these risk factors and other information do not describe every risk that we face. New emerging risks and uncertainties not presently known to us or that we currently deem immaterial also may impair our business, financial condition, results of operations and cash flows. We operate in a very competitive and rapidly changing environment, and new risks emerge from time to time.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w:t>
      </w:r>
    </w:p>
    <w:p>
      <w:pPr>
        <w:spacing w:after="0" w:line="20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Quarterly Report on Form 10-Q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Our forward-looking statements further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are the largest designer, manufacturer, and marketer of in-ground residential swimming pools in North America, Australia, and New Zealand. We hold the leading position in North America in every product category in which we compete. It is our view that we are the most sought-after brand in the pool industry and the only pool company that has established a direct relationship with the homeowner. We are Latham, The Pool Company.</w:t>
      </w:r>
    </w:p>
    <w:p>
      <w:pPr>
        <w:spacing w:after="0" w:line="18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With an operating history that spans over 65 years, we offer the industry’s broadest portfolio of pools and related products, including in-ground swimming pools, pool liners, and pool covers.</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Partnership with our dealers is integral to our collective success, and we have enjoyed long-tenured relationships averaging over 14 years. We support our dealer network with business development tools, co-branded marketing programs, and in-house training, as well as an operations platform consisting of approximately 1,800 employees across 24 locations.</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conduct our business as one operating and reportable segment that designs, manufactures, and markets in-ground swimming pools, pool liners, and pool covers.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fiscal quarter ended June 29, 2024</w:t>
      </w:r>
    </w:p>
    <w:p>
      <w:pPr>
        <w:spacing w:after="0" w:line="229" w:lineRule="exact"/>
        <w:rPr>
          <w:sz w:val="20"/>
          <w:szCs w:val="20"/>
          <w:color w:val="auto"/>
        </w:rPr>
      </w:pPr>
    </w:p>
    <w:p>
      <w:pPr>
        <w:ind w:left="680" w:right="50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net sales of 9.6%, or $17.0 million, to $160.1 million for the fiscal quarter ended June 29, 2024, compared to $177.1 million for the fiscal quarter ended July 1, 2023.</w:t>
      </w:r>
    </w:p>
    <w:p>
      <w:pPr>
        <w:spacing w:after="0" w:line="161"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income of $7.6 million to $13.3 million and representing an 8.3% net income margin for the fiscal quarter ended June 29, 2024, compared to net income of $5.7 million and representing a 3.2% net income margin for the fiscal quarter ended July 1, 2023.</w:t>
      </w:r>
    </w:p>
    <w:p>
      <w:pPr>
        <w:spacing w:after="0" w:line="175" w:lineRule="exact"/>
        <w:rPr>
          <w:rFonts w:ascii="Times New Roman" w:cs="Times New Roman" w:eastAsia="Times New Roman" w:hAnsi="Times New Roman"/>
          <w:sz w:val="18"/>
          <w:szCs w:val="18"/>
          <w:color w:val="auto"/>
        </w:rPr>
      </w:pPr>
    </w:p>
    <w:p>
      <w:pPr>
        <w:ind w:left="680" w:right="20" w:hanging="321"/>
        <w:spacing w:after="0" w:line="312" w:lineRule="auto"/>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Adjusted EBITDA (as defined below) of $3.5 million to $34.5 million for the fiscal quarter ended June 29, 2024, compared to $31.0 million for the fiscal quarter ended July 1, 2023. Adjusted EBITDA margin improved from 17.5% to 21.5%.</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two fiscal quarters ended June 29, 2024</w:t>
      </w:r>
    </w:p>
    <w:p>
      <w:pPr>
        <w:spacing w:after="0" w:line="229" w:lineRule="exact"/>
        <w:rPr>
          <w:sz w:val="20"/>
          <w:szCs w:val="20"/>
          <w:color w:val="auto"/>
        </w:rPr>
      </w:pPr>
    </w:p>
    <w:p>
      <w:pPr>
        <w:ind w:left="680" w:right="2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net sales of 14.0%, or $44.0 million, to $270.8 million for the two fiscal quarters ended June 29, 2024, compared to $314.8 million for the two fiscal quarters ended July 1, 2023.</w:t>
      </w:r>
    </w:p>
    <w:p>
      <w:pPr>
        <w:spacing w:after="0" w:line="161"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income of $14.1 million to a net income of $5.4 million and representing a 2.0% net income margin for the two fiscal quarters ended June 29, 2024, compared to net loss of $8.7 million for the two fiscal quarters ended July 1, 2023.</w:t>
      </w:r>
    </w:p>
    <w:p>
      <w:pPr>
        <w:spacing w:after="0" w:line="161" w:lineRule="exact"/>
        <w:rPr>
          <w:rFonts w:ascii="Times New Roman" w:cs="Times New Roman" w:eastAsia="Times New Roman" w:hAnsi="Times New Roman"/>
          <w:sz w:val="18"/>
          <w:szCs w:val="18"/>
          <w:color w:val="auto"/>
        </w:rPr>
      </w:pPr>
    </w:p>
    <w:p>
      <w:pPr>
        <w:ind w:left="680" w:right="32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Adjusted EBITDA (as defined below) of $4.8 million to $46.8 million for the two fiscal quarters ended June 29, 2024, compared to $42.0 million for the two fiscal quarters ended July 1, 2023. Adjusted EBITDA margin improved from 13.3% to 17.3%.</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Ongoing macroeconomic softness has impacted and is expected to continue to impact consumer spending and demand. As anticipated, this resulted in a decline in U.S. new in-ground residential pool installations in the first half of 2024, mainly driven by lower packaged pool demand. Fiberglass products continue to show strength relative to packaged pools.</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continue to make progress executing our strategy to drive adoption and awareness of fiberglass pools and automatic safety covers and gain additional operating efficiencies through value engineering and lean manufacturing initiatives. We continue to take a disciplined approach to capital investments, with the focus on the completion of previously announced projects such as our recent multi-year capital plan to invest in our facilities, technology and systems. Notably, this involves continued investment in our sales, marketing, engineering and research and development efforts that are designed to accelerate conversion to fiberglass pool products and ongoing digital transformation programs.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responded to economic uncertainty by implementing cost reduction programs and lean manufacturing initiatives that structurally reduce our cost basis, while maintaining capacity. We realized an additional $4.8 million of annualized savings during 2024 from plans initiated in the second and third quarters of 2023, with $2.7 million realized in the first fiscal quarter and $2.1 million realized in the second fiscal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Strategic transactions continue to be part of our growth strategy. On August 2, 2024, we completed a stock acquisition (the “Coverstar Central Acquisition”) of Coverstar Central, our exclusive dealer of automatic safety covers in 29 states – mainly in the center of the U.S. Coverstar Central has been our trusted partner since 2006, and this acquisition represents a valuable strategic opportunity that we expect to benefit from in multiple ways. First, the vertical integration of our automatic safety cover product line in the acquired geographies is expected to increase margins. Second, as one company with a fully integrated sales and marketing strategy, we expect to accelerate the sales growth of this product line. Finally, we see opportunities to leverage Coverstar Central’s long-standing relationships with pool builders in its markets to increase the awareness of, and conversion to, fiberglass pools. We believe the Coverstar Central Acquisition will be immediately accretive to our net income, Adjusted EBITDA and Adjusted EBITDA margin for the fiscal year ending December 31, 2024 and enhance our gross margins in the long-term. The purchase price was $64.5 million, subject to certain adjustments, including for working capital, as compared to an agreed upon target and transaction expenses. The transaction was fully funded with cash on hand.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derive our revenue from the design, manufacture, and sale of in-ground swimming pools, pool covers, and pool liners. We sell fiberglass pools, which are one-piece manufactured fiberglass pools that are ready to be installed in a consumer’s backyard, and custom vinyl pools, which are manufactured pools that are made out of non-corrosive steel, aluminum, or composite polymer frame, on top of which a vinyl liner is installed. We sell liners for the interior surface of vinyl pools (including pools that were not manufactured by us). We also sell all-season covers, which are winterizing mesh or solid pool covers that protect pools against debris and cold or inclement weather, and automatic safety covers for pools that can be operated with a switch.</w:t>
      </w:r>
    </w:p>
    <w:p>
      <w:pPr>
        <w:spacing w:after="0" w:line="18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Each product shipped is considered to be one performance obligation. With the exception of our extended service warranties and our custom product contracts, we recognize our revenue when control of our promised goods is transferred to our customers (dealer in one-step distribution channel or distributor in two-step distribution channel), either upon shipment or arrival at our customer’s destination depending upon the terms of the purchase order. Sales are recognized net of any estimated rebates, returns, allowances,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gross profit is primarily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incentive compensation plans,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(benefit) expense, (iv) loss (gain) on sale and disposal of property and equipment, (v) restructuring charges, (vi) stock-based compensation expense, (vii) unrealized (gains) losses on foreign currency transactions, (viii) strategic initiative costs, (ix) acquisition and integration related costs, (x) the Odessa fire and other such unusual events and (xi) other.</w:t>
      </w:r>
    </w:p>
    <w:p>
      <w:pPr>
        <w:spacing w:after="0" w:line="19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90"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Quarter Ended June 29, 2024 Compared to Fiscal Quarter Ended July 1, 2023</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fiscal quarter ended June 29, 2024 and July 1, 2023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vMerge w:val="restart"/>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160" w:type="dxa"/>
            <w:vAlign w:val="bottom"/>
            <w:vMerge w:val="restart"/>
          </w:tcPr>
          <w:p>
            <w:pPr>
              <w:spacing w:after="0"/>
              <w:rPr>
                <w:sz w:val="10"/>
                <w:szCs w:val="10"/>
                <w:color w:val="auto"/>
              </w:rPr>
            </w:pPr>
          </w:p>
        </w:tc>
        <w:tc>
          <w:tcPr>
            <w:tcW w:w="860" w:type="dxa"/>
            <w:vAlign w:val="bottom"/>
            <w:gridSpan w:val="2"/>
          </w:tcPr>
          <w:p>
            <w:pPr>
              <w:jc w:val="right"/>
              <w:ind w:right="17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1060" w:type="dxa"/>
            <w:vAlign w:val="bottom"/>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Change in %</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160,122</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177,128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107,100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126,895</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(19,795)</w:t>
            </w: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53,022</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50,233</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26,588</w:t>
            </w: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6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20,006</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8.6 %</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8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(a)</w:t>
            </w:r>
          </w:p>
        </w:tc>
        <w:tc>
          <w:tcPr>
            <w:tcW w:w="2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7"/>
        </w:trPr>
        <w:tc>
          <w:tcPr>
            <w:tcW w:w="338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34,478</w:t>
            </w:r>
          </w:p>
        </w:tc>
        <w:tc>
          <w:tcPr>
            <w:tcW w:w="160" w:type="dxa"/>
            <w:vAlign w:val="bottom"/>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28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30,999</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20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3,479</w:t>
            </w: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07" w:lineRule="exact"/>
        <w:rPr>
          <w:sz w:val="20"/>
          <w:szCs w:val="20"/>
          <w:color w:val="auto"/>
        </w:rPr>
      </w:pPr>
    </w:p>
    <w:p>
      <w:pPr>
        <w:ind w:right="60" w:firstLine="332"/>
        <w:spacing w:after="0" w:line="282"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Financial Measures” for a reconciliation to net income (loss), the most directly comparable GAAP measure, and for information regarding our use of Adjusted EBITDA.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Net sales were $160.1 million for the fiscal quarter ended June 29, 2024, compared to $177.1 million for the fiscal quarter ended July 1, 2023. The $17.0 million, or 9.6%, decrease in net sales was because of a $16.4 million decrease in sales volume and a $0.6 million decrease from lower pricing. The sales volume decrease was primarily driven by continued macroeconomic softness, partially offset by normalized seasonality. The decrease in net sales of $17.0 million across our product lines consisted of $9.6 million for in-ground swimming pools, $4.2 million for liners and $3.3 million for covers.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Cost of sales was $107.1 million for the fiscal quarter ended June 29, 2024, compared to $126.9 million for the fiscal quarter ended July 1, 2023. Gross margin increased by 4.7%, to 33.1% of net sales for the fiscal quarter ended June 29, 2024, compared to 28.4% of net sales for the fiscal quarter ended July 1, 2023. The $19.8 million, or 15.6%, decrease in cost of sales was primarily the result of the decrease in sales volume, the impact of production efficiencies resulting from lean manufacturing and value engineering programs and lower material costs, partially offset by a $0.6 million increase in non-cash stock-based compensation expense. The 4.7% increase in gross margin was primarily driven by the impact of previously announced restructuring programs, the impact of production efficiencies resulting from lean manufacturing and value engineering programs, cost control and lower raw material costs.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was $26.6 million for the fiscal quarter ended June 29, 2024, compared to $30.2 million for the fiscal quarter ended July 1, 2023, and decreased as a percentage of net sales by 0.5%. The $3.6 million, or 12.0%, decrease in selling, general, and administrative expense was primarily driven by a $4.3 million decrease in non-cash stock-based compensation expense, as well as our cost containment initiatives and restructuring projects, partially offset by an increase of $4.8 million in accrued performance-based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Amortization was $6.4 million for the fiscal quarter ended June 29, 2024, compared to $6.6 million for the fiscal quarter ended July 1, 2023. The $0.2 million, or 3.1%, decrease in amortization was driven by certain definite-lived intangible assets becoming fully amortized during the fiscal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was $6.0 million for the fiscal quarter ended June 29, 2024, compared to $4.5 million for the fiscal quarter ended July 1, 2023. The $1.5 million, or 34.0%, increase in interest expense, net was primarily the result of the change in the fair value of our interest rate swap, compared to the fiscal quarter ended July 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Other expense (income), net was $0.8 million for the fiscal quarter ended June 29, 2024, compared to $(1.0) million for fiscal quarter ended July 1, 2023. The $1.8 million increase in other expense (income), net was primarily driven by an unfavorable change in net foreign currency transaction gains and losses associated with our international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w:t>
      </w:r>
    </w:p>
    <w:p>
      <w:pPr>
        <w:spacing w:after="0" w:line="229" w:lineRule="exact"/>
        <w:rPr>
          <w:sz w:val="20"/>
          <w:szCs w:val="20"/>
          <w:color w:val="auto"/>
        </w:rPr>
      </w:pPr>
    </w:p>
    <w:p>
      <w:pPr>
        <w:ind w:right="180" w:firstLine="324"/>
        <w:spacing w:after="0" w:line="312" w:lineRule="auto"/>
        <w:rPr>
          <w:sz w:val="20"/>
          <w:szCs w:val="20"/>
          <w:color w:val="auto"/>
        </w:rPr>
      </w:pPr>
      <w:r>
        <w:rPr>
          <w:rFonts w:ascii="Times New Roman" w:cs="Times New Roman" w:eastAsia="Times New Roman" w:hAnsi="Times New Roman"/>
          <w:sz w:val="17"/>
          <w:szCs w:val="17"/>
          <w:color w:val="auto"/>
        </w:rPr>
        <w:t>Earnings from our equity method investment in Premier Pools &amp; Spa were $0.5 million for the fiscal quarter ended June 29, 2024, compared to $0.7 million for the fiscal quarter ended July 1, 2023, because of the financial performance of Premier Pools &amp; Spa.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Income tax expense was $0.4 million for the fiscal quarter ended June 29, 2024, compared to income tax expense of $4.9 million for the fiscal quarter ended July 1, 2023. Our effective tax rate was 3.2% for the fiscal quarter ended June 29, 2024, compared to 46.1% for the fiscal quarter ended July 1, 2023. The difference between the U.S. federal statutory income tax rate and our effective income tax rate for both the fiscal quarters ended June 29, 2024 and July 1, 2023 was primarily attributable to the impacts of stock-based compensation expense and foreign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Net income was $13.3 million for the fiscal quarter ended June 29, 2024, compared to $5.7 million for the fiscal quarter ended July 1, 2023. The $7.6 million, or 132.4%, increase in net income was primarily because of the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margin was 8.3% for the fiscal quarter ended June 29, 2024, compared to 3.2% for the fiscal quarter ended July 1, 2023. The 5.1% increase in net income margin was driven by a $7.6 million increase in net income compared to the fiscal quarter ended July 1, 2023 because of the factors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Adjusted EBITDA was $34.5 million for the fiscal quarter ended June 29, 2024, compared to $31.0 million for the fiscal quarter ended July 1, 2023. The $3.5 million, or 11.2%, increase in Adjusted EBITDA was primarily because of the decrease in cost of sales</w:t>
      </w:r>
    </w:p>
    <w:p>
      <w:pPr>
        <w:sectPr>
          <w:pgSz w:w="11900" w:h="16838" w:orient="portrait"/>
          <w:cols w:equalWidth="0" w:num="1">
            <w:col w:w="9880"/>
          </w:cols>
          <w:pgMar w:left="980" w:top="661" w:right="1039" w:bottom="1440" w:gutter="0" w:footer="0" w:header="0"/>
        </w:sect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selling, general and administrative expenses, partially offset by the decrease in net sales, as well as the other factors described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2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Adjusted EBITDA margin was 21.5% for the fiscal quarter ended June 29, 2024, compared to 17.5% for the fiscal quarter ended July 1, 2023. The 4.0% increase in Adjusted EBITDA margin was primarily because of a $3.5 million increase in Adjusted EBITDA, compared to the fiscal quarter ended July 1, 2023, which were impacted by the factors described above.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Two Fiscal Quarters Ended June 29, 2024 Compared to Two Fiscal Quarters Ended July 1, 2023</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two fiscal quarters ended June 29, 2024 and July 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vMerge w:val="restart"/>
          </w:tcPr>
          <w:p>
            <w:pPr>
              <w:spacing w:after="0"/>
              <w:rPr>
                <w:sz w:val="10"/>
                <w:szCs w:val="10"/>
                <w:color w:val="auto"/>
              </w:rPr>
            </w:pPr>
          </w:p>
        </w:tc>
        <w:tc>
          <w:tcPr>
            <w:tcW w:w="700" w:type="dxa"/>
            <w:vAlign w:val="bottom"/>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8"/>
              </w:rPr>
              <w:t>July 1, 2023</w:t>
            </w:r>
          </w:p>
        </w:tc>
        <w:tc>
          <w:tcPr>
            <w:tcW w:w="160" w:type="dxa"/>
            <w:vAlign w:val="bottom"/>
            <w:vMerge w:val="restart"/>
          </w:tcPr>
          <w:p>
            <w:pPr>
              <w:spacing w:after="0"/>
              <w:rPr>
                <w:sz w:val="10"/>
                <w:szCs w:val="10"/>
                <w:color w:val="auto"/>
              </w:rPr>
            </w:pPr>
          </w:p>
        </w:tc>
        <w:tc>
          <w:tcPr>
            <w:tcW w:w="980" w:type="dxa"/>
            <w:vAlign w:val="bottom"/>
            <w:gridSpan w:val="2"/>
          </w:tcPr>
          <w:p>
            <w:pPr>
              <w:jc w:val="right"/>
              <w:ind w:right="27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40" w:type="dxa"/>
            <w:vAlign w:val="bottom"/>
          </w:tcPr>
          <w:p>
            <w:pPr>
              <w:spacing w:after="0"/>
              <w:rPr>
                <w:sz w:val="10"/>
                <w:szCs w:val="10"/>
                <w:color w:val="auto"/>
              </w:rPr>
            </w:pPr>
          </w:p>
        </w:tc>
        <w:tc>
          <w:tcPr>
            <w:tcW w:w="9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1000" w:type="dxa"/>
            <w:vAlign w:val="bottom"/>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Change in %</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700" w:type="dxa"/>
            <w:vAlign w:val="bottom"/>
          </w:tcPr>
          <w:p>
            <w:pPr>
              <w:jc w:val="right"/>
              <w:ind w:right="14"/>
              <w:spacing w:after="0" w:line="129"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270,751</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314,847</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187,140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231,244</w:t>
            </w:r>
          </w:p>
        </w:tc>
        <w:tc>
          <w:tcPr>
            <w:tcW w:w="16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73.4 %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(44,104)</w:t>
            </w: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52,838</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63,266</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20.1 %</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6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6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6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60" w:type="dxa"/>
            <w:vAlign w:val="bottom"/>
            <w:gridSpan w:val="3"/>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(a)</w:t>
            </w: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6"/>
        </w:trPr>
        <w:tc>
          <w:tcPr>
            <w:tcW w:w="3360" w:type="dxa"/>
            <w:vAlign w:val="bottom"/>
            <w:gridSpan w:val="3"/>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46,770</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c>
          <w:tcPr>
            <w:tcW w:w="2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42,032</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2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4,738</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380" w:firstLine="8"/>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Financial Measures” for a reconciliation to net income (loss), the most directly comparable GAAP measure, and for information regarding our use of Adjusted EBITDA.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sales were $270.8 million for the two fiscal quarters ended June 29, 2024, compared to $314.8 million for the two fiscal quarters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July 1, 2023. The $44.0 million, or 14.0%, decrease in net sales was because of a $42.2 million decrease in sales volume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million decrease from lower pricing. The sales volume decrease was primarily driven by continued macroeconomic softness, lower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entering the fiscal year and normalized seasonality. The decrease in net sales of $44.0 million across our product lines consisted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$28.4 million for in-ground swimming pools, $9.1 million for covers and $6.6 million for liners.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Cost of sales was $187.1 million for the two fiscal quarters ended June 29, 2024, compared to $231.2 million for the two fiscal quarters ended July 1, 2023. Gross margin increased by 4.3%, to 30.9% of net sales for the two fiscal quarters ended June 29, 2024, compared to 26.6% of net sales for the two fiscal quarters ended July 1, 2023. The $44.1 million, or 19.1%, decrease in cost of sales was primarily the result of the decrease in sales volume, the impact of production efficiencies resulting from lean manufacturing and value engineering programs and lower material costs, partially offset by a $0.2 million increase in non-cash stock-based compensation expense. The 4.3% increase in gross margin was primarily driven by the impact of previously announced restructuring programs, the impact of production efficiencies from lean manufacturing and value engineering programs, cost control, material deflation in line with expectations and supplier optimization.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was $52.8 million for the two fiscal quarters ended June 29, 2024, compared to $63.3 million for the two fiscal quarters ended July 1, 2023, and decreased as a percentage of net sales by 0.6%. The $10.5 million, or 16.5%, decrease in selling, general, and administrative expense was primarily driven by a $9.4 million decrease in non-cash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compensation expense, as well as our cost containment initiatives and restructuring projects, partially offset by an increase of $4.8 million in accrued performance-based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Amortization was $12.8 million for the two fiscal quarters ended June 29, 2024, compared to $13.3 million for the two fiscal quarters ended July 1, 2023. The $0.5 million, or 3.2%, decrease in amortization was driven by certain definite-lived intangible assets becoming fully amortized during the fiscal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was $11.0 million for the two fiscal quarters ended June 29, 2024, compared to $15.3 million for the two fiscal quarters ended July 1, 2023. The $4.3 million, or 28.1%, decrease in interest expense, net was primarily the result of the change in the fair value of our interest rate swap, compared to the two fiscal quarters ended July 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Other expense (income), net was $2.4 million for the two fiscal quarters ended June 29, 2024, compared to $(0.8) million for the two fiscal quarters ended July 1, 2023. The $3.2 million increase in other expense (income), net was primarily driven by an unfavorable change in net foreign currency transaction gains and losses associated with our international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Earnings from our equity method investment in Premier Pools &amp; Spa were $1.8 million for the two fiscal quarters ended June 29, 2024, compared to $0.7 million for the two fiscal quarters ended July 1, 2023, because of the financial performance of Premier Pools &amp; Spa.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Income tax expense was $1.0 million for the two fiscal quarters ended June 29, 2024, compared to income tax expense of $2.0 million for the two fiscal quarters ended July 1, 2023. Our effective tax rate was 15.2% for the two fiscal quarters ended June 29, 2024, compared to (29.2)% for the two fiscal quarters ended July 1, 2023. The difference between the U.S. federal statutory income tax rate and our effective income tax rate for both the two fiscal quarters ended June 29, 2024 and July 1, 2023 was primarily attributable to the impacts of stock-based compensation expense and foreign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Net income was $5.4 million for the two fiscal quarters ended June 29, 2024, compared to $8.7 million of net loss for the two fiscal quarters ended July 1, 2023. The $14.1 million, or 162.6%, increase in net income was primarily because of the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Margin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Net income margin was 2.0% for the two fiscal quarters ended June 29, 2024, compared to net loss margin of 2.7% for the two fiscal quarters ended July 1, 2023. The 4.7% increase in net income margin was driven by a $14.1 million increase in net income, compared to the two fiscal quarters ended July 1, 2023 because of the factors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Adjusted EBITDA was $46.8 million for the two fiscal quarters ended June 29, 2024, compared to $42.0 million for the two fiscal quarters ended July 1, 2023. The $4.8 million, or 11.3%, increase in Adjusted EBITDA was primarily because of the decrease in cost of sales and selling, general and administrative expenses, partially offset by the decrease in net sales, as well as the other factors described above.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margin was 17.3% for the two fiscal quarters ended June 29, 2024, compared to 13.3% for the two fiscal quarters ended July 1, 2023. The 4.0% increase in Adjusted EBITDA margin was primarily because of a $4.8 million increase in Adjusted EBITDA, compared to the two fiscal quarters ended July 1, 2023, which was impacted by the other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incentive compensation plans,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(benefit) expense, (iv) loss (gain) on sale and disposal of property and equipment, (v) restructuring charges, (vi) stock-based compensation expense, (vii) unrealized losses (gains) on foreign currency transactions, (viii) strategic initiative costs, (ix) acquisition and integration related costs, (x) the Odessa fire and other such unusual events and (xi) other.</w:t>
      </w:r>
    </w:p>
    <w:p>
      <w:pPr>
        <w:spacing w:after="0" w:line="200" w:lineRule="exact"/>
        <w:rPr>
          <w:sz w:val="20"/>
          <w:szCs w:val="20"/>
          <w:color w:val="auto"/>
        </w:rPr>
      </w:pPr>
    </w:p>
    <w:p>
      <w:pPr>
        <w:spacing w:after="0" w:line="20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9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76" w:lineRule="exact"/>
        <w:rPr>
          <w:sz w:val="20"/>
          <w:szCs w:val="20"/>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every expenditure,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changes in our working capital needs;</w:t>
      </w:r>
    </w:p>
    <w:p>
      <w:pPr>
        <w:spacing w:after="0" w:line="225" w:lineRule="exact"/>
        <w:rPr>
          <w:rFonts w:ascii="Times New Roman" w:cs="Times New Roman" w:eastAsia="Times New Roman" w:hAnsi="Times New Roman"/>
          <w:sz w:val="18"/>
          <w:szCs w:val="18"/>
          <w:color w:val="auto"/>
        </w:rPr>
      </w:pPr>
    </w:p>
    <w:p>
      <w:pPr>
        <w:ind w:left="1000" w:right="20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interest expense, or the amounts necessary to service interest or principal payments, on our outstanding debt;</w:t>
      </w:r>
    </w:p>
    <w:p>
      <w:pPr>
        <w:spacing w:after="0" w:line="161" w:lineRule="exact"/>
        <w:rPr>
          <w:rFonts w:ascii="Times New Roman" w:cs="Times New Roman" w:eastAsia="Times New Roman" w:hAnsi="Times New Roman"/>
          <w:sz w:val="18"/>
          <w:szCs w:val="18"/>
          <w:color w:val="auto"/>
        </w:rPr>
      </w:pPr>
    </w:p>
    <w:p>
      <w:pPr>
        <w:ind w:left="1000" w:right="32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income tax (benefit) expense, and because the payment of taxes is part of our operations, tax expense is a necessary element of our costs and ability to operate;</w:t>
      </w:r>
    </w:p>
    <w:p>
      <w:pPr>
        <w:spacing w:after="0" w:line="161" w:lineRule="exact"/>
        <w:rPr>
          <w:rFonts w:ascii="Times New Roman" w:cs="Times New Roman" w:eastAsia="Times New Roman" w:hAnsi="Times New Roman"/>
          <w:sz w:val="18"/>
          <w:szCs w:val="18"/>
          <w:color w:val="auto"/>
        </w:rPr>
      </w:pPr>
    </w:p>
    <w:p>
      <w:pPr>
        <w:ind w:left="1000" w:right="10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non-cash stock-based compensation, which will remain a key element of our overall compensation package; and</w:t>
      </w:r>
    </w:p>
    <w:p>
      <w:pPr>
        <w:spacing w:after="0" w:line="161" w:lineRule="exact"/>
        <w:rPr>
          <w:rFonts w:ascii="Times New Roman" w:cs="Times New Roman" w:eastAsia="Times New Roman" w:hAnsi="Times New Roman"/>
          <w:sz w:val="18"/>
          <w:szCs w:val="18"/>
          <w:color w:val="auto"/>
        </w:rPr>
      </w:pPr>
    </w:p>
    <w:p>
      <w:pPr>
        <w:ind w:left="1000" w:right="40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impact of earnings or charges resulting from matters we consider not to be indicative of our ongoing operations.</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Management compensates for these limitations by primarily relying on our GAAP results, while using Adjusted EBITDA and Adjusted EBITDA margin as supplements to the corresponding GAAP financial measures.</w:t>
      </w:r>
    </w:p>
    <w:p>
      <w:pPr>
        <w:spacing w:after="0" w:line="162"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our net income (loss) to Adjusted EBITDA for the periods presented and the calculation of Adjusted EBITDA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6"/>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80" w:type="dxa"/>
            <w:vAlign w:val="bottom"/>
            <w:gridSpan w:val="2"/>
            <w:vMerge w:val="continue"/>
          </w:tcPr>
          <w:p>
            <w:pPr>
              <w:spacing w:after="0"/>
              <w:rPr>
                <w:sz w:val="11"/>
                <w:szCs w:val="11"/>
                <w:color w:val="auto"/>
              </w:rPr>
            </w:pPr>
          </w:p>
        </w:tc>
        <w:tc>
          <w:tcPr>
            <w:tcW w:w="10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and disposal of property and equipment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5"/>
                <w:szCs w:val="25"/>
                <w:color w:val="auto"/>
                <w:vertAlign w:val="superscript"/>
              </w:rPr>
              <w:t>(a)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Stock-based compensation expense</w:t>
            </w:r>
            <w:r>
              <w:rPr>
                <w:rFonts w:ascii="Times New Roman" w:cs="Times New Roman" w:eastAsia="Times New Roman" w:hAnsi="Times New Roman"/>
                <w:sz w:val="25"/>
                <w:szCs w:val="25"/>
                <w:color w:val="auto"/>
                <w:vertAlign w:val="superscript"/>
              </w:rPr>
              <w:t>(b)</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Unrealized losses (gains) on foreign currency transactions </w:t>
            </w:r>
            <w:r>
              <w:rPr>
                <w:rFonts w:ascii="Times New Roman" w:cs="Times New Roman" w:eastAsia="Times New Roman" w:hAnsi="Times New Roman"/>
                <w:sz w:val="25"/>
                <w:szCs w:val="25"/>
                <w:color w:val="auto"/>
                <w:vertAlign w:val="superscript"/>
              </w:rPr>
              <w:t>(c)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Strategic initiative costs</w:t>
            </w:r>
            <w:r>
              <w:rPr>
                <w:rFonts w:ascii="Times New Roman" w:cs="Times New Roman" w:eastAsia="Times New Roman" w:hAnsi="Times New Roman"/>
                <w:sz w:val="25"/>
                <w:szCs w:val="25"/>
                <w:color w:val="auto"/>
                <w:vertAlign w:val="superscript"/>
              </w:rPr>
              <w:t>(d)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Acquisition and integration related costs</w:t>
            </w:r>
            <w:r>
              <w:rPr>
                <w:rFonts w:ascii="Times New Roman" w:cs="Times New Roman" w:eastAsia="Times New Roman" w:hAnsi="Times New Roman"/>
                <w:sz w:val="25"/>
                <w:szCs w:val="25"/>
                <w:color w:val="auto"/>
                <w:vertAlign w:val="superscript"/>
              </w:rPr>
              <w: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Odessa fire</w:t>
            </w:r>
            <w:r>
              <w:rPr>
                <w:rFonts w:ascii="Times New Roman" w:cs="Times New Roman" w:eastAsia="Times New Roman" w:hAnsi="Times New Roman"/>
                <w:sz w:val="25"/>
                <w:szCs w:val="25"/>
                <w:color w:val="auto"/>
                <w:vertAlign w:val="superscript"/>
              </w:rPr>
              <w:t>(f)</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(g)</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34,478</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30,999</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46,770</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42,032</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160,122</w:t>
            </w:r>
          </w:p>
        </w:tc>
        <w:tc>
          <w:tcPr>
            <w:tcW w:w="2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177,128</w:t>
            </w:r>
          </w:p>
        </w:tc>
        <w:tc>
          <w:tcPr>
            <w:tcW w:w="2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270,751</w:t>
            </w:r>
          </w:p>
        </w:tc>
        <w:tc>
          <w:tcPr>
            <w:tcW w:w="2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314,847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margin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231775</wp:posOffset>
            </wp:positionV>
            <wp:extent cx="15684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00" w:firstLine="8"/>
        <w:spacing w:after="0" w:line="257"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related to a cost reduction plan that includes severance and other costs for our executive management changes and additional costs related to our cost reduction plans, which include further actions to reduce our manufacturing overhead by reducing headcount in addition to facility shutdowns.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stock-based compensation expense.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foreign currency transaction losses associated with our international subsidiaries.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as well as other costs related to potential transactions.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and insurance recoveries related to a production facility fire in Odessa, Texas.</w:t>
      </w:r>
    </w:p>
    <w:p>
      <w:pPr>
        <w:spacing w:after="0" w:line="9" w:lineRule="exact"/>
        <w:rPr>
          <w:rFonts w:ascii="Times New Roman" w:cs="Times New Roman" w:eastAsia="Times New Roman" w:hAnsi="Times New Roman"/>
          <w:sz w:val="18"/>
          <w:szCs w:val="18"/>
          <w:color w:val="auto"/>
        </w:rPr>
      </w:pPr>
    </w:p>
    <w:p>
      <w:pPr>
        <w:ind w:right="320" w:firstLine="8"/>
        <w:spacing w:after="0" w:line="26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consist of other discrete items as determined by management, primarily including (i) fees paid to external advisors for various matters and (ii) other items.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net cash provided by operating activities and availability under our Revolving Credit Facility (as defined below). Historically, we have funded working capital requirements, capital expenditures, payments related to acquisitions, and debt service requirements with internally generated cash on hand, borrowings under our credit facilities, and the issuance of shares of our common stock. Our primary cash needs are to fund working capital, capital expenditures, debt service requirements, any acquisitions, or investments we may undertake, and any share repurchases we may make.</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of June 29, 2024, we had $90.8 million of cash, $282.4 million of outstanding indebtedness and an additional $75.0 million of borrowing availability under our Revolving Credit Facility. On August 2, 2024, we completed the Coverstar Central Acquisition. The purchase price was $64.5 million, subject to certain adjustments, including for working capital, as compared to an agreed upon target and transaction expenses. The Coverstar Central Acquisition was fully funded with cash on hand. While our existing cash balances and net cash provided by operating activities have generally been sufficient to fund our general corporate and working capital needs, our use of significant existing cash on hand to fund the Coverstar Central Acquisition may require us in the future to utilize a portion of our borrowing availability under our Revolving Credit Facility.</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primary working capital requirements are for the purchase of inventory, payroll, rent, facility costs and other selling, general, and administrative costs. Our working capital requirements fluctuate during the fiscal year, driven primarily by seasonality and the timing of raw material purchases. Our capital expenditures are primarily related to investments in lean manufacturing and value engineering, including production capacity, storage, and delivery equipment. We are in the midst of a multi-year capital plan to invest in our facilities, technology, and systems.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cash generated from operations and availability under our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February 23, 2022, Latham Pool Products, Inc. (“Latham Pool Products”), our wholly owned subsidiary, entered into an agreement (the “Credit Agreement”) with Barclays Bank PLC, which provides a senior secured multicurrency revolving line of credit in an initial principal amount of $75.0 million (the “Revolving Credit Facility”) and a U.S. Dollar senior secured term loan (the “Term Loan”) in an initial principal amount of $325.0 million (the “Refinancing”). On such date, proceeds under the Credit Agreement were used to repay and replace $294.0 million under, and terminate, the previous credit agreement and for general corporate purposes.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29, 2024, we were in compliance with all covenants under the Revolving Credit Facility and the Term Loan.</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7"/>
          <w:szCs w:val="17"/>
          <w:color w:val="auto"/>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w:t>
      </w:r>
    </w:p>
    <w:p>
      <w:pPr>
        <w:spacing w:after="0" w:line="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3.50%. A commitment fee accrues on any unused portion of the commitments under the Revolving Credit Facility. The commitment fee is due and payable quarterly in arrears, and initially was 0.375% per annum and thereafter accrues at a rate per annum ranging from</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0.25% to 0.50%, depending on the First Lien Net Leverage Ratio (as defined in the Credit Agreement). The Revolving Credit Facility is not subject to amortization.</w:t>
      </w:r>
    </w:p>
    <w:p>
      <w:pPr>
        <w:sectPr>
          <w:pgSz w:w="11900" w:h="16838" w:orient="portrait"/>
          <w:cols w:equalWidth="0" w:num="1">
            <w:col w:w="9920"/>
          </w:cols>
          <w:pgMar w:left="980" w:top="661"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are also required to meet certain financial covenants, including maintaining specific liquidity measurements. There are also negative covenants, including certain restrictions on our ability and the ability of our subsidiaries to incur additional indebtedness, create liens, make investments, consolidate, or merge with other entities, enter into transactions with affiliates, make prepayments with respect to certain indebtedness, make dividend payments, loans, or advances to the Company, declare dividends and make restricted payments and other distributions.</w:t>
      </w:r>
    </w:p>
    <w:p>
      <w:pPr>
        <w:spacing w:after="0" w:line="18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As of June 29, 2024, we had no outstanding borrowings under the Revolving Credit Facility and $75.0 million was available for future borrowing.</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(as defined in the Credit Agreement), plus a margin ranging from 2.75% to 3.00%, depending on the First Lien Net Leverage Ratio. Loans under the Term Loan are subject to scheduled quarterly amortization payments equal to 0.25% of the initial principal amount of the Term Loan.</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of our wholly owned subsidiaries that are party to that certain security agreement, which was executed in connection with the Credit Agreement. The obligations under the Credit Agreement are secured by substantially all of the guarantors’ tangible and intangible assets, including, but not limited to, their accounts receivables, equipment, intellectual property, inventory, cash and cash equivalents, deposit accounts and security accounts. The Credit Agreement also restricts payments and other distributions unless certain conditions are met, which could restrict our ability to pay dividends.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29, 2024, we had $282.4 million of outstanding borrowings under the Term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 May 10, 2022, our Board of Directors approved a stock repurchase program (the “Repurchase Program”), which authorizes us to repurchase up to $100 million of our shares of common stock by May 2025. We may effect these repurchases in open market transactions, privately negotiated purchases or other acquisitions. We are not obligated to repurchase any of our outstanding shares under the Repurchase Program and the timing and amount of any repurchases will depend on market conditions, our stock price, alternative uses of capital, the terms of our debt instruments and other factors. We did not repurchase any shares of our common stock during the fiscal quarter ended June 29, 2024. As of June 29, 2024, $77.0 million remained available for share repurchases pursuant to our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Two Fiscal Quarters Ended</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17,911</w:t>
            </w:r>
          </w:p>
        </w:tc>
        <w:tc>
          <w:tcPr>
            <w:tcW w:w="6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3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46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9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9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During the two fiscal quarters ended June 29, 2024, operating activities provided $17.9 million of cash. Net income, after adjustments for non-cash items, provided cash of $36.1 million. Cash provided by operating activities was further driven by changes in our operating assets and liabilities, which used $18.2 million. Net cash used by changes in our operating assets and liabilities for the two fiscal quarters ended June 29, 2024 consisted primarily of a $36.8 million increase in trade receivables, a $2.3 million increase in prepaid expenses and other current assets, a $1.2 million decrease in accrued expenses and other current liabilities, a $0.7 million increase in income tax receivable and a $0.4 million decrease in other long-term liabilities, partially offset by a $13.1 million decrease in inventories, a $9.8 million increase in accounts payable and a $0.3 million decrease in other assets. The change in trade receivables was primarily driven by the timing of net sales, the change in inventories was driven by efforts to meet a reduced demand outlook while maintaining lead times and service levels and the changes in accounts payable were primarily driven by volume of purchases and timing of payments.</w:t>
      </w:r>
    </w:p>
    <w:p>
      <w:pPr>
        <w:spacing w:after="0" w:line="18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During the two fiscal quarters ended July 1, 2023, operating activities provided $36.3 million of cash. Net loss, after adjustments for non-cash items, provided cash of $35.6 million. Cash provided by operating activities was further driven by changes in our operating assets and liabilities, which provided $0.7 million. Net cash provided by changes in our operating assets and liabilities for the two fiscal quarters ended July 1, 2023 consisted primarily of a $38.9 million decrease in inventories, and a $8.9 million increase in accounts payable, partially offset by a $37.3 million increase in trade receivables, a $6.9 million decrease in accrued expenses and other current liabilities, a $1.4 million increase in income tax receivable, a $0.9 million increase in prepaid expenses and other current assets, a $0.4 million increase in other assets, and a $0.2 million decrease in other long-term liabilities. The change in trade receivables was primarily driven by the timing of net sales, and the decrease in inventories was primarily driven by efforts to meet demand outlook while maintaining lead times and service levels. The changes in accrued expenses and other current liabilities and accounts payable were primarily driven by volume of purchases and timing of payments.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During the two fiscal quarters ended June 29, 2024, investing activities used $9.8 million of cash, consisting of purchases of property and equipment for $9.8 million. The purchase of property and equipment was primarily to expand capacity for production and diversify offerings, especially for fiberglass pools, the majority of which relates to finishing up carryover projects from the prior fiscal year.</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two fiscal quarters ended July 1, 2023, investing activities used $23.4 million of cash, consisting of purchases of property and equipment for $23.4 million. The purchase of property and equipment was primarily to expand capacity for production, especially for fiberglass pools.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During the two fiscal quarters ended June 29, 2024, financing activities used $20.0 million of cash, primarily consisting of repayments on long-term debt borrowings of $19.6 million and repayments of finance lease obligations of $0.4 million.</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two fiscal quarters ended July 1, 2023, financing activities used $1.9 million of cash, primarily consisting of repayments on revolving credit facilities of $48.0 million, repayments on long-term debt borrowings of $1.6 million, and repayments of finance lease obligations of $0.3 million, partially offset by borrowings on revolving credit facilities of $48.0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outside of the ordinary course of business, to our contractual obligations during the two fiscal quarters ended June 29, 2024 from those described under the heading “Management’s Discussion and Analysis of Financial Condition and Results of Operations—Contractual Obligations” in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and expenses during the reporting period. Our critical accounting policies and estimates are described below and under the heading “Management’s Discussion and Analysis of Financial Condition and Results of Operations—Critical Accounting Policies and Estimates” in our Annual Report and Note 2 to our condensed consolidated financial statements in this Quarterly Report on Form 10-Q. These estimates are based on historical results, trends, and other assumptions we believe to be reasonable. We evaluate these estimates on an ongoing basis. Actual results may differ from estimates.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evaluate goodwill for impairment at least annually, or more frequently when events or changes in circumstances indicate that the carrying value may not be recoverable. We have selected the first day of the fourth fiscal quarter to perform our annual goodwill impairment testing.</w:t>
      </w:r>
    </w:p>
    <w:p>
      <w:pPr>
        <w:spacing w:after="0" w:line="176"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We may assess our goodwill for impairment initially using a qualitative approach, or step zero, to determine whether conditions exist to indicate that it is more likely than not that the fair value of the reporting unit is less than its carrying value. The qualitative assessment requires significant judgments by management about economic conditions including the entity’s operating environment, its industry and other market considerations, entity-specific events related to financial performance or loss of key personnel, and other events that could impact the reporting unit. If management concludes, based on assessment of relevant events, facts, and circumstances, that it is more likely than not that the reporting unit’s fair value is greater than its carrying value, no further impairment testing is required.</w:t>
      </w:r>
    </w:p>
    <w:p>
      <w:pPr>
        <w:spacing w:after="0" w:line="173"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If our assessment of qualitative factors indicates that it is more likely than not that the fair value of the reporting unit is less than its carrying value, then a quantitative assessment is performed. We may also elect to initially perform a quantitative analysis instead of starting with step zero. The quantitative analysis requires comparing the carrying value of the reporting unit, including goodwill, to its fair value. If the fair value of the reporting unit exceeds its carrying amount, goodwill is not considered to be impaired and no further testing is required. If the carrying amount of the reporting unit exceeds its fair value, there is an impairment of goodwill and an impairment loss is recorded. We calculate the impairment loss by comparing the fair value of the reporting unit less the carrying value, including goodwill. The maximum goodwill impairment is the carrying value of the goodwill.</w:t>
      </w:r>
    </w:p>
    <w:p>
      <w:pPr>
        <w:spacing w:after="0" w:line="18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qualitative factors we assessed as part of our annual impairment testing included economic conditions, industry and market considerations, cost factors, overall financial performance, and other entity specific events. In addition, we considered our market capitalization based on quoted market prices of our securities on the Nasdaq Global Select Market, adjusted for the effect of a control premium as contemplated by ASC 350.</w:t>
      </w:r>
    </w:p>
    <w:p>
      <w:pPr>
        <w:spacing w:after="0" w:line="18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Based on the results of the quantitative assessment performed for our one reporting unit, we determined that goodwill was not impaired at October 1, 2023. However, if factors exist that could indicate an impairment in the future, including a sustained decrease in our stock price, we may be required to record impairment charges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condensed consolidated financial statements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right="120" w:firstLine="324"/>
        <w:spacing w:after="0" w:line="270" w:lineRule="auto"/>
        <w:rPr>
          <w:sz w:val="20"/>
          <w:szCs w:val="20"/>
          <w:color w:val="auto"/>
        </w:rPr>
      </w:pPr>
      <w:r>
        <w:rPr>
          <w:rFonts w:ascii="Times New Roman" w:cs="Times New Roman" w:eastAsia="Times New Roman" w:hAnsi="Times New Roman"/>
          <w:sz w:val="17"/>
          <w:szCs w:val="17"/>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w:t>
      </w:r>
    </w:p>
    <w:p>
      <w:pPr>
        <w:spacing w:after="0" w:line="3"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Changes in these rates may have an impact on future cash flow and earnings. We manage these risks through normal operating and financing activities.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During the two fiscal quarters ended June 29, 2024, there have been no material changes to the information included under the heading “Management’s Discussion and Analysis of Financial Condition and Results of Operations— Quantitative and Qualitative Disclosures about Market Risk” in our Annual Report.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entered into an additional interest rate swap that was executed on March 10, 2023. The swap has an effective date of May 18, 2023 and a termination date of May 18, 2026. Under the terms of the swap, we fixed our SOFR borrowing rate on a notional amount of $161.0 million. The interest rate swap is not designated as a hedging instrument for accounting purposes.</w:t>
      </w:r>
    </w:p>
    <w:p>
      <w:pPr>
        <w:spacing w:after="0" w:line="17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An increase or decrease of 1% in the effective interest rate, giving effect related to interest rate swaps, as of June 29, 2024, would cause an increase or decrease to annual interest expense, net of approximately $1.3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June 29, 2024. Based upon their evaluation, our Chief Executive Officer and Chief Financial Officer concluded that our disclosure controls and procedures were effective at a reasonable assurance level as of June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Starting in the second quarter of 2024, as part of a multi-year implementation of a new enterprise resource planning (“ERP”) system, the Company began utilizing certain aspects of the new ERP system. Eventually, this ERP system will replace the existing core financial systems. The ERP system is designed to accurately maintain the Company’s financial records, enhance the flow of financial information, improve data management and provide timely information to its management team. The Company does not believe the changes implemented to date represent a material change in internal controls over financial reporting.</w:t>
      </w:r>
    </w:p>
    <w:p>
      <w:pPr>
        <w:spacing w:after="0" w:line="183"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relating to claims arising out of our operations and businesses, including, among others, contract and employment claims, personal injury claims, intellectual property claims, product liability claims and warranty claims. Currently, there are no claims or proceedings against us that we believe will have a material adverse effect on our business, financial condition, results of operations or cash flows. Further, no material legal proceedings were terminated, settled, or otherwise resolved during the fiscal quarter ended June 29, 2024. However, the results of any current or future litigation cannot be predicted with certainty and, regardless of the outcome, we may incur significant costs and experience a diversion of management resources as a result of litigation.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80" w:firstLine="324"/>
        <w:spacing w:after="0" w:line="253"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the risk factors that materially affect our business, financial condition, and results of operations. There have been no material changes from the risk factors previously disclosed in our Annual Report. You should carefully consider the risks, uncertainties, assumptions and other important factors set forth in the Annual Report and other subsequent reports we file or furnish with the SEC, including this Quarterly Report on Form 10-Q, any of which may cause our actual results, performance or achievements to be materially different from any future results, performance or achievements expressed or implied. For similar reasons, our past results may not be a reliable indicator of future performance and trends. You also should be aware that these risk factors and other information do not describe every risk that we face. Additional risks and uncertainties not currently known to us or that we currently deem to be immaterial also may affect us. We operate in a very competitive and rapidly changing environment and new risks emerge from time to time, and we anticipate that subsequent events and developments will cause our views to change. In addition, these risks do not reflect the potential impact of any future acquisitions, merger, dispositions, joint ventures or investments we may undertake. Any of these known or emerging factors may materially adversely affect our business, financial condition, and operating results, as well as the trading price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May 10, 2022, our Board of Directors approved a stock repurchase program, which authorizes us to repurchase up to $100.0 million of our shares of common stock by May 2025. We may effect these repurchases in open market transactions, privately negotiated purchases or other acquisitions. We are not obligated to repurchase any of our shares of our common stock under the program and the timing and amount of any repurchases will depend on market conditions, our stock price, alternative uses of capital, the terms of our debt instruments and other factors. As of June 29, 2024, $77.0 million remained available for share repurchases pursuant to the repurchase program. We did not repurchase any shares of our common stock during the fiscal quarter ended June 29, 2024.</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 – Directors and Section 16 Officers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June 29, 2024, none of the Company’s directors or Section 16 officers adopted or terminated (i) any contract, instruction or written plan for the purchase or sale of Company securities that was intended to satisfy the affirmative defense conditions of Rule 10b5-1(c) of the Exchange Act or (ii)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8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8760" w:type="dxa"/>
            <w:vAlign w:val="bottom"/>
            <w:tcBorders>
              <w:top w:val="single" w:sz="8" w:color="auto"/>
            </w:tcBorders>
            <w:gridSpan w:val="10"/>
          </w:tcPr>
          <w:p>
            <w:pPr>
              <w:spacing w:after="0" w:line="169"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Amended and Restated Certificate of Incorporation of Latham Group, Inc. (incorporated by reference to Exhibit 3.1 to</w:t>
              </w:r>
            </w:hyperlink>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Latham Group, Inc.’s Quarterly Report on Form 10-Q filed with the SEC on June 3, 2021 (File No. 001-40358))</w:t>
              </w:r>
            </w:hyperlink>
          </w:p>
        </w:tc>
        <w:tc>
          <w:tcPr>
            <w:tcW w:w="420" w:type="dxa"/>
            <w:vAlign w:val="bottom"/>
            <w:tcBorders>
              <w:top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8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Amended and Restated Bylaws of Latham Group, Inc. (incorporated by reference to Exhibit 3.2 to Latham Group, Inc.’s</w:t>
              </w:r>
            </w:hyperlink>
          </w:p>
        </w:tc>
        <w:tc>
          <w:tcPr>
            <w:tcW w:w="12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Quarterly Report on Form 10-Q filed with the SEC on June 3, 2021 (File No. 001-40358))</w:t>
              </w:r>
            </w:hyperlink>
          </w:p>
        </w:tc>
        <w:tc>
          <w:tcPr>
            <w:tcW w:w="2280" w:type="dxa"/>
            <w:vAlign w:val="bottom"/>
            <w:gridSpan w:val="6"/>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49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Certification of CEO, pursuant to SEC Rule 13a-14(a) and 15d-14(a)</w:t>
            </w:r>
          </w:p>
        </w:tc>
        <w:tc>
          <w:tcPr>
            <w:tcW w:w="3820" w:type="dxa"/>
            <w:vAlign w:val="bottom"/>
            <w:gridSpan w:val="7"/>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87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CFO, pursuant to SEC Rule 13a-14(a) and 15d-14(a)</w:t>
            </w:r>
          </w:p>
        </w:tc>
      </w:tr>
      <w:tr>
        <w:trPr>
          <w:trHeight w:val="20"/>
        </w:trPr>
        <w:tc>
          <w:tcPr>
            <w:tcW w:w="11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86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by the CEO, pursuant to 18 U.S.C. Section 1350, as adopted pursuant to Section 906 of the Sarbanes-Oxley</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Act of 2002</w:t>
            </w:r>
          </w:p>
        </w:tc>
        <w:tc>
          <w:tcPr>
            <w:tcW w:w="7920" w:type="dxa"/>
            <w:vAlign w:val="bottom"/>
            <w:gridSpan w:val="9"/>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87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the CFO, pursuant to 18 U.S.C. Section 1350, as adopted pursuant to Section 906 of the Sarbanes-Oxley</w:t>
            </w: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Act of 2002</w:t>
            </w:r>
          </w:p>
        </w:tc>
        <w:tc>
          <w:tcPr>
            <w:tcW w:w="7820" w:type="dxa"/>
            <w:vAlign w:val="bottom"/>
            <w:tcBorders>
              <w:top w:val="single" w:sz="8" w:color="0000EE"/>
            </w:tcBorders>
            <w:gridSpan w:val="7"/>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21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102870</wp:posOffset>
            </wp:positionV>
            <wp:extent cx="15684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86" w:lineRule="exact"/>
        <w:rPr>
          <w:sz w:val="20"/>
          <w:szCs w:val="20"/>
          <w:color w:val="auto"/>
        </w:rPr>
      </w:pPr>
    </w:p>
    <w:p>
      <w:pPr>
        <w:ind w:left="1220" w:hanging="1151"/>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220" w:hanging="1151"/>
        <w:spacing w:after="0"/>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040"/>
          </w:cols>
          <w:pgMar w:left="920" w:top="661" w:right="9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August 7,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LATHAM GROUP, INC.</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Oliver C. Gloe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Oliver C. Gloe</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980" w:top="661" w:right="13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Scott M. Rajeski, certify that:</w:t>
      </w:r>
    </w:p>
    <w:p>
      <w:pPr>
        <w:spacing w:after="0" w:line="9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1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1" w:lineRule="auto"/>
        <w:tabs>
          <w:tab w:leader="none" w:pos="6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21"/>
          <w:szCs w:val="21"/>
          <w:color w:val="auto"/>
        </w:rPr>
      </w:pPr>
    </w:p>
    <w:p>
      <w:pPr>
        <w:ind w:left="1300" w:right="20" w:hanging="320"/>
        <w:spacing w:after="0" w:line="270" w:lineRule="auto"/>
        <w:tabs>
          <w:tab w:leader="none" w:pos="130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August 7, 2024</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i w:val="1"/>
                <w:iCs w:val="1"/>
                <w:color w:val="auto"/>
                <w:w w:val="98"/>
              </w:rPr>
              <w:t>/s/ Scott M. Rajeski</w:t>
            </w:r>
          </w:p>
        </w:tc>
      </w:tr>
      <w:tr>
        <w:trPr>
          <w:trHeight w:val="217"/>
        </w:trPr>
        <w:tc>
          <w:tcPr>
            <w:tcW w:w="4960" w:type="dxa"/>
            <w:vAlign w:val="bottom"/>
          </w:tcPr>
          <w:p>
            <w:pPr>
              <w:spacing w:after="0"/>
              <w:rPr>
                <w:sz w:val="18"/>
                <w:szCs w:val="18"/>
                <w:color w:val="auto"/>
              </w:rPr>
            </w:pPr>
          </w:p>
        </w:tc>
        <w:tc>
          <w:tcPr>
            <w:tcW w:w="4960" w:type="dxa"/>
            <w:vAlign w:val="bottom"/>
          </w:tcPr>
          <w:p>
            <w:pPr>
              <w:jc w:val="center"/>
              <w:spacing w:after="0" w:line="217" w:lineRule="exact"/>
              <w:rPr>
                <w:sz w:val="20"/>
                <w:szCs w:val="20"/>
                <w:color w:val="auto"/>
              </w:rPr>
            </w:pPr>
            <w:r>
              <w:rPr>
                <w:rFonts w:ascii="Times New Roman" w:cs="Times New Roman" w:eastAsia="Times New Roman" w:hAnsi="Times New Roman"/>
                <w:sz w:val="21"/>
                <w:szCs w:val="21"/>
                <w:color w:val="auto"/>
                <w:w w:val="99"/>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Chief Executive Officer and President</w:t>
            </w:r>
          </w:p>
        </w:tc>
      </w:tr>
      <w:tr>
        <w:trPr>
          <w:trHeight w:val="270"/>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Latham Group, Inc.</w:t>
            </w:r>
          </w:p>
        </w:tc>
      </w:tr>
      <w:tr>
        <w:trPr>
          <w:trHeight w:val="755"/>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Oliver C. Gloe, certify that:</w:t>
      </w:r>
    </w:p>
    <w:p>
      <w:pPr>
        <w:spacing w:after="0" w:line="9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1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1"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21"/>
          <w:szCs w:val="21"/>
          <w:color w:val="auto"/>
        </w:rPr>
      </w:pPr>
    </w:p>
    <w:p>
      <w:pPr>
        <w:ind w:left="1300" w:right="20" w:hanging="320"/>
        <w:spacing w:after="0" w:line="270"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August 7, 2024</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i w:val="1"/>
                <w:iCs w:val="1"/>
                <w:color w:val="auto"/>
                <w:w w:val="99"/>
              </w:rPr>
              <w:t>/s/ Oliver C. Gloe</w:t>
            </w:r>
          </w:p>
        </w:tc>
      </w:tr>
      <w:tr>
        <w:trPr>
          <w:trHeight w:val="217"/>
        </w:trPr>
        <w:tc>
          <w:tcPr>
            <w:tcW w:w="4960" w:type="dxa"/>
            <w:vAlign w:val="bottom"/>
          </w:tcPr>
          <w:p>
            <w:pPr>
              <w:spacing w:after="0"/>
              <w:rPr>
                <w:sz w:val="18"/>
                <w:szCs w:val="18"/>
                <w:color w:val="auto"/>
              </w:rPr>
            </w:pPr>
          </w:p>
        </w:tc>
        <w:tc>
          <w:tcPr>
            <w:tcW w:w="4960" w:type="dxa"/>
            <w:vAlign w:val="bottom"/>
          </w:tcPr>
          <w:p>
            <w:pPr>
              <w:jc w:val="center"/>
              <w:spacing w:after="0" w:line="217" w:lineRule="exact"/>
              <w:rPr>
                <w:sz w:val="20"/>
                <w:szCs w:val="20"/>
                <w:color w:val="auto"/>
              </w:rPr>
            </w:pPr>
            <w:r>
              <w:rPr>
                <w:rFonts w:ascii="Times New Roman" w:cs="Times New Roman" w:eastAsia="Times New Roman" w:hAnsi="Times New Roman"/>
                <w:sz w:val="21"/>
                <w:szCs w:val="21"/>
                <w:color w:val="auto"/>
                <w:w w:val="99"/>
              </w:rPr>
              <w:t>Oliver C. Gloe</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Chief Financial Officer</w:t>
            </w:r>
          </w:p>
        </w:tc>
      </w:tr>
      <w:tr>
        <w:trPr>
          <w:trHeight w:val="270"/>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Latham Group, Inc.</w:t>
            </w:r>
          </w:p>
        </w:tc>
      </w:tr>
      <w:tr>
        <w:trPr>
          <w:trHeight w:val="755"/>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June 29, 2024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Scott M. Rajeski,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660" w:right="20" w:hanging="328"/>
        <w:spacing w:after="0" w:line="258"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960" w:type="dxa"/>
            <w:vAlign w:val="bottom"/>
          </w:tcPr>
          <w:p>
            <w:pPr>
              <w:spacing w:after="0"/>
              <w:rPr>
                <w:sz w:val="20"/>
                <w:szCs w:val="20"/>
                <w:color w:val="auto"/>
              </w:rPr>
            </w:pPr>
            <w:r>
              <w:rPr>
                <w:rFonts w:ascii="Times New Roman" w:cs="Times New Roman" w:eastAsia="Times New Roman" w:hAnsi="Times New Roman"/>
                <w:sz w:val="22"/>
                <w:szCs w:val="22"/>
                <w:color w:val="auto"/>
              </w:rPr>
              <w:t>August 7, 2024</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/s/ Scott M. Rajeski</w:t>
            </w:r>
          </w:p>
        </w:tc>
      </w:tr>
      <w:tr>
        <w:trPr>
          <w:trHeight w:val="209"/>
        </w:trPr>
        <w:tc>
          <w:tcPr>
            <w:tcW w:w="4960" w:type="dxa"/>
            <w:vAlign w:val="bottom"/>
          </w:tcPr>
          <w:p>
            <w:pPr>
              <w:spacing w:after="0"/>
              <w:rPr>
                <w:sz w:val="18"/>
                <w:szCs w:val="18"/>
                <w:color w:val="auto"/>
              </w:rPr>
            </w:pPr>
          </w:p>
        </w:tc>
        <w:tc>
          <w:tcPr>
            <w:tcW w:w="496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Chief Executive Officer and President</w:t>
            </w:r>
          </w:p>
        </w:tc>
      </w:tr>
      <w:tr>
        <w:trPr>
          <w:trHeight w:val="282"/>
        </w:trPr>
        <w:tc>
          <w:tcPr>
            <w:tcW w:w="496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Latham Group, Inc.</w:t>
            </w:r>
          </w:p>
        </w:tc>
      </w:tr>
    </w:tbl>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June 29, 2024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Oliver C. Gloe,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660" w:right="20" w:hanging="328"/>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960" w:type="dxa"/>
            <w:vAlign w:val="bottom"/>
          </w:tcPr>
          <w:p>
            <w:pPr>
              <w:spacing w:after="0"/>
              <w:rPr>
                <w:sz w:val="20"/>
                <w:szCs w:val="20"/>
                <w:color w:val="auto"/>
              </w:rPr>
            </w:pPr>
            <w:r>
              <w:rPr>
                <w:rFonts w:ascii="Times New Roman" w:cs="Times New Roman" w:eastAsia="Times New Roman" w:hAnsi="Times New Roman"/>
                <w:sz w:val="22"/>
                <w:szCs w:val="22"/>
                <w:color w:val="auto"/>
              </w:rPr>
              <w:t>August 7, 2024</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/s/ Oliver C. Gloe</w:t>
            </w:r>
          </w:p>
        </w:tc>
      </w:tr>
      <w:tr>
        <w:trPr>
          <w:trHeight w:val="209"/>
        </w:trPr>
        <w:tc>
          <w:tcPr>
            <w:tcW w:w="4960" w:type="dxa"/>
            <w:vAlign w:val="bottom"/>
          </w:tcPr>
          <w:p>
            <w:pPr>
              <w:spacing w:after="0"/>
              <w:rPr>
                <w:sz w:val="18"/>
                <w:szCs w:val="18"/>
                <w:color w:val="auto"/>
              </w:rPr>
            </w:pPr>
          </w:p>
        </w:tc>
        <w:tc>
          <w:tcPr>
            <w:tcW w:w="496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Oliver C. Gloe</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Chief Financial Officer</w:t>
            </w:r>
          </w:p>
        </w:tc>
      </w:tr>
      <w:tr>
        <w:trPr>
          <w:trHeight w:val="282"/>
        </w:trPr>
        <w:tc>
          <w:tcPr>
            <w:tcW w:w="496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Latham Group, Inc.</w:t>
            </w:r>
          </w:p>
        </w:tc>
      </w:tr>
    </w:tbl>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0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2"/>
    </w:lvl>
  </w:abstractNum>
  <w:abstractNum w:abstractNumId="3">
    <w:nsid w:val="216231B"/>
    <w:multiLevelType w:val="hybridMultilevel"/>
    <w:lvl w:ilvl="0">
      <w:lvlJc w:val="left"/>
      <w:lvlText w:val="%1"/>
      <w:numFmt w:val="decimal"/>
      <w:start w:val="1"/>
    </w:lvl>
    <w:lvl w:ilvl="1">
      <w:lvlJc w:val="left"/>
      <w:lvlText w:val="(%2)"/>
      <w:numFmt w:val="decimal"/>
      <w:start w:val="1"/>
    </w:lvl>
  </w:abstractNum>
  <w:abstractNum w:abstractNumId="4">
    <w:nsid w:val="1F16E9E8"/>
    <w:multiLevelType w:val="hybridMultilevel"/>
    <w:lvl w:ilvl="0">
      <w:lvlJc w:val="left"/>
      <w:lvlText w:val="%1."/>
      <w:numFmt w:val="decimal"/>
      <w:start w:val="13"/>
    </w:lvl>
    <w:lvl w:ilvl="1">
      <w:lvlJc w:val="left"/>
      <w:lvlText w:val="%2"/>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56" Type="http://schemas.openxmlformats.org/officeDocument/2006/relationships/hyperlink" Target="https://www.sec.gov/Archives/edgar/data/1833197/000110465921076404/tm2117455d1_ex3-1.htm" TargetMode="External"/><Relationship Id="rId57" Type="http://schemas.openxmlformats.org/officeDocument/2006/relationships/hyperlink" Target="https://www.sec.gov/Archives/edgar/data/1833197/000110465921076404/tm211745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2024-08-07T06:36:44Z</dcterms:created>
  <dcterms:modified xsi:type="dcterms:W3CDTF">2024-08-07T06:36:44Z</dcterms:modified>
</cp:coreProperties>
</file>