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swim-20220402x10q.htm"/>
        <w:bookmarkStart w:id="1" w:name="ksswim20220402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spacing w:lineRule="atLeast" w:line="141" w:before="0" w:after="240"/>
        <w:ind w:left="0" w:right="0" w:hanging="0"/>
        <w:rPr/>
      </w:pPr>
      <w:r>
        <w:rPr/>
        <w:t>​</w:t>
      </w:r>
    </w:p>
    <w:p>
      <w:pPr>
        <w:pStyle w:val="TextBody"/>
        <w:spacing w:before="0" w:after="240"/>
        <w:ind w:left="0" w:right="0" w:hanging="0"/>
        <w:jc w:val="center"/>
        <w:rPr/>
      </w:pPr>
      <w:bookmarkStart w:id="2" w:name="_8b9f2cc1_0ac9_4bcf_9ff8_a6f03d7e0037"/>
      <w:bookmarkEnd w:id="2"/>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Normal"/>
        <w:spacing w:before="0" w:after="0"/>
        <w:rPr>
          <w:sz w:val="4"/>
          <w:szCs w:val="4"/>
        </w:rPr>
      </w:pPr>
      <w:r>
        <w:rPr>
          <w:sz w:val="4"/>
          <w:szCs w:val="4"/>
        </w:rPr>
      </w:r>
      <w:bookmarkStart w:id="3" w:name="Tc_UHYEZPXnvEyXn61goR-KCQ_1_1"/>
      <w:bookmarkStart w:id="4" w:name="_41efd709_66ba_4efe_b738_3e2734d87d9a"/>
      <w:bookmarkStart w:id="5" w:name="Tc_UHYEZPXnvEyXn61goR-KCQ_1_1"/>
      <w:bookmarkStart w:id="6" w:name="_41efd709_66ba_4efe_b738_3e2734d87d9a"/>
      <w:bookmarkEnd w:id="5"/>
      <w:bookmarkEnd w:id="6"/>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40"/>
              <w:ind w:left="0" w:right="0" w:hanging="0"/>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spacing w:before="0" w:after="0"/>
        <w:ind w:left="0" w:right="0" w:hanging="0"/>
        <w:rPr/>
      </w:pPr>
      <w:r>
        <w:rPr/>
        <w:t>​</w:t>
      </w:r>
    </w:p>
    <w:p>
      <w:pPr>
        <w:pStyle w:val="TextBody"/>
        <w:spacing w:before="0" w:after="20"/>
        <w:ind w:left="0" w:right="0" w:hanging="0"/>
        <w:rPr>
          <w:rFonts w:ascii="Times New Roman;Times;serif" w:hAnsi="Times New Roman;Times;serif"/>
          <w:sz w:val="20"/>
        </w:rPr>
      </w:pPr>
      <w:r>
        <w:rPr>
          <w:rFonts w:ascii="Times New Roman;Times;serif" w:hAnsi="Times New Roman;Times;serif"/>
          <w:sz w:val="16"/>
        </w:rPr>
        <w:t xml:space="preserve">For the quarterly period ended </w:t>
      </w:r>
      <w:r>
        <w:rPr>
          <w:rFonts w:ascii="Times New Roman;Times;serif" w:hAnsi="Times New Roman;Times;serif"/>
          <w:b/>
          <w:sz w:val="16"/>
        </w:rPr>
        <w:t>April 2, 2022</w:t>
      </w:r>
    </w:p>
    <w:p>
      <w:pPr>
        <w:pStyle w:val="TextBody"/>
        <w:spacing w:before="0" w:after="200"/>
        <w:ind w:left="0" w:right="0" w:hanging="0"/>
        <w:jc w:val="center"/>
        <w:rPr>
          <w:rFonts w:ascii="Times New Roman;Times;serif" w:hAnsi="Times New Roman;Times;serif"/>
          <w:sz w:val="20"/>
        </w:rPr>
      </w:pPr>
      <w:r>
        <w:rPr>
          <w:rFonts w:ascii="Times New Roman;Times;serif" w:hAnsi="Times New Roman;Times;serif"/>
          <w:sz w:val="20"/>
        </w:rPr>
        <w:t>OR</w:t>
      </w:r>
    </w:p>
    <w:p>
      <w:pPr>
        <w:pStyle w:val="Normal"/>
        <w:spacing w:before="0" w:after="0"/>
        <w:rPr>
          <w:sz w:val="4"/>
          <w:szCs w:val="4"/>
        </w:rPr>
      </w:pPr>
      <w:r>
        <w:rPr>
          <w:sz w:val="4"/>
          <w:szCs w:val="4"/>
        </w:rPr>
      </w:r>
      <w:bookmarkStart w:id="7" w:name="Tc_xG-42c2ifUOs000Tdvubjg_1_1"/>
      <w:bookmarkStart w:id="8" w:name="_35a06079_20ba_4567_9c54_ae1deaef45d7"/>
      <w:bookmarkStart w:id="9" w:name="Tc_xG-42c2ifUOs000Tdvubjg_1_1"/>
      <w:bookmarkStart w:id="10" w:name="_35a06079_20ba_4567_9c54_ae1deaef45d7"/>
      <w:bookmarkEnd w:id="9"/>
      <w:bookmarkEnd w:id="10"/>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40"/>
              <w:ind w:left="0" w:right="0" w:hanging="0"/>
              <w:rPr/>
            </w:pPr>
            <w:r>
              <w:rPr/>
              <w:t>☐</w:t>
            </w:r>
          </w:p>
        </w:tc>
        <w:tc>
          <w:tcPr>
            <w:tcW w:w="9874" w:type="dxa"/>
            <w:tcBorders/>
            <w:shd w:fill="auto" w:val="clear"/>
            <w:vAlign w:val="center"/>
          </w:tcPr>
          <w:p>
            <w:pPr>
              <w:pStyle w:val="TableContents"/>
              <w:spacing w:before="0" w:after="40"/>
              <w:ind w:left="0" w:right="0" w:hanging="0"/>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spacing w:before="0" w:after="0"/>
        <w:ind w:left="0" w:right="0" w:hanging="0"/>
        <w:rPr/>
      </w:pPr>
      <w:r>
        <w:rPr/>
        <w:t>​</w:t>
      </w:r>
    </w:p>
    <w:p>
      <w:pPr>
        <w:pStyle w:val="TextBody"/>
        <w:spacing w:before="0" w:after="160"/>
        <w:ind w:left="0" w:right="0" w:hanging="0"/>
        <w:rPr>
          <w:rFonts w:ascii="Times New Roman;Times;serif" w:hAnsi="Times New Roman;Times;serif"/>
          <w:sz w:val="16"/>
        </w:rPr>
      </w:pPr>
      <w:r>
        <w:rPr>
          <w:rFonts w:ascii="Times New Roman;Times;serif" w:hAnsi="Times New Roman;Times;serif"/>
          <w:sz w:val="16"/>
        </w:rPr>
        <w:t>For the transition period from     to    </w:t>
      </w:r>
    </w:p>
    <w:p>
      <w:pPr>
        <w:pStyle w:val="TextBody"/>
        <w:spacing w:before="0" w:after="160"/>
        <w:ind w:left="0" w:right="0" w:hanging="0"/>
        <w:jc w:val="center"/>
        <w:rPr>
          <w:rFonts w:ascii="Times New Roman;Times;serif" w:hAnsi="Times New Roman;Times;serif"/>
          <w:sz w:val="20"/>
        </w:rPr>
      </w:pPr>
      <w:r>
        <w:rPr>
          <w:rFonts w:ascii="Times New Roman;Times;serif" w:hAnsi="Times New Roman;Times;serif"/>
          <w:sz w:val="16"/>
        </w:rPr>
        <w:t xml:space="preserve">Commission file number: </w:t>
      </w:r>
      <w:r>
        <w:rPr>
          <w:rFonts w:ascii="Times New Roman;Times;serif" w:hAnsi="Times New Roman;Times;serif"/>
          <w:b/>
          <w:sz w:val="16"/>
        </w:rPr>
        <w:t>001-40358</w:t>
      </w:r>
    </w:p>
    <w:p>
      <w:pPr>
        <w:pStyle w:val="TextBody"/>
        <w:spacing w:before="0" w:after="160"/>
        <w:ind w:left="0" w:right="0" w:hanging="0"/>
        <w:jc w:val="center"/>
        <w:rPr>
          <w:rFonts w:ascii="Times New Roman;Times;serif" w:hAnsi="Times New Roman;Times;serif"/>
          <w:b/>
          <w:sz w:val="28"/>
        </w:rPr>
      </w:pPr>
      <w:r>
        <w:rPr>
          <w:rFonts w:ascii="Times New Roman;Times;serif" w:hAnsi="Times New Roman;Times;serif"/>
          <w:b/>
          <w:sz w:val="28"/>
        </w:rPr>
        <w:t>LATHAM GROUP,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spacing w:before="0" w:after="0"/>
        <w:ind w:left="0" w:right="0" w:hanging="0"/>
        <w:jc w:val="center"/>
        <w:rPr/>
      </w:pPr>
      <w:r>
        <w:rPr/>
        <w:t>​</w:t>
      </w:r>
    </w:p>
    <w:p>
      <w:pPr>
        <w:pStyle w:val="Normal"/>
        <w:spacing w:before="0" w:after="0"/>
        <w:ind w:left="0" w:right="0" w:hanging="0"/>
        <w:rPr>
          <w:sz w:val="4"/>
          <w:szCs w:val="4"/>
        </w:rPr>
      </w:pPr>
      <w:r>
        <w:rPr>
          <w:sz w:val="4"/>
          <w:szCs w:val="4"/>
        </w:rPr>
      </w:r>
      <w:bookmarkStart w:id="11" w:name="Tc_Ug8cy6lG4kaIQ2OayDsNTg_5_2"/>
      <w:bookmarkStart w:id="12" w:name="Tc_QIvRUlhDOEimgaHuZY0vuw_5_0"/>
      <w:bookmarkStart w:id="13" w:name="Tc_Pp7f343FOEG0fkPUJ_0wxw_4_0"/>
      <w:bookmarkStart w:id="14" w:name="Tc_GjrwDegASkWMzZdWHuRWAA_2_2"/>
      <w:bookmarkStart w:id="15" w:name="Tc_G3xLF4HSxkexs4O9r_t_vw_2_0"/>
      <w:bookmarkStart w:id="16" w:name="_56192867_2e07_419f_b568_51469b8a1e9c"/>
      <w:bookmarkStart w:id="17" w:name="Tc_Ug8cy6lG4kaIQ2OayDsNTg_5_2"/>
      <w:bookmarkStart w:id="18" w:name="Tc_QIvRUlhDOEimgaHuZY0vuw_5_0"/>
      <w:bookmarkStart w:id="19" w:name="Tc_Pp7f343FOEG0fkPUJ_0wxw_4_0"/>
      <w:bookmarkStart w:id="20" w:name="Tc_GjrwDegASkWMzZdWHuRWAA_2_2"/>
      <w:bookmarkStart w:id="21" w:name="Tc_G3xLF4HSxkexs4O9r_t_vw_2_0"/>
      <w:bookmarkStart w:id="22" w:name="_56192867_2e07_419f_b568_51469b8a1e9c"/>
      <w:bookmarkEnd w:id="17"/>
      <w:bookmarkEnd w:id="18"/>
      <w:bookmarkEnd w:id="19"/>
      <w:bookmarkEnd w:id="20"/>
      <w:bookmarkEnd w:id="21"/>
      <w:bookmarkEnd w:id="22"/>
    </w:p>
    <w:tbl>
      <w:tblPr>
        <w:tblW w:w="6478" w:type="dxa"/>
        <w:jc w:val="left"/>
        <w:tblInd w:w="0" w:type="dxa"/>
        <w:tblCellMar>
          <w:top w:w="0" w:type="dxa"/>
          <w:left w:w="0" w:type="dxa"/>
          <w:bottom w:w="0" w:type="dxa"/>
          <w:right w:w="0" w:type="dxa"/>
        </w:tblCellMar>
      </w:tblPr>
      <w:tblGrid>
        <w:gridCol w:w="3481"/>
        <w:gridCol w:w="326"/>
        <w:gridCol w:w="2671"/>
      </w:tblGrid>
      <w:tr>
        <w:trPr/>
        <w:tc>
          <w:tcPr>
            <w:tcW w:w="3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210435" cy="29210"/>
                      <wp:effectExtent l="0" t="0" r="0" b="0"/>
                      <wp:wrapNone/>
                      <wp:docPr id="1" name="Frame1"/>
                      <a:graphic xmlns:a="http://schemas.openxmlformats.org/drawingml/2006/main">
                        <a:graphicData uri="http://schemas.microsoft.com/office/word/2010/wordprocessingShape">
                          <wps:wsp>
                            <wps:cNvSpPr txBox="1"/>
                            <wps:spPr>
                              <a:xfrm>
                                <a:off x="0" y="0"/>
                                <a:ext cx="22104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6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96085" cy="29210"/>
                      <wp:effectExtent l="0" t="0" r="0" b="0"/>
                      <wp:wrapNone/>
                      <wp:docPr id="3" name="Frame3"/>
                      <a:graphic xmlns:a="http://schemas.openxmlformats.org/drawingml/2006/main">
                        <a:graphicData uri="http://schemas.microsoft.com/office/word/2010/wordprocessingShape">
                          <wps:wsp>
                            <wps:cNvSpPr txBox="1"/>
                            <wps:spPr>
                              <a:xfrm>
                                <a:off x="0" y="0"/>
                                <a:ext cx="16960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3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6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83-2797583</w:t>
            </w:r>
          </w:p>
        </w:tc>
      </w:tr>
      <w:tr>
        <w:trPr/>
        <w:tc>
          <w:tcPr>
            <w:tcW w:w="348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c>
        <w:tc>
          <w:tcPr>
            <w:tcW w:w="326" w:type="dxa"/>
            <w:tcBorders/>
            <w:shd w:fill="auto" w:val="clear"/>
            <w:vAlign w:val="center"/>
          </w:tcPr>
          <w:p>
            <w:pPr>
              <w:pStyle w:val="TableContents"/>
              <w:spacing w:before="0" w:after="0"/>
              <w:ind w:left="0" w:right="0" w:hanging="0"/>
              <w:rPr/>
            </w:pPr>
            <w:r>
              <w:rPr/>
              <w:t>​</w:t>
            </w:r>
          </w:p>
        </w:tc>
        <w:tc>
          <w:tcPr>
            <w:tcW w:w="267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34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71" w:type="dxa"/>
            <w:tcBorders/>
            <w:shd w:fill="auto" w:val="clear"/>
            <w:vAlign w:val="center"/>
          </w:tcPr>
          <w:p>
            <w:pPr>
              <w:pStyle w:val="TableContents"/>
              <w:spacing w:before="0" w:after="0"/>
              <w:ind w:left="0" w:right="0" w:hanging="0"/>
              <w:rPr/>
            </w:pPr>
            <w:r>
              <w:rPr/>
              <w:t>​</w:t>
            </w:r>
          </w:p>
        </w:tc>
      </w:tr>
      <w:tr>
        <w:trPr/>
        <w:tc>
          <w:tcPr>
            <w:tcW w:w="3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787 Watervliet Shaker Road, Latham, NY</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6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12110</w:t>
            </w:r>
          </w:p>
        </w:tc>
      </w:tr>
      <w:tr>
        <w:trPr/>
        <w:tc>
          <w:tcPr>
            <w:tcW w:w="348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326" w:type="dxa"/>
            <w:tcBorders/>
            <w:shd w:fill="auto" w:val="clear"/>
            <w:vAlign w:val="center"/>
          </w:tcPr>
          <w:p>
            <w:pPr>
              <w:pStyle w:val="TableContents"/>
              <w:spacing w:before="0" w:after="0"/>
              <w:ind w:left="0" w:right="0" w:hanging="0"/>
              <w:rPr/>
            </w:pPr>
            <w:r>
              <w:rPr/>
              <w:t>​</w:t>
            </w:r>
          </w:p>
        </w:tc>
        <w:tc>
          <w:tcPr>
            <w:tcW w:w="267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(800) 833-3800</w:t>
      </w:r>
    </w:p>
    <w:p>
      <w:pPr>
        <w:pStyle w:val="TextBody"/>
        <w:spacing w:before="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spacing w:before="0" w:after="12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spacing w:before="0" w:after="240"/>
        <w:ind w:left="0" w:right="0" w:hanging="0"/>
        <w:rPr/>
      </w:pPr>
      <w:r>
        <w:rPr/>
        <w:t>​</w:t>
      </w:r>
    </w:p>
    <w:p>
      <w:pPr>
        <w:pStyle w:val="Normal"/>
        <w:spacing w:before="0" w:after="0"/>
        <w:rPr>
          <w:sz w:val="4"/>
          <w:szCs w:val="4"/>
        </w:rPr>
      </w:pPr>
      <w:r>
        <w:rPr>
          <w:sz w:val="4"/>
          <w:szCs w:val="4"/>
        </w:rPr>
      </w:r>
      <w:bookmarkStart w:id="23" w:name="Tc_eZgm7ghV2ECwtIVa1l9UPg_2_2"/>
      <w:bookmarkStart w:id="24" w:name="Tc_q5SI3Tr61EqT2RmawKjOag_1_2"/>
      <w:bookmarkStart w:id="25" w:name="Tc_eAG0G0cck0mtsXZkfC00yQ_1_1"/>
      <w:bookmarkStart w:id="26" w:name="Tc_NIg6gEdP3U-f7SmbBXNNVQ_1_0"/>
      <w:bookmarkStart w:id="27" w:name="_e6383762_7257_4173_a910_d3e6acefd205"/>
      <w:bookmarkStart w:id="28" w:name="Tc_eZgm7ghV2ECwtIVa1l9UPg_2_2"/>
      <w:bookmarkStart w:id="29" w:name="Tc_q5SI3Tr61EqT2RmawKjOag_1_2"/>
      <w:bookmarkStart w:id="30" w:name="Tc_eAG0G0cck0mtsXZkfC00yQ_1_1"/>
      <w:bookmarkStart w:id="31" w:name="Tc_NIg6gEdP3U-f7SmbBXNNVQ_1_0"/>
      <w:bookmarkStart w:id="32" w:name="_e6383762_7257_4173_a910_d3e6acefd205"/>
      <w:bookmarkEnd w:id="28"/>
      <w:bookmarkEnd w:id="29"/>
      <w:bookmarkEnd w:id="30"/>
      <w:bookmarkEnd w:id="31"/>
      <w:bookmarkEnd w:id="32"/>
    </w:p>
    <w:tbl>
      <w:tblPr>
        <w:tblW w:w="6003" w:type="dxa"/>
        <w:jc w:val="left"/>
        <w:tblInd w:w="0" w:type="dxa"/>
        <w:tblCellMar>
          <w:top w:w="0" w:type="dxa"/>
          <w:left w:w="0" w:type="dxa"/>
          <w:bottom w:w="0" w:type="dxa"/>
          <w:right w:w="0" w:type="dxa"/>
        </w:tblCellMar>
      </w:tblPr>
      <w:tblGrid>
        <w:gridCol w:w="1351"/>
        <w:gridCol w:w="1426"/>
        <w:gridCol w:w="3226"/>
      </w:tblGrid>
      <w:tr>
        <w:trPr/>
        <w:tc>
          <w:tcPr>
            <w:tcW w:w="1351"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rPr/>
            </w:pPr>
            <w:r>
              <w:rPr/>
              <w:t>​</w:t>
            </w:r>
          </w:p>
        </w:tc>
        <w:tc>
          <w:tcPr>
            <w:tcW w:w="3226" w:type="dxa"/>
            <w:tcBorders/>
            <w:shd w:fill="auto" w:val="clear"/>
            <w:vAlign w:val="center"/>
          </w:tcPr>
          <w:p>
            <w:pPr>
              <w:pStyle w:val="TableContents"/>
              <w:spacing w:before="0" w:after="0"/>
              <w:ind w:left="0" w:right="0" w:hanging="0"/>
              <w:rPr/>
            </w:pPr>
            <w:r>
              <w:rPr/>
              <w:t>​</w:t>
            </w:r>
          </w:p>
        </w:tc>
      </w:tr>
      <w:tr>
        <w:trPr/>
        <w:tc>
          <w:tcPr>
            <w:tcW w:w="135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1351" w:type="dxa"/>
            <w:tcBorders>
              <w:top w:val="single" w:sz="8"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857885" cy="350520"/>
                      <wp:effectExtent l="0" t="0" r="0" b="0"/>
                      <wp:wrapNone/>
                      <wp:docPr id="4" name="Frame4"/>
                      <a:graphic xmlns:a="http://schemas.openxmlformats.org/drawingml/2006/main">
                        <a:graphicData uri="http://schemas.microsoft.com/office/word/2010/wordprocessingShape">
                          <wps:wsp>
                            <wps:cNvSpPr txBox="1"/>
                            <wps:spPr>
                              <a:xfrm>
                                <a:off x="0" y="0"/>
                                <a:ext cx="857885" cy="350520"/>
                              </a:xfrm>
                              <a:prstGeom prst="rect"/>
                            </wps:spPr>
                            <wps:txbx>
                              <w:txbxContent>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 per share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 per share</w:t>
                            </w:r>
                          </w:p>
                        </w:txbxContent>
                      </v:textbox>
                    </v:rect>
                  </w:pict>
                </mc:Fallback>
              </mc:AlternateContent>
            </w:r>
          </w:p>
        </w:tc>
        <w:tc>
          <w:tcPr>
            <w:tcW w:w="1426" w:type="dxa"/>
            <w:tcBorders>
              <w:top w:val="single" w:sz="8"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05510" cy="116840"/>
                      <wp:effectExtent l="0" t="0" r="0" b="0"/>
                      <wp:wrapNone/>
                      <wp:docPr id="5" name="Frame5"/>
                      <a:graphic xmlns:a="http://schemas.openxmlformats.org/drawingml/2006/main">
                        <a:graphicData uri="http://schemas.microsoft.com/office/word/2010/wordprocessingShape">
                          <wps:wsp>
                            <wps:cNvSpPr txBox="1"/>
                            <wps:spPr>
                              <a:xfrm>
                                <a:off x="0" y="0"/>
                                <a:ext cx="905510" cy="116840"/>
                              </a:xfrm>
                              <a:prstGeom prst="rect"/>
                            </wps:spPr>
                            <wps:txbx>
                              <w:txbxContent>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SWIM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SWIM</w:t>
                            </w:r>
                          </w:p>
                        </w:txbxContent>
                      </v:textbox>
                    </v:rect>
                  </w:pict>
                </mc:Fallback>
              </mc:AlternateContent>
            </w:r>
          </w:p>
        </w:tc>
        <w:tc>
          <w:tcPr>
            <w:tcW w:w="3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48510" cy="146685"/>
                      <wp:effectExtent l="0" t="0" r="0" b="0"/>
                      <wp:wrapNone/>
                      <wp:docPr id="6" name="Frame6"/>
                      <a:graphic xmlns:a="http://schemas.openxmlformats.org/drawingml/2006/main">
                        <a:graphicData uri="http://schemas.microsoft.com/office/word/2010/wordprocessingShape">
                          <wps:wsp>
                            <wps:cNvSpPr txBox="1"/>
                            <wps:spPr>
                              <a:xfrm>
                                <a:off x="0" y="0"/>
                                <a:ext cx="2048510" cy="146685"/>
                              </a:xfrm>
                              <a:prstGeom prst="rect"/>
                            </wps:spPr>
                            <wps:txbx>
                              <w:txbxContent>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txbxContent>
                      </v:textbox>
                    </v:rect>
                  </w:pict>
                </mc:Fallback>
              </mc:AlternateConten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240"/>
        <w:ind w:left="0" w:right="0" w:hanging="0"/>
        <w:rPr/>
      </w:pPr>
      <w:r>
        <w:rPr/>
        <w:t>​</w:t>
      </w:r>
    </w:p>
    <w:p>
      <w:pPr>
        <w:pStyle w:val="Normal"/>
        <w:spacing w:before="0" w:after="0"/>
        <w:rPr>
          <w:sz w:val="4"/>
          <w:szCs w:val="4"/>
        </w:rPr>
      </w:pPr>
      <w:r>
        <w:rPr>
          <w:sz w:val="4"/>
          <w:szCs w:val="4"/>
        </w:rPr>
      </w:r>
      <w:bookmarkStart w:id="33" w:name="Tc_gR7k4vvkVUGNWI1wb3BwKg_1_8"/>
      <w:bookmarkStart w:id="34" w:name="Tc_eOWDzlu_rk2HaNwguxoSwA_1_6"/>
      <w:bookmarkStart w:id="35" w:name="Tc_ztlmx_XCx0uBVr2_d9KdnQ_1_5"/>
      <w:bookmarkStart w:id="36" w:name="Tc_GP1HBvz4kEufHFyI-56fZg_1_4"/>
      <w:bookmarkStart w:id="37" w:name="Tc_fesNh8RCe02K1f7nNDYM1g_1_3"/>
      <w:bookmarkStart w:id="38" w:name="Tc_Nv3HiwK_2EuKXEUMeO3ORw_1_2"/>
      <w:bookmarkStart w:id="39" w:name="Tc_LRctNQo2o0eiWOaFyxeuYA_1_1"/>
      <w:bookmarkStart w:id="40" w:name="Tc_bKgkh1Xx-kiLFYZbgpoyWg_1_0"/>
      <w:bookmarkStart w:id="41" w:name="_aca45e85_43a0_4d88_abc6_5e9a5e11903b"/>
      <w:bookmarkStart w:id="42" w:name="Tc_gR7k4vvkVUGNWI1wb3BwKg_1_8"/>
      <w:bookmarkStart w:id="43" w:name="Tc_eOWDzlu_rk2HaNwguxoSwA_1_6"/>
      <w:bookmarkStart w:id="44" w:name="Tc_ztlmx_XCx0uBVr2_d9KdnQ_1_5"/>
      <w:bookmarkStart w:id="45" w:name="Tc_GP1HBvz4kEufHFyI-56fZg_1_4"/>
      <w:bookmarkStart w:id="46" w:name="Tc_fesNh8RCe02K1f7nNDYM1g_1_3"/>
      <w:bookmarkStart w:id="47" w:name="Tc_Nv3HiwK_2EuKXEUMeO3ORw_1_2"/>
      <w:bookmarkStart w:id="48" w:name="Tc_LRctNQo2o0eiWOaFyxeuYA_1_1"/>
      <w:bookmarkStart w:id="49" w:name="Tc_bKgkh1Xx-kiLFYZbgpoyWg_1_0"/>
      <w:bookmarkStart w:id="50" w:name="_aca45e85_43a0_4d88_abc6_5e9a5e11903b"/>
      <w:bookmarkEnd w:id="42"/>
      <w:bookmarkEnd w:id="43"/>
      <w:bookmarkEnd w:id="44"/>
      <w:bookmarkEnd w:id="45"/>
      <w:bookmarkEnd w:id="46"/>
      <w:bookmarkEnd w:id="47"/>
      <w:bookmarkEnd w:id="48"/>
      <w:bookmarkEnd w:id="49"/>
      <w:bookmarkEnd w:id="50"/>
    </w:p>
    <w:tbl>
      <w:tblPr>
        <w:tblW w:w="10205" w:type="dxa"/>
        <w:jc w:val="left"/>
        <w:tblInd w:w="0" w:type="dxa"/>
        <w:tblCellMar>
          <w:top w:w="0" w:type="dxa"/>
          <w:left w:w="0" w:type="dxa"/>
          <w:bottom w:w="0" w:type="dxa"/>
          <w:right w:w="0" w:type="dxa"/>
        </w:tblCellMar>
      </w:tblPr>
      <w:tblGrid>
        <w:gridCol w:w="1703"/>
        <w:gridCol w:w="316"/>
        <w:gridCol w:w="1295"/>
        <w:gridCol w:w="316"/>
        <w:gridCol w:w="1610"/>
        <w:gridCol w:w="316"/>
        <w:gridCol w:w="1977"/>
        <w:gridCol w:w="316"/>
        <w:gridCol w:w="1993"/>
        <w:gridCol w:w="363"/>
      </w:tblGrid>
      <w:tr>
        <w:trPr/>
        <w:tc>
          <w:tcPr>
            <w:tcW w:w="1703"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1295"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1610"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1977"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1993" w:type="dxa"/>
            <w:tcBorders/>
            <w:shd w:fill="auto" w:val="clear"/>
            <w:vAlign w:val="center"/>
          </w:tcPr>
          <w:p>
            <w:pPr>
              <w:pStyle w:val="TableContents"/>
              <w:spacing w:before="0" w:after="0"/>
              <w:ind w:left="0" w:right="0" w:hanging="0"/>
              <w:rPr/>
            </w:pPr>
            <w:r>
              <w:rPr/>
              <w:t>​</w:t>
            </w:r>
          </w:p>
        </w:tc>
        <w:tc>
          <w:tcPr>
            <w:tcW w:w="363" w:type="dxa"/>
            <w:tcBorders/>
            <w:shd w:fill="auto" w:val="clear"/>
            <w:vAlign w:val="center"/>
          </w:tcPr>
          <w:p>
            <w:pPr>
              <w:pStyle w:val="TableContents"/>
              <w:spacing w:before="0" w:after="0"/>
              <w:ind w:left="0" w:right="0" w:hanging="0"/>
              <w:rPr/>
            </w:pPr>
            <w:r>
              <w:rPr/>
              <w:t>​</w:t>
            </w:r>
          </w:p>
        </w:tc>
      </w:tr>
      <w:tr>
        <w:trPr/>
        <w:tc>
          <w:tcPr>
            <w:tcW w:w="170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Large accelerated filers</w:t>
            </w:r>
          </w:p>
        </w:tc>
        <w:tc>
          <w:tcPr>
            <w:tcW w:w="316" w:type="dxa"/>
            <w:tcBorders/>
            <w:shd w:fill="auto" w:val="clear"/>
            <w:vAlign w:val="center"/>
          </w:tcPr>
          <w:p>
            <w:pPr>
              <w:pStyle w:val="TableContents"/>
              <w:spacing w:before="0" w:after="0"/>
              <w:ind w:left="0" w:right="0" w:hanging="0"/>
              <w:rPr/>
            </w:pPr>
            <w:r>
              <w:rPr/>
              <w:t>☐</w:t>
            </w:r>
          </w:p>
        </w:tc>
        <w:tc>
          <w:tcPr>
            <w:tcW w:w="129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Accelerated filers</w:t>
            </w:r>
          </w:p>
        </w:tc>
        <w:tc>
          <w:tcPr>
            <w:tcW w:w="316" w:type="dxa"/>
            <w:tcBorders/>
            <w:shd w:fill="auto" w:val="clear"/>
            <w:vAlign w:val="center"/>
          </w:tcPr>
          <w:p>
            <w:pPr>
              <w:pStyle w:val="TableContents"/>
              <w:spacing w:before="0" w:after="0"/>
              <w:ind w:left="0" w:right="0" w:hanging="0"/>
              <w:rPr/>
            </w:pPr>
            <w:r>
              <w:rPr/>
              <w:t>☐</w:t>
            </w:r>
          </w:p>
        </w:tc>
        <w:tc>
          <w:tcPr>
            <w:tcW w:w="1610"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Non-accelerated filers</w:t>
            </w:r>
          </w:p>
        </w:tc>
        <w:tc>
          <w:tcPr>
            <w:tcW w:w="316" w:type="dxa"/>
            <w:tcBorders/>
            <w:shd w:fill="auto" w:val="clear"/>
            <w:vAlign w:val="center"/>
          </w:tcPr>
          <w:p>
            <w:pPr>
              <w:pStyle w:val="TableContents"/>
              <w:spacing w:before="0" w:after="0"/>
              <w:ind w:left="0" w:right="0" w:hanging="0"/>
              <w:rPr/>
            </w:pPr>
            <w:r>
              <w:rPr/>
              <w:t>☒</w:t>
            </w:r>
          </w:p>
        </w:tc>
        <w:tc>
          <w:tcPr>
            <w:tcW w:w="1977"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Smaller reporting company</w:t>
            </w:r>
          </w:p>
        </w:tc>
        <w:tc>
          <w:tcPr>
            <w:tcW w:w="316" w:type="dxa"/>
            <w:tcBorders/>
            <w:shd w:fill="auto" w:val="clear"/>
            <w:vAlign w:val="center"/>
          </w:tcPr>
          <w:p>
            <w:pPr>
              <w:pStyle w:val="TableContents"/>
              <w:spacing w:before="0" w:after="0"/>
              <w:ind w:left="0" w:right="0" w:hanging="0"/>
              <w:rPr/>
            </w:pPr>
            <w:r>
              <w:rPr/>
              <w:t>☐</w:t>
            </w:r>
          </w:p>
        </w:tc>
        <w:tc>
          <w:tcPr>
            <w:tcW w:w="199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Emerging growth company</w:t>
            </w:r>
          </w:p>
        </w:tc>
        <w:tc>
          <w:tcPr>
            <w:tcW w:w="363"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As of May 10, 2022, 119,573,789 shares of the registrant’s common stock, $0.0001 par value were outstanding.</w:t>
      </w:r>
    </w:p>
    <w:p>
      <w:pPr>
        <w:pStyle w:val="TextBody"/>
        <w:spacing w:before="0" w:after="240"/>
        <w:ind w:left="0" w:right="0" w:firstLine="360"/>
        <w:rPr/>
      </w:pPr>
      <w:r>
        <w:rPr/>
        <w:t>​</w:t>
      </w:r>
    </w:p>
    <w:p>
      <w:pPr>
        <w:pStyle w:val="TextBody"/>
        <w:pBdr>
          <w:top w:val="single" w:sz="2" w:space="1" w:color="000000"/>
          <w:bottom w:val="single" w:sz="24" w:space="1" w:color="000000"/>
        </w:pBdr>
        <w:spacing w:lineRule="atLeast" w:line="141" w:before="0" w:after="24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center"/>
        <w:rPr>
          <w:rFonts w:ascii="Times New Roman;Times;serif" w:hAnsi="Times New Roman;Times;serif"/>
          <w:b/>
          <w:sz w:val="20"/>
        </w:rPr>
      </w:pPr>
      <w:bookmarkStart w:id="51" w:name="TOC"/>
      <w:bookmarkStart w:id="52" w:name="_e29ae575_8844_4314_8ec9_d571d5519bef"/>
      <w:bookmarkEnd w:id="51"/>
      <w:bookmarkEnd w:id="52"/>
      <w:r>
        <w:rPr>
          <w:rFonts w:ascii="Times New Roman;Times;serif" w:hAnsi="Times New Roman;Times;serif"/>
          <w:b/>
          <w:sz w:val="20"/>
        </w:rPr>
        <w:t>TABLE OF CONTENTS</w:t>
      </w:r>
    </w:p>
    <w:tbl>
      <w:tblPr>
        <w:tblW w:w="8676" w:type="dxa"/>
        <w:jc w:val="left"/>
        <w:tblInd w:w="0" w:type="dxa"/>
        <w:tblCellMar>
          <w:top w:w="0" w:type="dxa"/>
          <w:left w:w="0" w:type="dxa"/>
          <w:bottom w:w="0" w:type="dxa"/>
          <w:right w:w="0" w:type="dxa"/>
        </w:tblCellMar>
      </w:tblPr>
      <w:tblGrid>
        <w:gridCol w:w="8206"/>
        <w:gridCol w:w="109"/>
        <w:gridCol w:w="361"/>
      </w:tblGrid>
      <w:tr>
        <w:trPr/>
        <w:tc>
          <w:tcPr>
            <w:tcW w:w="8206" w:type="dxa"/>
            <w:tcBorders/>
            <w:shd w:fill="CCEEFF" w:val="clear"/>
            <w:vAlign w:val="center"/>
          </w:tcPr>
          <w:p>
            <w:pPr>
              <w:pStyle w:val="TableContents"/>
              <w:spacing w:before="0" w:after="0"/>
              <w:ind w:left="0" w:right="0" w:hanging="0"/>
              <w:rPr/>
            </w:pPr>
            <w:hyperlink w:anchor="PARTIFINANCIALINFORMATION_382427">
              <w:r>
                <w:rPr>
                  <w:rStyle w:val="InternetLink"/>
                  <w:rFonts w:ascii="Times New Roman;Times;serif" w:hAnsi="Times New Roman;Times;serif"/>
                  <w:b/>
                  <w:i w:val="false"/>
                  <w:caps w:val="false"/>
                  <w:smallCaps w:val="false"/>
                  <w:sz w:val="20"/>
                </w:rPr>
                <w:t>PART I — FINANCIAL INFORMATION</w:t>
              </w:r>
            </w:hyperlink>
          </w:p>
        </w:tc>
        <w:tc>
          <w:tcPr>
            <w:tcW w:w="109" w:type="dxa"/>
            <w:tcBorders/>
            <w:shd w:fill="CCEEFF" w:val="clear"/>
            <w:vAlign w:val="center"/>
          </w:tcPr>
          <w:p>
            <w:pPr>
              <w:pStyle w:val="TableContents"/>
              <w:spacing w:before="0" w:after="0"/>
              <w:ind w:left="0" w:right="0" w:hanging="0"/>
              <w:jc w:val="center"/>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206" w:type="dxa"/>
            <w:tcBorders/>
            <w:shd w:fill="auto" w:val="clear"/>
            <w:vAlign w:val="center"/>
          </w:tcPr>
          <w:p>
            <w:pPr>
              <w:pStyle w:val="TableContents"/>
              <w:spacing w:before="0" w:after="0"/>
              <w:ind w:left="0" w:right="0" w:hanging="0"/>
              <w:rPr/>
            </w:pPr>
            <w:hyperlink w:anchor="Item1FinancialStatements_39771">
              <w:r>
                <w:rPr>
                  <w:rStyle w:val="InternetLink"/>
                  <w:rFonts w:ascii="Times New Roman;Times;serif" w:hAnsi="Times New Roman;Times;serif"/>
                  <w:b/>
                  <w:i w:val="false"/>
                  <w:caps w:val="false"/>
                  <w:smallCaps w:val="false"/>
                  <w:sz w:val="20"/>
                </w:rPr>
                <w:t>Item 1. Financial Statements</w:t>
              </w:r>
            </w:hyperlink>
          </w:p>
        </w:tc>
        <w:tc>
          <w:tcPr>
            <w:tcW w:w="109"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206" w:type="dxa"/>
            <w:tcBorders/>
            <w:shd w:fill="CCEEFF" w:val="clear"/>
            <w:vAlign w:val="center"/>
          </w:tcPr>
          <w:p>
            <w:pPr>
              <w:pStyle w:val="TableContents"/>
              <w:spacing w:before="0" w:after="0"/>
              <w:ind w:left="0" w:right="0" w:hanging="0"/>
              <w:rPr/>
            </w:pPr>
            <w:hyperlink w:anchor="Item2ManagementsDiscussionandAnalysisofF">
              <w:r>
                <w:rPr>
                  <w:rStyle w:val="InternetLink"/>
                  <w:rFonts w:ascii="Times New Roman;Times;serif" w:hAnsi="Times New Roman;Times;serif"/>
                  <w:b/>
                  <w:i w:val="false"/>
                  <w:caps w:val="false"/>
                  <w:smallCaps w:val="false"/>
                  <w:sz w:val="20"/>
                </w:rPr>
                <w:t>Item 2. Management’s Discussion and Analysis of Financial Condition and Results of Operations</w:t>
              </w:r>
            </w:hyperlink>
          </w:p>
        </w:tc>
        <w:tc>
          <w:tcPr>
            <w:tcW w:w="109" w:type="dxa"/>
            <w:tcBorders/>
            <w:shd w:fill="CCEEFF" w:val="clear"/>
            <w:vAlign w:val="center"/>
          </w:tcPr>
          <w:p>
            <w:pPr>
              <w:pStyle w:val="TableContents"/>
              <w:spacing w:before="0" w:after="0"/>
              <w:ind w:left="0" w:right="0" w:hanging="0"/>
              <w:jc w:val="center"/>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206" w:type="dxa"/>
            <w:tcBorders/>
            <w:shd w:fill="auto" w:val="clear"/>
            <w:vAlign w:val="center"/>
          </w:tcPr>
          <w:p>
            <w:pPr>
              <w:pStyle w:val="TableContents"/>
              <w:spacing w:before="0" w:after="0"/>
              <w:ind w:left="0" w:right="0" w:hanging="0"/>
              <w:rPr/>
            </w:pPr>
            <w:hyperlink w:anchor="_Item_3._Quantitative">
              <w:r>
                <w:rPr>
                  <w:rStyle w:val="InternetLink"/>
                  <w:rFonts w:ascii="Times New Roman;Times;serif" w:hAnsi="Times New Roman;Times;serif"/>
                  <w:b/>
                  <w:i w:val="false"/>
                  <w:caps w:val="false"/>
                  <w:smallCaps w:val="false"/>
                  <w:sz w:val="20"/>
                </w:rPr>
                <w:t>Item 3. Quantitative and Qualitative Disclosures About Market Risk</w:t>
              </w:r>
            </w:hyperlink>
          </w:p>
        </w:tc>
        <w:tc>
          <w:tcPr>
            <w:tcW w:w="109"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206" w:type="dxa"/>
            <w:tcBorders/>
            <w:shd w:fill="CCEEFF" w:val="clear"/>
            <w:vAlign w:val="center"/>
          </w:tcPr>
          <w:p>
            <w:pPr>
              <w:pStyle w:val="TableContents"/>
              <w:spacing w:before="0" w:after="0"/>
              <w:ind w:left="0" w:right="0" w:hanging="0"/>
              <w:rPr/>
            </w:pPr>
            <w:hyperlink w:anchor="Item4ControlsandProcedures_231254">
              <w:r>
                <w:rPr>
                  <w:rStyle w:val="InternetLink"/>
                  <w:rFonts w:ascii="Times New Roman;Times;serif" w:hAnsi="Times New Roman;Times;serif"/>
                  <w:b/>
                  <w:i w:val="false"/>
                  <w:caps w:val="false"/>
                  <w:smallCaps w:val="false"/>
                  <w:sz w:val="20"/>
                </w:rPr>
                <w:t>Item 4. Controls and Procedures</w:t>
              </w:r>
            </w:hyperlink>
          </w:p>
        </w:tc>
        <w:tc>
          <w:tcPr>
            <w:tcW w:w="109" w:type="dxa"/>
            <w:tcBorders/>
            <w:shd w:fill="CCEEFF" w:val="clear"/>
            <w:vAlign w:val="center"/>
          </w:tcPr>
          <w:p>
            <w:pPr>
              <w:pStyle w:val="TableContents"/>
              <w:spacing w:before="0" w:after="0"/>
              <w:ind w:left="0" w:right="0" w:hanging="0"/>
              <w:jc w:val="center"/>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206" w:type="dxa"/>
            <w:tcBorders/>
            <w:shd w:fill="auto" w:val="clear"/>
            <w:vAlign w:val="center"/>
          </w:tcPr>
          <w:p>
            <w:pPr>
              <w:pStyle w:val="TableContents"/>
              <w:spacing w:before="0" w:after="0"/>
              <w:ind w:left="0" w:right="0" w:hanging="0"/>
              <w:rPr/>
            </w:pPr>
            <w:hyperlink w:anchor="PARTIIOTHERINFORMATION_817159">
              <w:r>
                <w:rPr>
                  <w:rStyle w:val="InternetLink"/>
                  <w:rFonts w:ascii="Times New Roman;Times;serif" w:hAnsi="Times New Roman;Times;serif"/>
                  <w:b/>
                  <w:i w:val="false"/>
                  <w:caps w:val="false"/>
                  <w:smallCaps w:val="false"/>
                  <w:sz w:val="20"/>
                </w:rPr>
                <w:t>PART II — OTHER INFORMATION</w:t>
              </w:r>
            </w:hyperlink>
          </w:p>
        </w:tc>
        <w:tc>
          <w:tcPr>
            <w:tcW w:w="109"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206" w:type="dxa"/>
            <w:tcBorders/>
            <w:shd w:fill="CCEEFF" w:val="clear"/>
            <w:vAlign w:val="center"/>
          </w:tcPr>
          <w:p>
            <w:pPr>
              <w:pStyle w:val="TableContents"/>
              <w:spacing w:before="0" w:after="0"/>
              <w:ind w:left="0" w:right="0" w:hanging="0"/>
              <w:rPr/>
            </w:pPr>
            <w:hyperlink w:anchor="Item1ARiskFactors_762234">
              <w:r>
                <w:rPr>
                  <w:rStyle w:val="InternetLink"/>
                  <w:rFonts w:ascii="Times New Roman;Times;serif" w:hAnsi="Times New Roman;Times;serif"/>
                  <w:b/>
                  <w:i w:val="false"/>
                  <w:caps w:val="false"/>
                  <w:smallCaps w:val="false"/>
                  <w:sz w:val="20"/>
                </w:rPr>
                <w:t>Item 1A. Risk Factors</w:t>
              </w:r>
            </w:hyperlink>
          </w:p>
        </w:tc>
        <w:tc>
          <w:tcPr>
            <w:tcW w:w="109" w:type="dxa"/>
            <w:tcBorders/>
            <w:shd w:fill="CCEEFF" w:val="clear"/>
            <w:vAlign w:val="center"/>
          </w:tcPr>
          <w:p>
            <w:pPr>
              <w:pStyle w:val="TableContents"/>
              <w:spacing w:before="0" w:after="0"/>
              <w:ind w:left="0" w:right="0" w:hanging="0"/>
              <w:jc w:val="center"/>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206" w:type="dxa"/>
            <w:tcBorders/>
            <w:shd w:fill="auto" w:val="clear"/>
            <w:vAlign w:val="center"/>
          </w:tcPr>
          <w:p>
            <w:pPr>
              <w:pStyle w:val="TableContents"/>
              <w:spacing w:before="0" w:after="0"/>
              <w:ind w:left="0" w:right="0" w:hanging="0"/>
              <w:rPr/>
            </w:pPr>
            <w:hyperlink w:anchor="Item6Exhibits_62690">
              <w:r>
                <w:rPr>
                  <w:rStyle w:val="InternetLink"/>
                  <w:rFonts w:ascii="Times New Roman;Times;serif" w:hAnsi="Times New Roman;Times;serif"/>
                  <w:b/>
                  <w:i w:val="false"/>
                  <w:caps w:val="false"/>
                  <w:smallCaps w:val="false"/>
                  <w:sz w:val="20"/>
                </w:rPr>
                <w:t>Item 6. Exhibits</w:t>
              </w:r>
            </w:hyperlink>
          </w:p>
        </w:tc>
        <w:tc>
          <w:tcPr>
            <w:tcW w:w="109"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206" w:type="dxa"/>
            <w:tcBorders/>
            <w:shd w:fill="CCEEFF" w:val="clear"/>
            <w:vAlign w:val="center"/>
          </w:tcPr>
          <w:p>
            <w:pPr>
              <w:pStyle w:val="TableContents"/>
              <w:spacing w:before="0" w:after="0"/>
              <w:ind w:left="0" w:right="0" w:hanging="0"/>
              <w:rPr/>
            </w:pPr>
            <w:hyperlink w:anchor="SIGNATURES_654110">
              <w:r>
                <w:rPr>
                  <w:rStyle w:val="InternetLink"/>
                  <w:rFonts w:ascii="Times New Roman;Times;serif" w:hAnsi="Times New Roman;Times;serif"/>
                  <w:b/>
                  <w:i w:val="false"/>
                  <w:caps w:val="false"/>
                  <w:smallCaps w:val="false"/>
                  <w:sz w:val="20"/>
                </w:rPr>
                <w:t>SIGNATURES</w:t>
              </w:r>
            </w:hyperlink>
          </w:p>
        </w:tc>
        <w:tc>
          <w:tcPr>
            <w:tcW w:w="109" w:type="dxa"/>
            <w:tcBorders/>
            <w:shd w:fill="CCEEFF" w:val="clear"/>
            <w:vAlign w:val="center"/>
          </w:tcPr>
          <w:p>
            <w:pPr>
              <w:pStyle w:val="TableContents"/>
              <w:spacing w:before="0" w:after="0"/>
              <w:ind w:left="0" w:right="0" w:hanging="0"/>
              <w:jc w:val="center"/>
              <w:rPr/>
            </w:pPr>
            <w:r>
              <w:rPr/>
              <w:t>​</w:t>
            </w:r>
          </w:p>
        </w:tc>
        <w:tc>
          <w:tcPr>
            <w:tcW w:w="361" w:type="dxa"/>
            <w:tcBorders/>
            <w:shd w:fill="CCEEFF"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3" w:name="PARTIFINANCIALINFORMATION_382427"/>
      <w:bookmarkStart w:id="54" w:name="_3e120657_1be7_4bf3_930a_2ccbb529975f"/>
      <w:bookmarkEnd w:id="53"/>
      <w:bookmarkEnd w:id="54"/>
      <w:r>
        <w:rPr>
          <w:rFonts w:ascii="Times New Roman;Times;serif" w:hAnsi="Times New Roman;Times;serif"/>
          <w:b/>
          <w:sz w:val="20"/>
        </w:rPr>
        <w:t>PART I — FINANCIAL INFORMATION</w:t>
      </w:r>
    </w:p>
    <w:p>
      <w:pPr>
        <w:pStyle w:val="TextBody"/>
        <w:spacing w:before="0" w:after="240"/>
        <w:ind w:left="0" w:right="0" w:hanging="0"/>
        <w:rPr>
          <w:rFonts w:ascii="Times New Roman;Times;serif" w:hAnsi="Times New Roman;Times;serif"/>
          <w:b/>
          <w:sz w:val="20"/>
        </w:rPr>
      </w:pPr>
      <w:bookmarkStart w:id="55" w:name="Item1FinancialStatements_39771"/>
      <w:bookmarkEnd w:id="55"/>
      <w:r>
        <w:rPr>
          <w:rFonts w:ascii="Times New Roman;Times;serif" w:hAnsi="Times New Roman;Times;serif"/>
          <w:b/>
          <w:sz w:val="20"/>
        </w:rPr>
        <w:t>Item 1.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Condensed Consolidated Financial Statements (Unaudited)</w:t>
      </w:r>
    </w:p>
    <w:tbl>
      <w:tblPr>
        <w:tblW w:w="6553" w:type="dxa"/>
        <w:jc w:val="left"/>
        <w:tblInd w:w="0" w:type="dxa"/>
        <w:tblCellMar>
          <w:top w:w="0" w:type="dxa"/>
          <w:left w:w="0" w:type="dxa"/>
          <w:bottom w:w="0" w:type="dxa"/>
          <w:right w:w="0" w:type="dxa"/>
        </w:tblCellMar>
      </w:tblPr>
      <w:tblGrid>
        <w:gridCol w:w="5866"/>
        <w:gridCol w:w="326"/>
        <w:gridCol w:w="361"/>
      </w:tblGrid>
      <w:tr>
        <w:trPr/>
        <w:tc>
          <w:tcPr>
            <w:tcW w:w="58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724910" cy="175260"/>
                      <wp:effectExtent l="0" t="0" r="0" b="0"/>
                      <wp:wrapNone/>
                      <wp:docPr id="7" name="Frame7"/>
                      <a:graphic xmlns:a="http://schemas.openxmlformats.org/drawingml/2006/main">
                        <a:graphicData uri="http://schemas.microsoft.com/office/word/2010/wordprocessingShape">
                          <wps:wsp>
                            <wps:cNvSpPr txBox="1"/>
                            <wps:spPr>
                              <a:xfrm>
                                <a:off x="0" y="0"/>
                                <a:ext cx="3724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29235" cy="175260"/>
                      <wp:effectExtent l="0" t="0" r="0" b="0"/>
                      <wp:wrapNone/>
                      <wp:docPr id="8" name="Frame8"/>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866" w:type="dxa"/>
            <w:tcBorders/>
            <w:shd w:fill="CCEEFF" w:val="clear"/>
            <w:vAlign w:val="center"/>
          </w:tcPr>
          <w:p>
            <w:pPr>
              <w:pStyle w:val="TableContents"/>
              <w:spacing w:before="0" w:after="0"/>
              <w:ind w:left="0" w:right="0" w:hanging="0"/>
              <w:rPr/>
            </w:pPr>
            <w:hyperlink w:anchor="CondensedConsolidatedBalanceSheets_25550">
              <w:r>
                <w:rPr>
                  <w:rStyle w:val="InternetLink"/>
                  <w:rFonts w:ascii="Times New Roman;Times;serif" w:hAnsi="Times New Roman;Times;serif"/>
                  <w:b w:val="false"/>
                  <w:i w:val="false"/>
                  <w:caps w:val="false"/>
                  <w:smallCaps w:val="false"/>
                  <w:sz w:val="20"/>
                </w:rPr>
                <w:t>Condensed Consolidated Balance Sheets</w:t>
              </w:r>
            </w:hyperlink>
          </w:p>
        </w:tc>
        <w:tc>
          <w:tcPr>
            <w:tcW w:w="32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866" w:type="dxa"/>
            <w:tcBorders/>
            <w:shd w:fill="auto" w:val="clear"/>
            <w:vAlign w:val="center"/>
          </w:tcPr>
          <w:p>
            <w:pPr>
              <w:pStyle w:val="TableContents"/>
              <w:spacing w:before="0" w:after="0"/>
              <w:ind w:left="0" w:right="0" w:hanging="0"/>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w:t>
              </w:r>
            </w:hyperlink>
          </w:p>
        </w:tc>
        <w:tc>
          <w:tcPr>
            <w:tcW w:w="32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866" w:type="dxa"/>
            <w:tcBorders/>
            <w:shd w:fill="CCEEFF" w:val="clear"/>
            <w:vAlign w:val="center"/>
          </w:tcPr>
          <w:p>
            <w:pPr>
              <w:pStyle w:val="TableContents"/>
              <w:spacing w:before="0" w:after="0"/>
              <w:ind w:left="0" w:right="0" w:hanging="0"/>
              <w:rPr/>
            </w:pPr>
            <w:hyperlink w:anchor="CondensedConsolidatedStatementsofCompreh">
              <w:r>
                <w:rPr>
                  <w:rStyle w:val="InternetLink"/>
                  <w:rFonts w:ascii="Times New Roman;Times;serif" w:hAnsi="Times New Roman;Times;serif"/>
                  <w:b w:val="false"/>
                  <w:i w:val="false"/>
                  <w:caps w:val="false"/>
                  <w:smallCaps w:val="false"/>
                  <w:sz w:val="20"/>
                </w:rPr>
                <w:t xml:space="preserve">Condensed Consolidated Statements of Comprehensive (Loss) Income </w:t>
              </w:r>
            </w:hyperlink>
          </w:p>
        </w:tc>
        <w:tc>
          <w:tcPr>
            <w:tcW w:w="32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866" w:type="dxa"/>
            <w:tcBorders/>
            <w:shd w:fill="auto" w:val="clear"/>
            <w:vAlign w:val="center"/>
          </w:tcPr>
          <w:p>
            <w:pPr>
              <w:pStyle w:val="TableContents"/>
              <w:spacing w:before="0" w:after="0"/>
              <w:ind w:left="0" w:right="0" w:hanging="0"/>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w:t>
              </w:r>
            </w:hyperlink>
          </w:p>
        </w:tc>
        <w:tc>
          <w:tcPr>
            <w:tcW w:w="32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5866" w:type="dxa"/>
            <w:tcBorders/>
            <w:shd w:fill="CCEEFF" w:val="clear"/>
            <w:vAlign w:val="center"/>
          </w:tcPr>
          <w:p>
            <w:pPr>
              <w:pStyle w:val="TableContents"/>
              <w:spacing w:before="0" w:after="0"/>
              <w:ind w:left="0" w:right="0" w:hanging="0"/>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w:t>
              </w:r>
            </w:hyperlink>
          </w:p>
        </w:tc>
        <w:tc>
          <w:tcPr>
            <w:tcW w:w="32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5866" w:type="dxa"/>
            <w:tcBorders/>
            <w:shd w:fill="auto" w:val="clear"/>
            <w:vAlign w:val="center"/>
          </w:tcPr>
          <w:p>
            <w:pPr>
              <w:pStyle w:val="TableContents"/>
              <w:spacing w:before="0" w:after="0"/>
              <w:ind w:left="0" w:right="0" w:hanging="0"/>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2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6" w:name="_f53d040e_74e4_465c_80b5_2a5ba8f5a964"/>
      <w:bookmarkEnd w:id="56"/>
      <w:r>
        <w:rPr>
          <w:rFonts w:ascii="Times New Roman;Times;serif" w:hAnsi="Times New Roman;Times;serif"/>
          <w:b/>
          <w:sz w:val="20"/>
        </w:rPr>
        <w:t>Latham Group, Inc.</w:t>
      </w:r>
    </w:p>
    <w:p>
      <w:pPr>
        <w:pStyle w:val="TextBody"/>
        <w:spacing w:before="0" w:after="0"/>
        <w:ind w:left="0" w:right="0" w:hanging="0"/>
        <w:jc w:val="center"/>
        <w:rPr>
          <w:rFonts w:ascii="Times New Roman;Times;serif" w:hAnsi="Times New Roman;Times;serif"/>
          <w:b/>
          <w:sz w:val="20"/>
        </w:rPr>
      </w:pPr>
      <w:bookmarkStart w:id="57" w:name="CondensedConsolidatedBalanceSheets_25550"/>
      <w:bookmarkEnd w:id="57"/>
      <w:r>
        <w:rPr>
          <w:rFonts w:ascii="Times New Roman;Times;serif" w:hAnsi="Times New Roman;Times;serif"/>
          <w:b/>
          <w:sz w:val="20"/>
        </w:rPr>
        <w:t>Condensed Consolidated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rPr/>
      </w:pPr>
      <w:r>
        <w:rPr/>
        <w:t>​</w:t>
      </w:r>
    </w:p>
    <w:p>
      <w:pPr>
        <w:pStyle w:val="Normal"/>
        <w:spacing w:before="0" w:after="0"/>
        <w:rPr>
          <w:sz w:val="4"/>
          <w:szCs w:val="4"/>
        </w:rPr>
      </w:pPr>
      <w:r>
        <w:rPr>
          <w:sz w:val="4"/>
          <w:szCs w:val="4"/>
        </w:rPr>
      </w:r>
      <w:bookmarkStart w:id="58" w:name="Tc_329kBH42O0uJWBDjbVfwSg_41_5"/>
      <w:bookmarkStart w:id="59" w:name="Tc_KeFM6vBmsUCh2WleEWb_Lg_41_2"/>
      <w:bookmarkStart w:id="60" w:name="Tc_TxsdjvGo9EqQ3C7lE1vV_w_41_0"/>
      <w:bookmarkStart w:id="61" w:name="Tc_ju4V4Lo9IkCWpiO5fX8yYg_40_0"/>
      <w:bookmarkStart w:id="62" w:name="Tc_Pc_bxukwyUm58F_vvIdV6Q_39_0"/>
      <w:bookmarkStart w:id="63" w:name="Tc_pjYUW-bO3E-axbDtNxXEAg_38_0"/>
      <w:bookmarkStart w:id="64" w:name="Tc_MHOxsNDXEk28qsd_VbG_bA_37_0"/>
      <w:bookmarkStart w:id="65" w:name="Tc_fONA4Tcu2k2QKwXAp_W18A_36_0"/>
      <w:bookmarkStart w:id="66" w:name="Narr_nPKafgTNc0uMh_dnXgJleQ"/>
      <w:bookmarkStart w:id="67" w:name="Narr_QkwBaX8yJ0OhIJu66iHWzA"/>
      <w:bookmarkStart w:id="68" w:name="Tc_OyPFYwuVGkKbEnPa97iB2Q_35_0"/>
      <w:bookmarkStart w:id="69" w:name="Tc_WuBcsfIipEms_v4t6Xp_vQ_34_0"/>
      <w:bookmarkStart w:id="70" w:name="Tc_-CPfH9ouIkmw8FCRknGJEg_33_0"/>
      <w:bookmarkStart w:id="71" w:name="Tc_46AypV4FbEq31QGj78gdag_32_0"/>
      <w:bookmarkStart w:id="72" w:name="Tc_ySGWQF1wt0GPI-rWhMDlVA_31_0"/>
      <w:bookmarkStart w:id="73" w:name="Tc_PhszKz3XE0mNC2SSy7-Rqg_30_6"/>
      <w:bookmarkStart w:id="74" w:name="Tc_Jek2nw7zI0-M680PNSaQDA_30_0"/>
      <w:bookmarkStart w:id="75" w:name="Tc_Zg_Qipj4lECK-cq7QUZt1A_29_0"/>
      <w:bookmarkStart w:id="76" w:name="Tc__oMBE0qR2UOY2kmmRXTBTw_28_0"/>
      <w:bookmarkStart w:id="77" w:name="Tc_qeCbwy_HukWs_beoEbxGnA_27_0"/>
      <w:bookmarkStart w:id="78" w:name="Tc_48bxZlsNEUGDzkw7GMqJMA_26_0"/>
      <w:bookmarkStart w:id="79" w:name="Tc_nXRPllKa9UC4RwmOGApQwg_25_0"/>
      <w:bookmarkStart w:id="80" w:name="Tc_uAlf-z2-fEWwjDhLFdp__Q_24_6"/>
      <w:bookmarkStart w:id="81" w:name="Tc_ZWERALphvEC1Mz577MT4jw_24_0"/>
      <w:bookmarkStart w:id="82" w:name="Tc_jJl1LYN5ZkuzmGxAcM2CfQ_23_0"/>
      <w:bookmarkStart w:id="83" w:name="Tc_4Kg2hDh75EWzEYiZ4NUfug_22_0"/>
      <w:bookmarkStart w:id="84" w:name="Tc_AbucjKmh5EW8n_475u-s8g_21_5"/>
      <w:bookmarkStart w:id="85" w:name="Tc_6sHYN--FpU-aobHEQEfi9A_21_2"/>
      <w:bookmarkStart w:id="86" w:name="Tc_feYrWZBuH0KynHbTJryJQA_21_0"/>
      <w:bookmarkStart w:id="87" w:name="Tc_BXiUIpNmzkGaGAi7YqnNnA_20_0"/>
      <w:bookmarkStart w:id="88" w:name="Tc_RnwwGquEIUWxlDwy0ThMGg_19_0"/>
      <w:bookmarkStart w:id="89" w:name="Tc_X_CaMETAqUOb-ovf7mc-mw_18_5"/>
      <w:bookmarkStart w:id="90" w:name="Tc_83DZ1O9kk0WO_FVHb815lg_18_2"/>
      <w:bookmarkStart w:id="91" w:name="Tc_h4n_A4FXS0-PuVMxeOLcVw_18_0"/>
      <w:bookmarkStart w:id="92" w:name="Tc_FLKuYjh2EUCp0iM_UN-0cQ_17_0"/>
      <w:bookmarkStart w:id="93" w:name="Tc_JjJ_eocVwU6_oXo1IyxHgw_16_0"/>
      <w:bookmarkStart w:id="94" w:name="Tc_mkLuOXC9Iki3K0Xh3FcMpg_15_0"/>
      <w:bookmarkStart w:id="95" w:name="Tc_NrMHwcRPCEOFcuwwgevaPg_14_6"/>
      <w:bookmarkStart w:id="96" w:name="Tc_-oWW6Xgej0-kQT4Ffja40Q_14_0"/>
      <w:bookmarkStart w:id="97" w:name="Tc_NllfO0WQM0GXmG3aw57PTQ_13_0"/>
      <w:bookmarkStart w:id="98" w:name="Tc_VnILfoYEZEGsG0AaNCg8uw_12_0"/>
      <w:bookmarkStart w:id="99" w:name="Tc_PrMhnBl7akaUyCmyWKbS6w_11_0"/>
      <w:bookmarkStart w:id="100" w:name="Tc_QF-8Ge_uIkiv5v3BL5WtGg_10_0"/>
      <w:bookmarkStart w:id="101" w:name="Tc_Xni0Urh6b0eQ5AI4eYmcKg_9_0"/>
      <w:bookmarkStart w:id="102" w:name="Tc_IPKSUkQQFkGTRSd6RvxLLA_8_0"/>
      <w:bookmarkStart w:id="103" w:name="Tc_3aWuvO9EgU-hl1wc3vj6ZQ_7_0"/>
      <w:bookmarkStart w:id="104" w:name="Tc_hElrebOqF0SuldvgvFLXBw_6_0"/>
      <w:bookmarkStart w:id="105" w:name="Tc_vEB6wLHoy0uGBJdvyFrXjg_5_5"/>
      <w:bookmarkStart w:id="106" w:name="Tc_cVGpsNuPXUKPiq0Q7xwD-g_5_2"/>
      <w:bookmarkStart w:id="107" w:name="Tc_PRSnXuRSYkWHUPKI8_JlBg_5_0"/>
      <w:bookmarkStart w:id="108" w:name="Tc_QeOCXCT2a0aehph8i7BxxQ_4_0"/>
      <w:bookmarkStart w:id="109" w:name="Tc_k1RlGV9vRE-Yu6v1CZAzcQ_3_0"/>
      <w:bookmarkStart w:id="110" w:name="Tc_z-xwyF1aS021Vc10WiXjtQ_2_5"/>
      <w:bookmarkStart w:id="111" w:name="Tc_ONDvfytWTkmXmKNG_PG37A_2_2"/>
      <w:bookmarkStart w:id="112" w:name="Tc_tRmFc3oNWEarVnHjiaciOg_1_5"/>
      <w:bookmarkStart w:id="113" w:name="Tc_ZTID8nD_1ky4qGfrIbdMHQ_1_2"/>
      <w:bookmarkStart w:id="114" w:name="_b705ee01_5baf_4812_b92d_33e067ab5788"/>
      <w:bookmarkStart w:id="115" w:name="Tc_329kBH42O0uJWBDjbVfwSg_41_5"/>
      <w:bookmarkStart w:id="116" w:name="Tc_KeFM6vBmsUCh2WleEWb_Lg_41_2"/>
      <w:bookmarkStart w:id="117" w:name="Tc_TxsdjvGo9EqQ3C7lE1vV_w_41_0"/>
      <w:bookmarkStart w:id="118" w:name="Tc_ju4V4Lo9IkCWpiO5fX8yYg_40_0"/>
      <w:bookmarkStart w:id="119" w:name="Tc_Pc_bxukwyUm58F_vvIdV6Q_39_0"/>
      <w:bookmarkStart w:id="120" w:name="Tc_pjYUW-bO3E-axbDtNxXEAg_38_0"/>
      <w:bookmarkStart w:id="121" w:name="Tc_MHOxsNDXEk28qsd_VbG_bA_37_0"/>
      <w:bookmarkStart w:id="122" w:name="Tc_fONA4Tcu2k2QKwXAp_W18A_36_0"/>
      <w:bookmarkStart w:id="123" w:name="Narr_nPKafgTNc0uMh_dnXgJleQ"/>
      <w:bookmarkStart w:id="124" w:name="Narr_QkwBaX8yJ0OhIJu66iHWzA"/>
      <w:bookmarkStart w:id="125" w:name="Tc_OyPFYwuVGkKbEnPa97iB2Q_35_0"/>
      <w:bookmarkStart w:id="126" w:name="Tc_WuBcsfIipEms_v4t6Xp_vQ_34_0"/>
      <w:bookmarkStart w:id="127" w:name="Tc_-CPfH9ouIkmw8FCRknGJEg_33_0"/>
      <w:bookmarkStart w:id="128" w:name="Tc_46AypV4FbEq31QGj78gdag_32_0"/>
      <w:bookmarkStart w:id="129" w:name="Tc_ySGWQF1wt0GPI-rWhMDlVA_31_0"/>
      <w:bookmarkStart w:id="130" w:name="Tc_PhszKz3XE0mNC2SSy7-Rqg_30_6"/>
      <w:bookmarkStart w:id="131" w:name="Tc_Jek2nw7zI0-M680PNSaQDA_30_0"/>
      <w:bookmarkStart w:id="132" w:name="Tc_Zg_Qipj4lECK-cq7QUZt1A_29_0"/>
      <w:bookmarkStart w:id="133" w:name="Tc__oMBE0qR2UOY2kmmRXTBTw_28_0"/>
      <w:bookmarkStart w:id="134" w:name="Tc_qeCbwy_HukWs_beoEbxGnA_27_0"/>
      <w:bookmarkStart w:id="135" w:name="Tc_48bxZlsNEUGDzkw7GMqJMA_26_0"/>
      <w:bookmarkStart w:id="136" w:name="Tc_nXRPllKa9UC4RwmOGApQwg_25_0"/>
      <w:bookmarkStart w:id="137" w:name="Tc_uAlf-z2-fEWwjDhLFdp__Q_24_6"/>
      <w:bookmarkStart w:id="138" w:name="Tc_ZWERALphvEC1Mz577MT4jw_24_0"/>
      <w:bookmarkStart w:id="139" w:name="Tc_jJl1LYN5ZkuzmGxAcM2CfQ_23_0"/>
      <w:bookmarkStart w:id="140" w:name="Tc_4Kg2hDh75EWzEYiZ4NUfug_22_0"/>
      <w:bookmarkStart w:id="141" w:name="Tc_AbucjKmh5EW8n_475u-s8g_21_5"/>
      <w:bookmarkStart w:id="142" w:name="Tc_6sHYN--FpU-aobHEQEfi9A_21_2"/>
      <w:bookmarkStart w:id="143" w:name="Tc_feYrWZBuH0KynHbTJryJQA_21_0"/>
      <w:bookmarkStart w:id="144" w:name="Tc_BXiUIpNmzkGaGAi7YqnNnA_20_0"/>
      <w:bookmarkStart w:id="145" w:name="Tc_RnwwGquEIUWxlDwy0ThMGg_19_0"/>
      <w:bookmarkStart w:id="146" w:name="Tc_X_CaMETAqUOb-ovf7mc-mw_18_5"/>
      <w:bookmarkStart w:id="147" w:name="Tc_83DZ1O9kk0WO_FVHb815lg_18_2"/>
      <w:bookmarkStart w:id="148" w:name="Tc_h4n_A4FXS0-PuVMxeOLcVw_18_0"/>
      <w:bookmarkStart w:id="149" w:name="Tc_FLKuYjh2EUCp0iM_UN-0cQ_17_0"/>
      <w:bookmarkStart w:id="150" w:name="Tc_JjJ_eocVwU6_oXo1IyxHgw_16_0"/>
      <w:bookmarkStart w:id="151" w:name="Tc_mkLuOXC9Iki3K0Xh3FcMpg_15_0"/>
      <w:bookmarkStart w:id="152" w:name="Tc_NrMHwcRPCEOFcuwwgevaPg_14_6"/>
      <w:bookmarkStart w:id="153" w:name="Tc_-oWW6Xgej0-kQT4Ffja40Q_14_0"/>
      <w:bookmarkStart w:id="154" w:name="Tc_NllfO0WQM0GXmG3aw57PTQ_13_0"/>
      <w:bookmarkStart w:id="155" w:name="Tc_VnILfoYEZEGsG0AaNCg8uw_12_0"/>
      <w:bookmarkStart w:id="156" w:name="Tc_PrMhnBl7akaUyCmyWKbS6w_11_0"/>
      <w:bookmarkStart w:id="157" w:name="Tc_QF-8Ge_uIkiv5v3BL5WtGg_10_0"/>
      <w:bookmarkStart w:id="158" w:name="Tc_Xni0Urh6b0eQ5AI4eYmcKg_9_0"/>
      <w:bookmarkStart w:id="159" w:name="Tc_IPKSUkQQFkGTRSd6RvxLLA_8_0"/>
      <w:bookmarkStart w:id="160" w:name="Tc_3aWuvO9EgU-hl1wc3vj6ZQ_7_0"/>
      <w:bookmarkStart w:id="161" w:name="Tc_hElrebOqF0SuldvgvFLXBw_6_0"/>
      <w:bookmarkStart w:id="162" w:name="Tc_vEB6wLHoy0uGBJdvyFrXjg_5_5"/>
      <w:bookmarkStart w:id="163" w:name="Tc_cVGpsNuPXUKPiq0Q7xwD-g_5_2"/>
      <w:bookmarkStart w:id="164" w:name="Tc_PRSnXuRSYkWHUPKI8_JlBg_5_0"/>
      <w:bookmarkStart w:id="165" w:name="Tc_QeOCXCT2a0aehph8i7BxxQ_4_0"/>
      <w:bookmarkStart w:id="166" w:name="Tc_k1RlGV9vRE-Yu6v1CZAzcQ_3_0"/>
      <w:bookmarkStart w:id="167" w:name="Tc_z-xwyF1aS021Vc10WiXjtQ_2_5"/>
      <w:bookmarkStart w:id="168" w:name="Tc_ONDvfytWTkmXmKNG_PG37A_2_2"/>
      <w:bookmarkStart w:id="169" w:name="Tc_tRmFc3oNWEarVnHjiaciOg_1_5"/>
      <w:bookmarkStart w:id="170" w:name="Tc_ZTID8nD_1ky4qGfrIbdMHQ_1_2"/>
      <w:bookmarkStart w:id="171" w:name="_b705ee01_5baf_4812_b92d_33e067ab5788"/>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tbl>
      <w:tblPr>
        <w:tblW w:w="10205" w:type="dxa"/>
        <w:jc w:val="left"/>
        <w:tblInd w:w="0" w:type="dxa"/>
        <w:tblCellMar>
          <w:top w:w="0" w:type="dxa"/>
          <w:left w:w="0" w:type="dxa"/>
          <w:bottom w:w="0" w:type="dxa"/>
          <w:right w:w="0" w:type="dxa"/>
        </w:tblCellMar>
      </w:tblPr>
      <w:tblGrid>
        <w:gridCol w:w="7374"/>
        <w:gridCol w:w="326"/>
        <w:gridCol w:w="211"/>
        <w:gridCol w:w="786"/>
        <w:gridCol w:w="326"/>
        <w:gridCol w:w="217"/>
        <w:gridCol w:w="810"/>
        <w:gridCol w:w="155"/>
      </w:tblGrid>
      <w:tr>
        <w:trPr/>
        <w:tc>
          <w:tcPr>
            <w:tcW w:w="73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9110" cy="175260"/>
                      <wp:effectExtent l="0" t="0" r="0" b="0"/>
                      <wp:wrapNone/>
                      <wp:docPr id="11" name="Frame11"/>
                      <a:graphic xmlns:a="http://schemas.openxmlformats.org/drawingml/2006/main">
                        <a:graphicData uri="http://schemas.microsoft.com/office/word/2010/wordprocessingShape">
                          <wps:wsp>
                            <wps:cNvSpPr txBox="1"/>
                            <wps:spPr>
                              <a:xfrm>
                                <a:off x="0" y="0"/>
                                <a:ext cx="499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7795" cy="175260"/>
                      <wp:effectExtent l="0" t="0" r="0" b="0"/>
                      <wp:wrapNone/>
                      <wp:docPr id="13" name="Frame13"/>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14350" cy="175260"/>
                      <wp:effectExtent l="0" t="0" r="0" b="0"/>
                      <wp:wrapNone/>
                      <wp:docPr id="14" name="Frame14"/>
                      <a:graphic xmlns:a="http://schemas.openxmlformats.org/drawingml/2006/main">
                        <a:graphicData uri="http://schemas.microsoft.com/office/word/2010/wordprocessingShape">
                          <wps:wsp>
                            <wps:cNvSpPr txBox="1"/>
                            <wps:spPr>
                              <a:xfrm>
                                <a:off x="0" y="0"/>
                                <a:ext cx="5143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8425" cy="175260"/>
                      <wp:effectExtent l="0" t="0" r="0" b="0"/>
                      <wp:wrapNone/>
                      <wp:docPr id="15" name="Frame15"/>
                      <a:graphic xmlns:a="http://schemas.openxmlformats.org/drawingml/2006/main">
                        <a:graphicData uri="http://schemas.microsoft.com/office/word/2010/wordprocessingShape">
                          <wps:wsp>
                            <wps:cNvSpPr txBox="1"/>
                            <wps:spPr>
                              <a:xfrm>
                                <a:off x="0" y="0"/>
                                <a:ext cx="984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3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326" w:type="dxa"/>
            <w:tcBorders/>
            <w:shd w:fill="auto" w:val="clear"/>
            <w:vAlign w:val="center"/>
          </w:tcPr>
          <w:p>
            <w:pPr>
              <w:pStyle w:val="TableContents"/>
              <w:spacing w:before="0" w:after="0"/>
              <w:ind w:left="0" w:right="0" w:hanging="0"/>
              <w:rPr/>
            </w:pPr>
            <w:r>
              <w:rPr/>
              <w:t>​</w:t>
            </w:r>
          </w:p>
        </w:tc>
        <w:tc>
          <w:tcPr>
            <w:tcW w:w="102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0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w:t>
            </w:r>
          </w:p>
        </w:tc>
        <w:tc>
          <w:tcPr>
            <w:tcW w:w="810" w:type="dxa"/>
            <w:tcBorders/>
            <w:shd w:fill="CCEEFF" w:val="clear"/>
            <w:vAlign w:val="center"/>
          </w:tcPr>
          <w:p>
            <w:pPr>
              <w:pStyle w:val="TableContents"/>
              <w:spacing w:before="0" w:after="0"/>
              <w:ind w:left="0" w:right="0" w:hanging="0"/>
              <w:jc w:val="right"/>
              <w:rPr/>
            </w:pPr>
            <w:r>
              <w:rPr/>
              <w:t>​</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assets:</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17"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18,658</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43,952</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Trade receivables,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139,016</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60,753</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Inventories,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140,067</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109,556</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receivable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4,065</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4,039</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11,578</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10,766</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313,384</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229,066</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67,841</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63,506</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method investment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23,904</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23,362</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10,619</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10,603</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33,310</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right"/>
              <w:rPr/>
            </w:pPr>
            <w:r>
              <w:rPr/>
              <w:t>—</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129,592</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128,871</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331,589</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338,310</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4,612</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914,851</w:t>
            </w:r>
          </w:p>
        </w:tc>
        <w:tc>
          <w:tcPr>
            <w:tcW w:w="326" w:type="dxa"/>
            <w:tcBorders/>
            <w:shd w:fill="auto" w:val="clear"/>
            <w:vAlign w:val="center"/>
          </w:tcPr>
          <w:p>
            <w:pPr>
              <w:pStyle w:val="TableContents"/>
              <w:spacing w:before="0" w:after="0"/>
              <w:ind w:left="0" w:right="0" w:hanging="0"/>
              <w:rPr/>
            </w:pPr>
            <w:r>
              <w:rPr/>
              <w:t>​</w:t>
            </w:r>
          </w:p>
        </w:tc>
        <w:tc>
          <w:tcPr>
            <w:tcW w:w="21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794,483</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pPr>
            <w:r>
              <w:rPr/>
              <w:t>  </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55,849</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37,998</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 – related party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maturities of long-term debt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17,220</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operating lease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6,784</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right"/>
              <w:rPr/>
            </w:pPr>
            <w:r>
              <w:rPr/>
              <w:t>—</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57,261</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59,097</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124,044</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115,165</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debt, net of discount, debt issuance costs and current portion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320,891</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263,188</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 tax liabilities,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56,343</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56,343</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Liability for uncertain tax positions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5,732</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5,689</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Non-current operating lease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27,031</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right"/>
              <w:rPr/>
            </w:pPr>
            <w:r>
              <w:rPr/>
              <w:t>—</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534,755</w:t>
            </w:r>
          </w:p>
        </w:tc>
        <w:tc>
          <w:tcPr>
            <w:tcW w:w="326" w:type="dxa"/>
            <w:tcBorders/>
            <w:shd w:fill="auto" w:val="clear"/>
            <w:vAlign w:val="center"/>
          </w:tcPr>
          <w:p>
            <w:pPr>
              <w:pStyle w:val="TableContents"/>
              <w:spacing w:before="0" w:after="0"/>
              <w:ind w:left="0" w:right="0" w:hanging="0"/>
              <w:rPr/>
            </w:pPr>
            <w:r>
              <w:rPr/>
              <w:t>​</w:t>
            </w:r>
          </w:p>
        </w:tc>
        <w:tc>
          <w:tcPr>
            <w:tcW w:w="21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440,838</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Commitments and contingencies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pPr>
            <w:r>
              <w:rPr/>
              <w:t>  </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Preferred stock, $0.0001 par value; 100,000,000 shares authorized as of both April 2, 2022 and December 31, 2021; no shares issued and outstanding as of both April 2, 2022 and December 31, 2021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w:t>
            </w:r>
          </w:p>
        </w:tc>
        <w:tc>
          <w:tcPr>
            <w:tcW w:w="810" w:type="dxa"/>
            <w:tcBorders/>
            <w:shd w:fill="CCEEFF" w:val="clear"/>
            <w:vAlign w:val="center"/>
          </w:tcPr>
          <w:p>
            <w:pPr>
              <w:pStyle w:val="TableContents"/>
              <w:spacing w:before="0" w:after="0"/>
              <w:ind w:left="0" w:right="0" w:hanging="0"/>
              <w:jc w:val="right"/>
              <w:rPr>
                <w:caps w:val="false"/>
                <w:smallCaps w:val="false"/>
              </w:rPr>
            </w:pPr>
            <w:r>
              <w:rPr>
                <w:caps w:val="false"/>
                <w:smallCaps w:val="false"/>
              </w:rPr>
              <w:t>—</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Common stock, $0.0001 par value; 900,000,000 shares authorized as of April 2, 2022 and December 31, 2021; 119,469,747 and 119,445,611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April 2, 2022 and December 31, 2021, respectively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430,208</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401,846</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(51,714)</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(48,583)</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155" w:type="dxa"/>
            <w:tcBorders/>
            <w:shd w:fill="CCEEFF" w:val="clear"/>
            <w:vAlign w:val="center"/>
          </w:tcPr>
          <w:p>
            <w:pPr>
              <w:pStyle w:val="TableContents"/>
              <w:spacing w:before="0" w:after="0"/>
              <w:ind w:left="0" w:right="0" w:hanging="0"/>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380,096</w:t>
            </w:r>
          </w:p>
        </w:tc>
        <w:tc>
          <w:tcPr>
            <w:tcW w:w="326" w:type="dxa"/>
            <w:tcBorders/>
            <w:shd w:fill="auto" w:val="clear"/>
            <w:vAlign w:val="center"/>
          </w:tcPr>
          <w:p>
            <w:pPr>
              <w:pStyle w:val="TableContents"/>
              <w:spacing w:before="0" w:after="0"/>
              <w:ind w:left="0" w:right="0" w:hanging="0"/>
              <w:rPr/>
            </w:pPr>
            <w:r>
              <w:rPr/>
              <w:t>​</w:t>
            </w:r>
          </w:p>
        </w:tc>
        <w:tc>
          <w:tcPr>
            <w:tcW w:w="21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353,645</w:t>
            </w:r>
          </w:p>
        </w:tc>
        <w:tc>
          <w:tcPr>
            <w:tcW w:w="155" w:type="dxa"/>
            <w:tcBorders/>
            <w:shd w:fill="auto" w:val="clear"/>
            <w:vAlign w:val="center"/>
          </w:tcPr>
          <w:p>
            <w:pPr>
              <w:pStyle w:val="TableContents"/>
              <w:spacing w:before="0" w:after="0"/>
              <w:ind w:left="0" w:right="0" w:hanging="0"/>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914,851</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794,483</w:t>
            </w:r>
          </w:p>
        </w:tc>
        <w:tc>
          <w:tcPr>
            <w:tcW w:w="155"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72" w:name="_c9aea662_e63c_481e_a81d_598da4758e68"/>
      <w:bookmarkEnd w:id="172"/>
      <w:r>
        <w:rPr>
          <w:rFonts w:ascii="Times New Roman;Times;serif" w:hAnsi="Times New Roman;Times;serif"/>
          <w:b/>
          <w:sz w:val="20"/>
        </w:rPr>
        <w:t>Latham Group, Inc.</w:t>
      </w:r>
    </w:p>
    <w:p>
      <w:pPr>
        <w:pStyle w:val="TextBody"/>
        <w:spacing w:before="0" w:after="0"/>
        <w:ind w:left="0" w:right="0" w:hanging="0"/>
        <w:jc w:val="center"/>
        <w:rPr>
          <w:rFonts w:ascii="Times New Roman;Times;serif" w:hAnsi="Times New Roman;Times;serif"/>
          <w:b/>
          <w:sz w:val="20"/>
        </w:rPr>
      </w:pPr>
      <w:bookmarkStart w:id="173" w:name="CondensedConsolidatedStatementsofOperati"/>
      <w:bookmarkEnd w:id="173"/>
      <w:r>
        <w:rPr>
          <w:rFonts w:ascii="Times New Roman;Times;serif" w:hAnsi="Times New Roman;Times;serif"/>
          <w:b/>
          <w:sz w:val="20"/>
        </w:rPr>
        <w:t>Condensed Consolidated Statements of Operations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174" w:name="Tc_4w9lp5rN2E6Q9Kd7MjK-JA_24_0"/>
      <w:bookmarkStart w:id="175" w:name="Tc_6Q-p2lPO-0KOWloBY4zw_Q_23_0"/>
      <w:bookmarkStart w:id="176" w:name="Tc_HCEblMkYaUibMTQI6VHHNQ_22_0"/>
      <w:bookmarkStart w:id="177" w:name="Tc_WL4a_D5WA0WpjnPYGCnhig_21_5"/>
      <w:bookmarkStart w:id="178" w:name="Tc_GsLuS6IIfE6jj69uHljOHw_21_2"/>
      <w:bookmarkStart w:id="179" w:name="Tc_mc4C-iHAw02fN_ihUXXshg_21_0"/>
      <w:bookmarkStart w:id="180" w:name="Tc_rVa2nMMPyk-yfK21SletHA_20_5"/>
      <w:bookmarkStart w:id="181" w:name="Tc_az3oqO6NkUCzCdzaF7D2dw_20_2"/>
      <w:bookmarkStart w:id="182" w:name="Tc_W0QHK1CuFkyF2LlcZYYqjQ_20_0"/>
      <w:bookmarkStart w:id="183" w:name="Tc_2TF2A5l1_0edJzXlYBBALA_19_0"/>
      <w:bookmarkStart w:id="184" w:name="Tc_K2qhhkVlY06SBdOLKtSGqQ_18_5"/>
      <w:bookmarkStart w:id="185" w:name="Tc_ltG3W1QLoEafAgCaNwmLWg_18_2"/>
      <w:bookmarkStart w:id="186" w:name="Tc_bvQa1r831ECGDJVb78z1Pw_18_0"/>
      <w:bookmarkStart w:id="187" w:name="Tc_pUiM-_YxN0iRY68KQcXo7Q_17_0"/>
      <w:bookmarkStart w:id="188" w:name="Tc_laswlGdxoEqI2ZFIk2-HZg_16_0"/>
      <w:bookmarkStart w:id="189" w:name="Tc_2_Sg06p4OUGgLfwDs4uqvA_15_0"/>
      <w:bookmarkStart w:id="190" w:name="Tc_1XnMKlQsdEOAIyy7Tew83g_14_0"/>
      <w:bookmarkStart w:id="191" w:name="Tc_aCiF6yWuMU2946wyxTJpjg_13_0"/>
      <w:bookmarkStart w:id="192" w:name="Tc_kWz4eohuy0q_j8v15jgqoQ_12_6"/>
      <w:bookmarkStart w:id="193" w:name="Tc_hOb7Y0NlT02MXgG7X_ZUrA_12_0"/>
      <w:bookmarkStart w:id="194" w:name="Tc_XfSOsQkGck6ltYUd9zwh2g_11_0"/>
      <w:bookmarkStart w:id="195" w:name="Tc_HyDx79SAxUKYmEofS_n5zg_10_0"/>
      <w:bookmarkStart w:id="196" w:name="Tc_J8-ArXk_xUyMGRv2uUceQg_9_0"/>
      <w:bookmarkStart w:id="197" w:name="Tc_V8kFI6T8RUu7wxkAC8DHJg_8_0"/>
      <w:bookmarkStart w:id="198" w:name="Tc_czlyrCa70UGtwF1kfKkK7g_7_6"/>
      <w:bookmarkStart w:id="199" w:name="Tc_3YsLvH8auUSBh7Uywc79yg_7_0"/>
      <w:bookmarkStart w:id="200" w:name="Tc_mKKP7u17bkOfDoo0nmqK_w_6_0"/>
      <w:bookmarkStart w:id="201" w:name="Tc_0Wu35XY6qke--UkCsJPtNQ_5_0"/>
      <w:bookmarkStart w:id="202" w:name="Tc_5zBbPWCS30KTqWSKP7R25Q_4_0"/>
      <w:bookmarkStart w:id="203" w:name="Tc_rDfKwzIzI0-GhrRxp1vXKg_3_5"/>
      <w:bookmarkStart w:id="204" w:name="Tc_zRhjLazaq0mHlYH2VEVWKg_3_2"/>
      <w:bookmarkStart w:id="205" w:name="Tc_QkYwoyLunkGT2cwtsSBEnA_3_0"/>
      <w:bookmarkStart w:id="206" w:name="Tc_4zEWD5vQDUC33vwGcm2gOw_2_5"/>
      <w:bookmarkStart w:id="207" w:name="Tc_uKetyglXRkqE3NFiAemKGQ_2_2"/>
      <w:bookmarkStart w:id="208" w:name="Tc_MjDfRdp5FkaB36FzalXc6w_1_2"/>
      <w:bookmarkStart w:id="209" w:name="_d350df35_561a_4894_942c_5aafb7aa9e37"/>
      <w:bookmarkStart w:id="210" w:name="Tc_4w9lp5rN2E6Q9Kd7MjK-JA_24_0"/>
      <w:bookmarkStart w:id="211" w:name="Tc_6Q-p2lPO-0KOWloBY4zw_Q_23_0"/>
      <w:bookmarkStart w:id="212" w:name="Tc_HCEblMkYaUibMTQI6VHHNQ_22_0"/>
      <w:bookmarkStart w:id="213" w:name="Tc_WL4a_D5WA0WpjnPYGCnhig_21_5"/>
      <w:bookmarkStart w:id="214" w:name="Tc_GsLuS6IIfE6jj69uHljOHw_21_2"/>
      <w:bookmarkStart w:id="215" w:name="Tc_mc4C-iHAw02fN_ihUXXshg_21_0"/>
      <w:bookmarkStart w:id="216" w:name="Tc_rVa2nMMPyk-yfK21SletHA_20_5"/>
      <w:bookmarkStart w:id="217" w:name="Tc_az3oqO6NkUCzCdzaF7D2dw_20_2"/>
      <w:bookmarkStart w:id="218" w:name="Tc_W0QHK1CuFkyF2LlcZYYqjQ_20_0"/>
      <w:bookmarkStart w:id="219" w:name="Tc_2TF2A5l1_0edJzXlYBBALA_19_0"/>
      <w:bookmarkStart w:id="220" w:name="Tc_K2qhhkVlY06SBdOLKtSGqQ_18_5"/>
      <w:bookmarkStart w:id="221" w:name="Tc_ltG3W1QLoEafAgCaNwmLWg_18_2"/>
      <w:bookmarkStart w:id="222" w:name="Tc_bvQa1r831ECGDJVb78z1Pw_18_0"/>
      <w:bookmarkStart w:id="223" w:name="Tc_pUiM-_YxN0iRY68KQcXo7Q_17_0"/>
      <w:bookmarkStart w:id="224" w:name="Tc_laswlGdxoEqI2ZFIk2-HZg_16_0"/>
      <w:bookmarkStart w:id="225" w:name="Tc_2_Sg06p4OUGgLfwDs4uqvA_15_0"/>
      <w:bookmarkStart w:id="226" w:name="Tc_1XnMKlQsdEOAIyy7Tew83g_14_0"/>
      <w:bookmarkStart w:id="227" w:name="Tc_aCiF6yWuMU2946wyxTJpjg_13_0"/>
      <w:bookmarkStart w:id="228" w:name="Tc_kWz4eohuy0q_j8v15jgqoQ_12_6"/>
      <w:bookmarkStart w:id="229" w:name="Tc_hOb7Y0NlT02MXgG7X_ZUrA_12_0"/>
      <w:bookmarkStart w:id="230" w:name="Tc_XfSOsQkGck6ltYUd9zwh2g_11_0"/>
      <w:bookmarkStart w:id="231" w:name="Tc_HyDx79SAxUKYmEofS_n5zg_10_0"/>
      <w:bookmarkStart w:id="232" w:name="Tc_J8-ArXk_xUyMGRv2uUceQg_9_0"/>
      <w:bookmarkStart w:id="233" w:name="Tc_V8kFI6T8RUu7wxkAC8DHJg_8_0"/>
      <w:bookmarkStart w:id="234" w:name="Tc_czlyrCa70UGtwF1kfKkK7g_7_6"/>
      <w:bookmarkStart w:id="235" w:name="Tc_3YsLvH8auUSBh7Uywc79yg_7_0"/>
      <w:bookmarkStart w:id="236" w:name="Tc_mKKP7u17bkOfDoo0nmqK_w_6_0"/>
      <w:bookmarkStart w:id="237" w:name="Tc_0Wu35XY6qke--UkCsJPtNQ_5_0"/>
      <w:bookmarkStart w:id="238" w:name="Tc_5zBbPWCS30KTqWSKP7R25Q_4_0"/>
      <w:bookmarkStart w:id="239" w:name="Tc_rDfKwzIzI0-GhrRxp1vXKg_3_5"/>
      <w:bookmarkStart w:id="240" w:name="Tc_zRhjLazaq0mHlYH2VEVWKg_3_2"/>
      <w:bookmarkStart w:id="241" w:name="Tc_QkYwoyLunkGT2cwtsSBEnA_3_0"/>
      <w:bookmarkStart w:id="242" w:name="Tc_4zEWD5vQDUC33vwGcm2gOw_2_5"/>
      <w:bookmarkStart w:id="243" w:name="Tc_uKetyglXRkqE3NFiAemKGQ_2_2"/>
      <w:bookmarkStart w:id="244" w:name="Tc_MjDfRdp5FkaB36FzalXc6w_1_2"/>
      <w:bookmarkStart w:id="245" w:name="_d350df35_561a_4894_942c_5aafb7aa9e37"/>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tbl>
      <w:tblPr>
        <w:tblW w:w="8956" w:type="dxa"/>
        <w:jc w:val="left"/>
        <w:tblInd w:w="0" w:type="dxa"/>
        <w:tblCellMar>
          <w:top w:w="0" w:type="dxa"/>
          <w:left w:w="0" w:type="dxa"/>
          <w:bottom w:w="0" w:type="dxa"/>
          <w:right w:w="0" w:type="dxa"/>
        </w:tblCellMar>
      </w:tblPr>
      <w:tblGrid>
        <w:gridCol w:w="5506"/>
        <w:gridCol w:w="266"/>
        <w:gridCol w:w="211"/>
        <w:gridCol w:w="1141"/>
        <w:gridCol w:w="326"/>
        <w:gridCol w:w="211"/>
        <w:gridCol w:w="1141"/>
        <w:gridCol w:w="154"/>
      </w:tblGrid>
      <w:tr>
        <w:trPr/>
        <w:tc>
          <w:tcPr>
            <w:tcW w:w="550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68910" cy="175260"/>
                      <wp:effectExtent l="0" t="0" r="0" b="0"/>
                      <wp:wrapNone/>
                      <wp:docPr id="16" name="Frame16"/>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24535" cy="175260"/>
                      <wp:effectExtent l="0" t="0" r="0" b="0"/>
                      <wp:wrapNone/>
                      <wp:docPr id="18" name="Frame18"/>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24535" cy="175260"/>
                      <wp:effectExtent l="0" t="0" r="0" b="0"/>
                      <wp:wrapNone/>
                      <wp:docPr id="21" name="Frame21"/>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7790" cy="175260"/>
                      <wp:effectExtent l="0" t="0" r="0" b="0"/>
                      <wp:wrapNone/>
                      <wp:docPr id="22" name="Frame22"/>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0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303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54" w:type="dxa"/>
            <w:tcBorders/>
            <w:shd w:fill="auto" w:val="clear"/>
            <w:vAlign w:val="center"/>
          </w:tcPr>
          <w:p>
            <w:pPr>
              <w:pStyle w:val="TableContents"/>
              <w:spacing w:before="0" w:after="0"/>
              <w:ind w:left="0" w:right="0" w:hanging="0"/>
              <w:rPr/>
            </w:pPr>
            <w:r>
              <w:rPr/>
              <w:t>​</w:t>
            </w:r>
          </w:p>
        </w:tc>
      </w:tr>
      <w:tr>
        <w:trPr/>
        <w:tc>
          <w:tcPr>
            <w:tcW w:w="550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26" w:type="dxa"/>
            <w:tcBorders/>
            <w:shd w:fill="auto" w:val="clear"/>
            <w:vAlign w:val="center"/>
          </w:tcPr>
          <w:p>
            <w:pPr>
              <w:pStyle w:val="TableContents"/>
              <w:spacing w:before="0" w:after="0"/>
              <w:ind w:left="0" w:right="0" w:hanging="0"/>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 2021</w:t>
            </w:r>
          </w:p>
        </w:tc>
        <w:tc>
          <w:tcPr>
            <w:tcW w:w="154" w:type="dxa"/>
            <w:tcBorders/>
            <w:shd w:fill="auto" w:val="clear"/>
            <w:vAlign w:val="center"/>
          </w:tcPr>
          <w:p>
            <w:pPr>
              <w:pStyle w:val="TableContents"/>
              <w:spacing w:before="0" w:after="0"/>
              <w:ind w:left="0" w:right="0" w:hanging="0"/>
              <w:rPr/>
            </w:pPr>
            <w:r>
              <w:rPr/>
              <w:t>​</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191,614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148,746</w:t>
            </w:r>
          </w:p>
        </w:tc>
        <w:tc>
          <w:tcPr>
            <w:tcW w:w="154" w:type="dxa"/>
            <w:tcBorders/>
            <w:shd w:fill="CCEEFF" w:val="clear"/>
            <w:vAlign w:val="center"/>
          </w:tcPr>
          <w:p>
            <w:pPr>
              <w:pStyle w:val="TableContents"/>
              <w:spacing w:before="0" w:after="0"/>
              <w:ind w:left="0" w:right="0" w:hanging="0"/>
              <w:rPr/>
            </w:pPr>
            <w:r>
              <w:rPr/>
              <w:t>​</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sales</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120,960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96,306</w:t>
            </w:r>
          </w:p>
        </w:tc>
        <w:tc>
          <w:tcPr>
            <w:tcW w:w="154" w:type="dxa"/>
            <w:tcBorders/>
            <w:shd w:fill="auto" w:val="clear"/>
            <w:vAlign w:val="center"/>
          </w:tcPr>
          <w:p>
            <w:pPr>
              <w:pStyle w:val="TableContents"/>
              <w:spacing w:before="0" w:after="0"/>
              <w:ind w:left="0" w:right="0" w:hanging="0"/>
              <w:rPr/>
            </w:pPr>
            <w:r>
              <w:rPr/>
              <w:t>​</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70,654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52,440</w:t>
            </w:r>
          </w:p>
        </w:tc>
        <w:tc>
          <w:tcPr>
            <w:tcW w:w="154" w:type="dxa"/>
            <w:tcBorders/>
            <w:shd w:fill="CCEEFF" w:val="clear"/>
            <w:vAlign w:val="center"/>
          </w:tcPr>
          <w:p>
            <w:pPr>
              <w:pStyle w:val="TableContents"/>
              <w:spacing w:before="0" w:after="0"/>
              <w:ind w:left="0" w:right="0" w:hanging="0"/>
              <w:rPr/>
            </w:pPr>
            <w:r>
              <w:rPr/>
              <w:t>​</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 expense</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45,225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27,172</w:t>
            </w:r>
          </w:p>
        </w:tc>
        <w:tc>
          <w:tcPr>
            <w:tcW w:w="154" w:type="dxa"/>
            <w:tcBorders/>
            <w:shd w:fill="auto" w:val="clear"/>
            <w:vAlign w:val="center"/>
          </w:tcPr>
          <w:p>
            <w:pPr>
              <w:pStyle w:val="TableContents"/>
              <w:spacing w:before="0" w:after="0"/>
              <w:ind w:left="0" w:right="0" w:hanging="0"/>
              <w:rPr/>
            </w:pPr>
            <w:r>
              <w:rPr/>
              <w:t>​</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Underwriting fees related to offering of common stock</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11,437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7,192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5,595</w:t>
            </w:r>
          </w:p>
        </w:tc>
        <w:tc>
          <w:tcPr>
            <w:tcW w:w="154" w:type="dxa"/>
            <w:tcBorders/>
            <w:shd w:fill="auto" w:val="clear"/>
            <w:vAlign w:val="center"/>
          </w:tcPr>
          <w:p>
            <w:pPr>
              <w:pStyle w:val="TableContents"/>
              <w:spacing w:before="0" w:after="0"/>
              <w:ind w:left="0" w:right="0" w:hanging="0"/>
              <w:rPr/>
            </w:pPr>
            <w:r>
              <w:rPr/>
              <w:t>​</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from operations</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6,800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19,673</w:t>
            </w:r>
          </w:p>
        </w:tc>
        <w:tc>
          <w:tcPr>
            <w:tcW w:w="154" w:type="dxa"/>
            <w:tcBorders/>
            <w:shd w:fill="CCEEFF" w:val="clear"/>
            <w:vAlign w:val="center"/>
          </w:tcPr>
          <w:p>
            <w:pPr>
              <w:pStyle w:val="TableContents"/>
              <w:spacing w:before="0" w:after="0"/>
              <w:ind w:left="0" w:right="0" w:hanging="0"/>
              <w:rPr/>
            </w:pPr>
            <w:r>
              <w:rPr/>
              <w:t>​</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expense (income):</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9,056</w:t>
            </w:r>
          </w:p>
        </w:tc>
        <w:tc>
          <w:tcPr>
            <w:tcW w:w="154" w:type="dxa"/>
            <w:tcBorders/>
            <w:shd w:fill="CCEEFF" w:val="clear"/>
            <w:vAlign w:val="center"/>
          </w:tcPr>
          <w:p>
            <w:pPr>
              <w:pStyle w:val="TableContents"/>
              <w:spacing w:before="0" w:after="0"/>
              <w:ind w:left="0" w:right="0" w:hanging="0"/>
              <w:rPr/>
            </w:pPr>
            <w:r>
              <w:rPr/>
              <w:t>​</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extinguishment of debt</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expense, net</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154" w:type="dxa"/>
            <w:tcBorders/>
            <w:shd w:fill="CCEEFF" w:val="clear"/>
            <w:vAlign w:val="center"/>
          </w:tcPr>
          <w:p>
            <w:pPr>
              <w:pStyle w:val="TableContents"/>
              <w:spacing w:before="0" w:after="0"/>
              <w:ind w:left="0" w:right="0" w:hanging="0"/>
              <w:rPr/>
            </w:pPr>
            <w:r>
              <w:rPr/>
              <w:t>​</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expense, net</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4,875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8,501</w:t>
            </w:r>
          </w:p>
        </w:tc>
        <w:tc>
          <w:tcPr>
            <w:tcW w:w="154" w:type="dxa"/>
            <w:tcBorders/>
            <w:shd w:fill="auto" w:val="clear"/>
            <w:vAlign w:val="center"/>
          </w:tcPr>
          <w:p>
            <w:pPr>
              <w:pStyle w:val="TableContents"/>
              <w:spacing w:before="0" w:after="0"/>
              <w:ind w:left="0" w:right="0" w:hanging="0"/>
              <w:rPr/>
            </w:pPr>
            <w:r>
              <w:rPr/>
              <w:t>​</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Earnings from equity method investment</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154" w:type="dxa"/>
            <w:tcBorders/>
            <w:shd w:fill="CCEEFF" w:val="clear"/>
            <w:vAlign w:val="center"/>
          </w:tcPr>
          <w:p>
            <w:pPr>
              <w:pStyle w:val="TableContents"/>
              <w:spacing w:before="0" w:after="0"/>
              <w:ind w:left="0" w:right="0" w:hanging="0"/>
              <w:rPr/>
            </w:pPr>
            <w:r>
              <w:rPr/>
              <w:t>​</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before income taxes</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11,416</w:t>
            </w:r>
          </w:p>
        </w:tc>
        <w:tc>
          <w:tcPr>
            <w:tcW w:w="154" w:type="dxa"/>
            <w:tcBorders/>
            <w:shd w:fill="auto" w:val="clear"/>
            <w:vAlign w:val="center"/>
          </w:tcPr>
          <w:p>
            <w:pPr>
              <w:pStyle w:val="TableContents"/>
              <w:spacing w:before="0" w:after="0"/>
              <w:ind w:left="0" w:right="0" w:hanging="0"/>
              <w:rPr/>
            </w:pPr>
            <w:r>
              <w:rPr/>
              <w:t>​</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2,883</w:t>
            </w:r>
          </w:p>
        </w:tc>
        <w:tc>
          <w:tcPr>
            <w:tcW w:w="154" w:type="dxa"/>
            <w:tcBorders/>
            <w:shd w:fill="CCEEFF" w:val="clear"/>
            <w:vAlign w:val="center"/>
          </w:tcPr>
          <w:p>
            <w:pPr>
              <w:pStyle w:val="TableContents"/>
              <w:spacing w:before="0" w:after="0"/>
              <w:ind w:left="0" w:right="0" w:hanging="0"/>
              <w:rPr/>
            </w:pPr>
            <w:r>
              <w:rPr/>
              <w:t>​</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income</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8,533</w:t>
            </w:r>
          </w:p>
        </w:tc>
        <w:tc>
          <w:tcPr>
            <w:tcW w:w="154" w:type="dxa"/>
            <w:tcBorders/>
            <w:shd w:fill="auto" w:val="clear"/>
            <w:vAlign w:val="center"/>
          </w:tcPr>
          <w:p>
            <w:pPr>
              <w:pStyle w:val="TableContents"/>
              <w:spacing w:before="0" w:after="0"/>
              <w:ind w:left="0" w:right="0" w:hanging="0"/>
              <w:rPr/>
            </w:pPr>
            <w:r>
              <w:rPr/>
              <w:t>​</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income per share attributable to common stockholders:</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c>
          <w:tcPr>
            <w:tcW w:w="154" w:type="dxa"/>
            <w:tcBorders/>
            <w:shd w:fill="CCEEFF" w:val="clear"/>
            <w:vAlign w:val="center"/>
          </w:tcPr>
          <w:p>
            <w:pPr>
              <w:pStyle w:val="TableContents"/>
              <w:spacing w:before="0" w:after="0"/>
              <w:ind w:left="0" w:right="0" w:hanging="0"/>
              <w:rPr/>
            </w:pPr>
            <w:r>
              <w:rPr/>
              <w:t>​</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154" w:type="dxa"/>
            <w:tcBorders/>
            <w:shd w:fill="auto" w:val="clear"/>
            <w:vAlign w:val="center"/>
          </w:tcPr>
          <w:p>
            <w:pPr>
              <w:pStyle w:val="TableContents"/>
              <w:spacing w:before="0" w:after="0"/>
              <w:ind w:left="0" w:right="0" w:hanging="0"/>
              <w:rPr/>
            </w:pPr>
            <w:r>
              <w:rPr/>
              <w:t>​</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154" w:type="dxa"/>
            <w:tcBorders/>
            <w:shd w:fill="CCEEFF" w:val="clear"/>
            <w:vAlign w:val="center"/>
          </w:tcPr>
          <w:p>
            <w:pPr>
              <w:pStyle w:val="TableContents"/>
              <w:spacing w:before="0" w:after="0"/>
              <w:ind w:left="0" w:right="0" w:hanging="0"/>
              <w:rPr/>
            </w:pPr>
            <w:r>
              <w:rPr/>
              <w:t>​</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common shares outstanding – basic and diluted</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113,698,513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109,069,310</w:t>
            </w:r>
          </w:p>
        </w:tc>
        <w:tc>
          <w:tcPr>
            <w:tcW w:w="154" w:type="dxa"/>
            <w:tcBorders/>
            <w:shd w:fill="CCEEFF" w:val="clear"/>
            <w:vAlign w:val="center"/>
          </w:tcPr>
          <w:p>
            <w:pPr>
              <w:pStyle w:val="TableContents"/>
              <w:spacing w:before="0" w:after="0"/>
              <w:ind w:left="0" w:right="0" w:hanging="0"/>
              <w:rPr/>
            </w:pPr>
            <w:r>
              <w:rPr/>
              <w:t>​</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113,698,513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121,273,854</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46" w:name="_6eeb4734_832a_4ce6_b02d_0c3ebdf94fa0"/>
      <w:bookmarkEnd w:id="246"/>
      <w:r>
        <w:rPr>
          <w:rFonts w:ascii="Times New Roman;Times;serif" w:hAnsi="Times New Roman;Times;serif"/>
          <w:b/>
          <w:sz w:val="20"/>
        </w:rPr>
        <w:t>Latham Group, Inc.</w:t>
      </w:r>
    </w:p>
    <w:p>
      <w:pPr>
        <w:pStyle w:val="TextBody"/>
        <w:spacing w:before="0" w:after="0"/>
        <w:ind w:left="0" w:right="0" w:hanging="0"/>
        <w:jc w:val="center"/>
        <w:rPr>
          <w:rFonts w:ascii="Times New Roman;Times;serif" w:hAnsi="Times New Roman;Times;serif"/>
          <w:b/>
          <w:sz w:val="20"/>
        </w:rPr>
      </w:pPr>
      <w:bookmarkStart w:id="247" w:name="CondensedConsolidatedStatementsofCompreh"/>
      <w:bookmarkEnd w:id="247"/>
      <w:r>
        <w:rPr>
          <w:rFonts w:ascii="Times New Roman;Times;serif" w:hAnsi="Times New Roman;Times;serif"/>
          <w:b/>
          <w:sz w:val="20"/>
        </w:rPr>
        <w:t xml:space="preserve">Condensed Consolidated Statements of Comprehensive (Loss) Income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248" w:name="Tc_0Q3Wg8BlGkGR8TsLEsRHXQ_6_5"/>
      <w:bookmarkStart w:id="249" w:name="Tc_oOajp_pmcEGmZxEzfz08uA_6_2"/>
      <w:bookmarkStart w:id="250" w:name="Tc_wvZXmaJqaEKx1oa8VBP4kg_6_0"/>
      <w:bookmarkStart w:id="251" w:name="Tc_jLEPlxEftU-UFbPRqaMIeg_5_0"/>
      <w:bookmarkStart w:id="252" w:name="Tc_ZtPwnf7U6UWxBqJ-QrCjyg_4_0"/>
      <w:bookmarkStart w:id="253" w:name="Tc_wfZHcY62E0WuLkARCmnfPw_3_5"/>
      <w:bookmarkStart w:id="254" w:name="Tc_K-fPKBs1XkmZdKz7rDE88g_3_2"/>
      <w:bookmarkStart w:id="255" w:name="Tc_q2_j-_kKDEebumwuLw07AA_3_0"/>
      <w:bookmarkStart w:id="256" w:name="Tc_SOFo3OqzFk2OMpwDfE4u0A_2_5"/>
      <w:bookmarkStart w:id="257" w:name="Tc_XHCVJYTPmk-jDY1VZclHHA_2_2"/>
      <w:bookmarkStart w:id="258" w:name="Tc_bcvxUWVSCEC9gYtp5RqmXg_1_2"/>
      <w:bookmarkStart w:id="259" w:name="_feb9a36b_3dd2_4abb_b7cd_3b3bcca9646c"/>
      <w:bookmarkStart w:id="260" w:name="Tc_0Q3Wg8BlGkGR8TsLEsRHXQ_6_5"/>
      <w:bookmarkStart w:id="261" w:name="Tc_oOajp_pmcEGmZxEzfz08uA_6_2"/>
      <w:bookmarkStart w:id="262" w:name="Tc_wvZXmaJqaEKx1oa8VBP4kg_6_0"/>
      <w:bookmarkStart w:id="263" w:name="Tc_jLEPlxEftU-UFbPRqaMIeg_5_0"/>
      <w:bookmarkStart w:id="264" w:name="Tc_ZtPwnf7U6UWxBqJ-QrCjyg_4_0"/>
      <w:bookmarkStart w:id="265" w:name="Tc_wfZHcY62E0WuLkARCmnfPw_3_5"/>
      <w:bookmarkStart w:id="266" w:name="Tc_K-fPKBs1XkmZdKz7rDE88g_3_2"/>
      <w:bookmarkStart w:id="267" w:name="Tc_q2_j-_kKDEebumwuLw07AA_3_0"/>
      <w:bookmarkStart w:id="268" w:name="Tc_SOFo3OqzFk2OMpwDfE4u0A_2_5"/>
      <w:bookmarkStart w:id="269" w:name="Tc_XHCVJYTPmk-jDY1VZclHHA_2_2"/>
      <w:bookmarkStart w:id="270" w:name="Tc_bcvxUWVSCEC9gYtp5RqmXg_1_2"/>
      <w:bookmarkStart w:id="271" w:name="_feb9a36b_3dd2_4abb_b7cd_3b3bcca9646c"/>
      <w:bookmarkEnd w:id="260"/>
      <w:bookmarkEnd w:id="261"/>
      <w:bookmarkEnd w:id="262"/>
      <w:bookmarkEnd w:id="263"/>
      <w:bookmarkEnd w:id="264"/>
      <w:bookmarkEnd w:id="265"/>
      <w:bookmarkEnd w:id="266"/>
      <w:bookmarkEnd w:id="267"/>
      <w:bookmarkEnd w:id="268"/>
      <w:bookmarkEnd w:id="269"/>
      <w:bookmarkEnd w:id="270"/>
      <w:bookmarkEnd w:id="271"/>
    </w:p>
    <w:tbl>
      <w:tblPr>
        <w:tblW w:w="6762" w:type="dxa"/>
        <w:jc w:val="left"/>
        <w:tblInd w:w="0" w:type="dxa"/>
        <w:tblCellMar>
          <w:top w:w="0" w:type="dxa"/>
          <w:left w:w="0" w:type="dxa"/>
          <w:bottom w:w="0" w:type="dxa"/>
          <w:right w:w="0" w:type="dxa"/>
        </w:tblCellMar>
      </w:tblPr>
      <w:tblGrid>
        <w:gridCol w:w="3886"/>
        <w:gridCol w:w="266"/>
        <w:gridCol w:w="249"/>
        <w:gridCol w:w="816"/>
        <w:gridCol w:w="326"/>
        <w:gridCol w:w="249"/>
        <w:gridCol w:w="816"/>
        <w:gridCol w:w="154"/>
      </w:tblGrid>
      <w:tr>
        <w:trPr/>
        <w:tc>
          <w:tcPr>
            <w:tcW w:w="388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68910" cy="175260"/>
                      <wp:effectExtent l="0" t="0" r="0" b="0"/>
                      <wp:wrapNone/>
                      <wp:docPr id="23" name="Frame23"/>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58115" cy="175260"/>
                      <wp:effectExtent l="0" t="0" r="0" b="0"/>
                      <wp:wrapNone/>
                      <wp:docPr id="24" name="Frame24"/>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18160" cy="175260"/>
                      <wp:effectExtent l="0" t="0" r="0" b="0"/>
                      <wp:wrapNone/>
                      <wp:docPr id="25" name="Frame25"/>
                      <a:graphic xmlns:a="http://schemas.openxmlformats.org/drawingml/2006/main">
                        <a:graphicData uri="http://schemas.microsoft.com/office/word/2010/wordprocessingShape">
                          <wps:wsp>
                            <wps:cNvSpPr txBox="1"/>
                            <wps:spPr>
                              <a:xfrm>
                                <a:off x="0" y="0"/>
                                <a:ext cx="518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58115" cy="175260"/>
                      <wp:effectExtent l="0" t="0" r="0" b="0"/>
                      <wp:wrapNone/>
                      <wp:docPr id="27" name="Frame27"/>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18160" cy="175260"/>
                      <wp:effectExtent l="0" t="0" r="0" b="0"/>
                      <wp:wrapNone/>
                      <wp:docPr id="28" name="Frame28"/>
                      <a:graphic xmlns:a="http://schemas.openxmlformats.org/drawingml/2006/main">
                        <a:graphicData uri="http://schemas.microsoft.com/office/word/2010/wordprocessingShape">
                          <wps:wsp>
                            <wps:cNvSpPr txBox="1"/>
                            <wps:spPr>
                              <a:xfrm>
                                <a:off x="0" y="0"/>
                                <a:ext cx="518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97790" cy="175260"/>
                      <wp:effectExtent l="0" t="0" r="0" b="0"/>
                      <wp:wrapNone/>
                      <wp:docPr id="29" name="Frame29"/>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8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245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54" w:type="dxa"/>
            <w:tcBorders/>
            <w:shd w:fill="auto" w:val="clear"/>
            <w:vAlign w:val="center"/>
          </w:tcPr>
          <w:p>
            <w:pPr>
              <w:pStyle w:val="TableContents"/>
              <w:spacing w:before="0" w:after="0"/>
              <w:ind w:left="0" w:right="0" w:hanging="0"/>
              <w:rPr/>
            </w:pPr>
            <w:r>
              <w:rPr/>
              <w:t>​</w:t>
            </w:r>
          </w:p>
        </w:tc>
      </w:tr>
      <w:tr>
        <w:trPr/>
        <w:tc>
          <w:tcPr>
            <w:tcW w:w="388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2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 2021</w:t>
            </w:r>
          </w:p>
        </w:tc>
        <w:tc>
          <w:tcPr>
            <w:tcW w:w="154" w:type="dxa"/>
            <w:tcBorders/>
            <w:shd w:fill="auto" w:val="clear"/>
            <w:vAlign w:val="center"/>
          </w:tcPr>
          <w:p>
            <w:pPr>
              <w:pStyle w:val="TableContents"/>
              <w:spacing w:before="0" w:after="0"/>
              <w:ind w:left="0" w:right="0" w:hanging="0"/>
              <w:rPr/>
            </w:pPr>
            <w:r>
              <w:rPr/>
              <w:t>​</w:t>
            </w:r>
          </w:p>
        </w:tc>
      </w:tr>
      <w:tr>
        <w:trPr/>
        <w:tc>
          <w:tcPr>
            <w:tcW w:w="38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income</w:t>
            </w:r>
          </w:p>
        </w:tc>
        <w:tc>
          <w:tcPr>
            <w:tcW w:w="26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(2,840)</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8,533</w:t>
            </w:r>
          </w:p>
        </w:tc>
        <w:tc>
          <w:tcPr>
            <w:tcW w:w="154" w:type="dxa"/>
            <w:tcBorders/>
            <w:shd w:fill="CCEEFF" w:val="clear"/>
            <w:vAlign w:val="center"/>
          </w:tcPr>
          <w:p>
            <w:pPr>
              <w:pStyle w:val="TableContents"/>
              <w:spacing w:before="0" w:after="0"/>
              <w:ind w:left="0" w:right="0" w:hanging="0"/>
              <w:rPr/>
            </w:pPr>
            <w:r>
              <w:rPr/>
              <w:t>​</w:t>
            </w:r>
          </w:p>
        </w:tc>
      </w:tr>
      <w:tr>
        <w:trPr/>
        <w:tc>
          <w:tcPr>
            <w:tcW w:w="38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 net of tax:</w:t>
            </w:r>
          </w:p>
        </w:tc>
        <w:tc>
          <w:tcPr>
            <w:tcW w:w="26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 </w:t>
            </w:r>
          </w:p>
        </w:tc>
        <w:tc>
          <w:tcPr>
            <w:tcW w:w="81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 </w:t>
            </w:r>
          </w:p>
        </w:tc>
        <w:tc>
          <w:tcPr>
            <w:tcW w:w="816" w:type="dxa"/>
            <w:tcBorders/>
            <w:shd w:fill="auto" w:val="clear"/>
            <w:vAlign w:val="center"/>
          </w:tcPr>
          <w:p>
            <w:pPr>
              <w:pStyle w:val="TableContents"/>
              <w:spacing w:before="0" w:after="0"/>
              <w:ind w:left="0" w:right="0" w:hanging="0"/>
              <w:jc w:val="right"/>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38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26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1,220</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(1,201)</w:t>
            </w:r>
          </w:p>
        </w:tc>
        <w:tc>
          <w:tcPr>
            <w:tcW w:w="154" w:type="dxa"/>
            <w:tcBorders/>
            <w:shd w:fill="CCEEFF" w:val="clear"/>
            <w:vAlign w:val="center"/>
          </w:tcPr>
          <w:p>
            <w:pPr>
              <w:pStyle w:val="TableContents"/>
              <w:spacing w:before="0" w:after="0"/>
              <w:ind w:left="0" w:right="0" w:hanging="0"/>
              <w:rPr/>
            </w:pPr>
            <w:r>
              <w:rPr/>
              <w:t>​</w:t>
            </w:r>
          </w:p>
        </w:tc>
      </w:tr>
      <w:tr>
        <w:trPr/>
        <w:tc>
          <w:tcPr>
            <w:tcW w:w="38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Comprehensive (loss) income</w:t>
            </w:r>
          </w:p>
        </w:tc>
        <w:tc>
          <w:tcPr>
            <w:tcW w:w="266" w:type="dxa"/>
            <w:tcBorders/>
            <w:shd w:fill="auto" w:val="clear"/>
            <w:vAlign w:val="center"/>
          </w:tcPr>
          <w:p>
            <w:pPr>
              <w:pStyle w:val="TableContents"/>
              <w:spacing w:before="0" w:after="0"/>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c>
          <w:tcPr>
            <w:tcW w:w="326" w:type="dxa"/>
            <w:tcBorders/>
            <w:shd w:fill="auto" w:val="clear"/>
            <w:vAlign w:val="center"/>
          </w:tcPr>
          <w:p>
            <w:pPr>
              <w:pStyle w:val="TableContents"/>
              <w:spacing w:before="0" w:after="0"/>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7,332</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72" w:name="_ee05ef89_548d_4287_8362_7909530b6779"/>
      <w:bookmarkEnd w:id="272"/>
      <w:r>
        <w:rPr>
          <w:rFonts w:ascii="Times New Roman;Times;serif" w:hAnsi="Times New Roman;Times;serif"/>
          <w:b/>
          <w:sz w:val="20"/>
        </w:rPr>
        <w:t>Latham Group, Inc.</w:t>
      </w:r>
    </w:p>
    <w:p>
      <w:pPr>
        <w:pStyle w:val="TextBody"/>
        <w:spacing w:before="0" w:after="0"/>
        <w:ind w:left="0" w:right="0" w:hanging="0"/>
        <w:jc w:val="center"/>
        <w:rPr>
          <w:rFonts w:ascii="Times New Roman;Times;serif" w:hAnsi="Times New Roman;Times;serif"/>
          <w:b/>
          <w:sz w:val="20"/>
        </w:rPr>
      </w:pPr>
      <w:bookmarkStart w:id="273" w:name="CondensedConsolidatedStatementsofStockho"/>
      <w:bookmarkEnd w:id="273"/>
      <w:r>
        <w:rPr>
          <w:rFonts w:ascii="Times New Roman;Times;serif" w:hAnsi="Times New Roman;Times;serif"/>
          <w:b/>
          <w:sz w:val="20"/>
        </w:rPr>
        <w:t>Condensed Consolidated Statements of Stockholders’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274" w:name="Tc_XamuDrvW2kOQ7pNLVhxlkQ_11_16"/>
      <w:bookmarkStart w:id="275" w:name="Tc_GxTWIk5yEE-nTc7pAs91fg_11_13"/>
      <w:bookmarkStart w:id="276" w:name="Tc_UAvo7HMaS0CFOCECeq-r0w_11_10"/>
      <w:bookmarkStart w:id="277" w:name="Tc_7uc3keiNxUuEaLNYYRa5OA_11_7"/>
      <w:bookmarkStart w:id="278" w:name="Tc_1zRGB_Bw10qERkt3YYDNQw_11_4"/>
      <w:bookmarkStart w:id="279" w:name="Tc__3IN0X0GS0qfKKe-ICHvbA_11_0"/>
      <w:bookmarkStart w:id="280" w:name="Tc_Ghij8M3CDUSg2DkX1G8Sfw_10_14"/>
      <w:bookmarkStart w:id="281" w:name="Tc_7kjIdMwGzECsiKHY23x7wg_10_11"/>
      <w:bookmarkStart w:id="282" w:name="Tc_tPzCOmhMXk250q2uEM_j6w_10_5"/>
      <w:bookmarkStart w:id="283" w:name="Tc_PN8XsZTEuUuLX0cLU63rBQ_10_2"/>
      <w:bookmarkStart w:id="284" w:name="Tc_tc7EcH1AZ0iPHDtMCkNObg_10_0"/>
      <w:bookmarkStart w:id="285" w:name="Tc_kp1OjXlwTEeYg2bTaME_1Q_9_14"/>
      <w:bookmarkStart w:id="286" w:name="Tc_UhxvHRItp0O5hVVP35fv-A_9_11"/>
      <w:bookmarkStart w:id="287" w:name="Tc_rSYsvq_miUeWg5mb2wlZUw_9_0"/>
      <w:bookmarkStart w:id="288" w:name="Tc_IzbzOd6kf0uM5p0gQqzKPw_8_14"/>
      <w:bookmarkStart w:id="289" w:name="Tc__VBZT15pZEqVWLtr25AmbA_8_11"/>
      <w:bookmarkStart w:id="290" w:name="Tc_eCS1j59P5U2uCbFstjAw6A_8_5"/>
      <w:bookmarkStart w:id="291" w:name="Tc_pVh8VBjgv0ypLiI_lCgVjQ_8_2"/>
      <w:bookmarkStart w:id="292" w:name="Tc_62GsJ3B7kUipTuZX4BxUrg_8_0"/>
      <w:bookmarkStart w:id="293" w:name="Tc_U3KbwAzoR0ySgn7qa5UEpQ_7_11"/>
      <w:bookmarkStart w:id="294" w:name="Tc_f1lfa3Gr9ka3N9WtHy_wqA_7_8"/>
      <w:bookmarkStart w:id="295" w:name="Tc_ETDHfMeWA0-ffg7vRCPy_w_7_5"/>
      <w:bookmarkStart w:id="296" w:name="Tc_MBaKtAWNNEyVsvR_kvb_0Q_7_2"/>
      <w:bookmarkStart w:id="297" w:name="Tc_undVrRAUFUm7xs8ub0G63A_7_0"/>
      <w:bookmarkStart w:id="298" w:name="Tc_xTUGyMMzEkCBv81PTW4Lrg_6_14"/>
      <w:bookmarkStart w:id="299" w:name="Tc_4o57ZbRd-E-Wgl6dqjCc2g_6_8"/>
      <w:bookmarkStart w:id="300" w:name="Tc_2LC7dgjxNkuoOG_Iz6snZA_6_5"/>
      <w:bookmarkStart w:id="301" w:name="Tc_InRDeaSHo02emeXDT7ucsQ_6_2"/>
      <w:bookmarkStart w:id="302" w:name="Tc_c5_E5WiA4EWTX777WReBNA_6_0"/>
      <w:bookmarkStart w:id="303" w:name="Tc_i-kCzLb3_Eeowc0ousXUjg_5_16"/>
      <w:bookmarkStart w:id="304" w:name="Tc_3Fo6nB73XUmJrPzIOl5h4A_5_13"/>
      <w:bookmarkStart w:id="305" w:name="Tc_fFmuuc7UEkiNdJSoRyoLbA_5_10"/>
      <w:bookmarkStart w:id="306" w:name="Tc_0sbrLej8okWvnO0-ek6LYg_5_7"/>
      <w:bookmarkStart w:id="307" w:name="Tc_hTUPgjhG4UeUO_5IbJhioA_5_4"/>
      <w:bookmarkStart w:id="308" w:name="Tc_IH-XW3c3vESNnem1kZa9iw_5_0"/>
      <w:bookmarkStart w:id="309" w:name="Tc_osWK_yX080a1F7I1y-QhoQ_4_16"/>
      <w:bookmarkStart w:id="310" w:name="Tc_vTMYakOfG02U3_6ayUh8bA_4_13"/>
      <w:bookmarkStart w:id="311" w:name="Tc_Ki9BWDdFoUSA6U-whTw-sA_4_10"/>
      <w:bookmarkStart w:id="312" w:name="Tc_KL2ZutVVt0Gezbx85OxJLw_4_7"/>
      <w:bookmarkStart w:id="313" w:name="Tc_RAyJdE25I0qJa5UZPEFJFg_4_4"/>
      <w:bookmarkStart w:id="314" w:name="Tc_yLzA_ZJhJka6Qry2k8J2Hg_4_2"/>
      <w:bookmarkStart w:id="315" w:name="Tc_1xQ5Fcu1f0yTWIIBYGOYqw_3_16"/>
      <w:bookmarkStart w:id="316" w:name="Tc_k_vhU8c-EEW6Z26lNZSRuQ_3_13"/>
      <w:bookmarkStart w:id="317" w:name="Tc_-D8WJ8Hh0Eu9kfEUnfEvUA_3_10"/>
      <w:bookmarkStart w:id="318" w:name="Tc_iufoKWuTyU6QwWLVZ6ZEdQ_3_7"/>
      <w:bookmarkStart w:id="319" w:name="Tc_io2vL7Bnrkab_PRoUXdXaQ_2_16"/>
      <w:bookmarkStart w:id="320" w:name="Tc_Cn5CqZZiZUqqItAUKC6A3w_2_13"/>
      <w:bookmarkStart w:id="321" w:name="Tc_bBWc1dsFo0OodYOYFD7Mtw_2_10"/>
      <w:bookmarkStart w:id="322" w:name="Tc_g4rD6GGhSEG62Ltg8vLHwA_2_7"/>
      <w:bookmarkStart w:id="323" w:name="Tc_8EaPp899vkO0O11go7qVUg_1_13"/>
      <w:bookmarkStart w:id="324" w:name="Tc_amKc34Y320CcjNUGx5UvfQ_1_10"/>
      <w:bookmarkStart w:id="325" w:name="_b74ba71a_e334_4fb5_8edc_93db30df97ed"/>
      <w:bookmarkStart w:id="326" w:name="Tc_XamuDrvW2kOQ7pNLVhxlkQ_11_16"/>
      <w:bookmarkStart w:id="327" w:name="Tc_GxTWIk5yEE-nTc7pAs91fg_11_13"/>
      <w:bookmarkStart w:id="328" w:name="Tc_UAvo7HMaS0CFOCECeq-r0w_11_10"/>
      <w:bookmarkStart w:id="329" w:name="Tc_7uc3keiNxUuEaLNYYRa5OA_11_7"/>
      <w:bookmarkStart w:id="330" w:name="Tc_1zRGB_Bw10qERkt3YYDNQw_11_4"/>
      <w:bookmarkStart w:id="331" w:name="Tc__3IN0X0GS0qfKKe-ICHvbA_11_0"/>
      <w:bookmarkStart w:id="332" w:name="Tc_Ghij8M3CDUSg2DkX1G8Sfw_10_14"/>
      <w:bookmarkStart w:id="333" w:name="Tc_7kjIdMwGzECsiKHY23x7wg_10_11"/>
      <w:bookmarkStart w:id="334" w:name="Tc_tPzCOmhMXk250q2uEM_j6w_10_5"/>
      <w:bookmarkStart w:id="335" w:name="Tc_PN8XsZTEuUuLX0cLU63rBQ_10_2"/>
      <w:bookmarkStart w:id="336" w:name="Tc_tc7EcH1AZ0iPHDtMCkNObg_10_0"/>
      <w:bookmarkStart w:id="337" w:name="Tc_kp1OjXlwTEeYg2bTaME_1Q_9_14"/>
      <w:bookmarkStart w:id="338" w:name="Tc_UhxvHRItp0O5hVVP35fv-A_9_11"/>
      <w:bookmarkStart w:id="339" w:name="Tc_rSYsvq_miUeWg5mb2wlZUw_9_0"/>
      <w:bookmarkStart w:id="340" w:name="Tc_IzbzOd6kf0uM5p0gQqzKPw_8_14"/>
      <w:bookmarkStart w:id="341" w:name="Tc__VBZT15pZEqVWLtr25AmbA_8_11"/>
      <w:bookmarkStart w:id="342" w:name="Tc_eCS1j59P5U2uCbFstjAw6A_8_5"/>
      <w:bookmarkStart w:id="343" w:name="Tc_pVh8VBjgv0ypLiI_lCgVjQ_8_2"/>
      <w:bookmarkStart w:id="344" w:name="Tc_62GsJ3B7kUipTuZX4BxUrg_8_0"/>
      <w:bookmarkStart w:id="345" w:name="Tc_U3KbwAzoR0ySgn7qa5UEpQ_7_11"/>
      <w:bookmarkStart w:id="346" w:name="Tc_f1lfa3Gr9ka3N9WtHy_wqA_7_8"/>
      <w:bookmarkStart w:id="347" w:name="Tc_ETDHfMeWA0-ffg7vRCPy_w_7_5"/>
      <w:bookmarkStart w:id="348" w:name="Tc_MBaKtAWNNEyVsvR_kvb_0Q_7_2"/>
      <w:bookmarkStart w:id="349" w:name="Tc_undVrRAUFUm7xs8ub0G63A_7_0"/>
      <w:bookmarkStart w:id="350" w:name="Tc_xTUGyMMzEkCBv81PTW4Lrg_6_14"/>
      <w:bookmarkStart w:id="351" w:name="Tc_4o57ZbRd-E-Wgl6dqjCc2g_6_8"/>
      <w:bookmarkStart w:id="352" w:name="Tc_2LC7dgjxNkuoOG_Iz6snZA_6_5"/>
      <w:bookmarkStart w:id="353" w:name="Tc_InRDeaSHo02emeXDT7ucsQ_6_2"/>
      <w:bookmarkStart w:id="354" w:name="Tc_c5_E5WiA4EWTX777WReBNA_6_0"/>
      <w:bookmarkStart w:id="355" w:name="Tc_i-kCzLb3_Eeowc0ousXUjg_5_16"/>
      <w:bookmarkStart w:id="356" w:name="Tc_3Fo6nB73XUmJrPzIOl5h4A_5_13"/>
      <w:bookmarkStart w:id="357" w:name="Tc_fFmuuc7UEkiNdJSoRyoLbA_5_10"/>
      <w:bookmarkStart w:id="358" w:name="Tc_0sbrLej8okWvnO0-ek6LYg_5_7"/>
      <w:bookmarkStart w:id="359" w:name="Tc_hTUPgjhG4UeUO_5IbJhioA_5_4"/>
      <w:bookmarkStart w:id="360" w:name="Tc_IH-XW3c3vESNnem1kZa9iw_5_0"/>
      <w:bookmarkStart w:id="361" w:name="Tc_osWK_yX080a1F7I1y-QhoQ_4_16"/>
      <w:bookmarkStart w:id="362" w:name="Tc_vTMYakOfG02U3_6ayUh8bA_4_13"/>
      <w:bookmarkStart w:id="363" w:name="Tc_Ki9BWDdFoUSA6U-whTw-sA_4_10"/>
      <w:bookmarkStart w:id="364" w:name="Tc_KL2ZutVVt0Gezbx85OxJLw_4_7"/>
      <w:bookmarkStart w:id="365" w:name="Tc_RAyJdE25I0qJa5UZPEFJFg_4_4"/>
      <w:bookmarkStart w:id="366" w:name="Tc_yLzA_ZJhJka6Qry2k8J2Hg_4_2"/>
      <w:bookmarkStart w:id="367" w:name="Tc_1xQ5Fcu1f0yTWIIBYGOYqw_3_16"/>
      <w:bookmarkStart w:id="368" w:name="Tc_k_vhU8c-EEW6Z26lNZSRuQ_3_13"/>
      <w:bookmarkStart w:id="369" w:name="Tc_-D8WJ8Hh0Eu9kfEUnfEvUA_3_10"/>
      <w:bookmarkStart w:id="370" w:name="Tc_iufoKWuTyU6QwWLVZ6ZEdQ_3_7"/>
      <w:bookmarkStart w:id="371" w:name="Tc_io2vL7Bnrkab_PRoUXdXaQ_2_16"/>
      <w:bookmarkStart w:id="372" w:name="Tc_Cn5CqZZiZUqqItAUKC6A3w_2_13"/>
      <w:bookmarkStart w:id="373" w:name="Tc_bBWc1dsFo0OodYOYFD7Mtw_2_10"/>
      <w:bookmarkStart w:id="374" w:name="Tc_g4rD6GGhSEG62Ltg8vLHwA_2_7"/>
      <w:bookmarkStart w:id="375" w:name="Tc_8EaPp899vkO0O11go7qVUg_1_13"/>
      <w:bookmarkStart w:id="376" w:name="Tc_amKc34Y320CcjNUGx5UvfQ_1_10"/>
      <w:bookmarkStart w:id="377" w:name="_b74ba71a_e334_4fb5_8edc_93db30df97ed"/>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tbl>
      <w:tblPr>
        <w:tblW w:w="10205" w:type="dxa"/>
        <w:jc w:val="left"/>
        <w:tblInd w:w="0" w:type="dxa"/>
        <w:tblCellMar>
          <w:top w:w="0" w:type="dxa"/>
          <w:left w:w="0" w:type="dxa"/>
          <w:bottom w:w="0" w:type="dxa"/>
          <w:right w:w="0" w:type="dxa"/>
        </w:tblCellMar>
      </w:tblPr>
      <w:tblGrid>
        <w:gridCol w:w="1756"/>
        <w:gridCol w:w="326"/>
        <w:gridCol w:w="1143"/>
        <w:gridCol w:w="326"/>
        <w:gridCol w:w="261"/>
        <w:gridCol w:w="430"/>
        <w:gridCol w:w="326"/>
        <w:gridCol w:w="211"/>
        <w:gridCol w:w="851"/>
        <w:gridCol w:w="326"/>
        <w:gridCol w:w="278"/>
        <w:gridCol w:w="893"/>
        <w:gridCol w:w="326"/>
        <w:gridCol w:w="319"/>
        <w:gridCol w:w="957"/>
        <w:gridCol w:w="326"/>
        <w:gridCol w:w="211"/>
        <w:gridCol w:w="939"/>
      </w:tblGrid>
      <w:tr>
        <w:trPr/>
        <w:tc>
          <w:tcPr>
            <w:tcW w:w="1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115060" cy="175260"/>
                      <wp:effectExtent l="0" t="0" r="0" b="0"/>
                      <wp:wrapNone/>
                      <wp:docPr id="30" name="Frame30"/>
                      <a:graphic xmlns:a="http://schemas.openxmlformats.org/drawingml/2006/main">
                        <a:graphicData uri="http://schemas.microsoft.com/office/word/2010/wordprocessingShape">
                          <wps:wsp>
                            <wps:cNvSpPr txBox="1"/>
                            <wps:spPr>
                              <a:xfrm>
                                <a:off x="0" y="0"/>
                                <a:ext cx="1115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725805" cy="175260"/>
                      <wp:effectExtent l="0" t="0" r="0" b="0"/>
                      <wp:wrapNone/>
                      <wp:docPr id="32" name="Frame32"/>
                      <a:graphic xmlns:a="http://schemas.openxmlformats.org/drawingml/2006/main">
                        <a:graphicData uri="http://schemas.microsoft.com/office/word/2010/wordprocessingShape">
                          <wps:wsp>
                            <wps:cNvSpPr txBox="1"/>
                            <wps:spPr>
                              <a:xfrm>
                                <a:off x="0" y="0"/>
                                <a:ext cx="7258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65735" cy="175260"/>
                      <wp:effectExtent l="0" t="0" r="0" b="0"/>
                      <wp:wrapNone/>
                      <wp:docPr id="34" name="Frame34"/>
                      <a:graphic xmlns:a="http://schemas.openxmlformats.org/drawingml/2006/main">
                        <a:graphicData uri="http://schemas.microsoft.com/office/word/2010/wordprocessingShape">
                          <wps:wsp>
                            <wps:cNvSpPr txBox="1"/>
                            <wps:spPr>
                              <a:xfrm>
                                <a:off x="0" y="0"/>
                                <a:ext cx="165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73050" cy="175260"/>
                      <wp:effectExtent l="0" t="0" r="0" b="0"/>
                      <wp:wrapNone/>
                      <wp:docPr id="35" name="Frame35"/>
                      <a:graphic xmlns:a="http://schemas.openxmlformats.org/drawingml/2006/main">
                        <a:graphicData uri="http://schemas.microsoft.com/office/word/2010/wordprocessingShape">
                          <wps:wsp>
                            <wps:cNvSpPr txBox="1"/>
                            <wps:spPr>
                              <a:xfrm>
                                <a:off x="0" y="0"/>
                                <a:ext cx="2730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40385" cy="175260"/>
                      <wp:effectExtent l="0" t="0" r="0" b="0"/>
                      <wp:wrapNone/>
                      <wp:docPr id="38" name="Frame38"/>
                      <a:graphic xmlns:a="http://schemas.openxmlformats.org/drawingml/2006/main">
                        <a:graphicData uri="http://schemas.microsoft.com/office/word/2010/wordprocessingShape">
                          <wps:wsp>
                            <wps:cNvSpPr txBox="1"/>
                            <wps:spPr>
                              <a:xfrm>
                                <a:off x="0" y="0"/>
                                <a:ext cx="540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76530" cy="175260"/>
                      <wp:effectExtent l="0" t="0" r="0" b="0"/>
                      <wp:wrapNone/>
                      <wp:docPr id="40" name="Frame40"/>
                      <a:graphic xmlns:a="http://schemas.openxmlformats.org/drawingml/2006/main">
                        <a:graphicData uri="http://schemas.microsoft.com/office/word/2010/wordprocessingShape">
                          <wps:wsp>
                            <wps:cNvSpPr txBox="1"/>
                            <wps:spPr>
                              <a:xfrm>
                                <a:off x="0" y="0"/>
                                <a:ext cx="1765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67055" cy="175260"/>
                      <wp:effectExtent l="0" t="0" r="0" b="0"/>
                      <wp:wrapNone/>
                      <wp:docPr id="41" name="Frame41"/>
                      <a:graphic xmlns:a="http://schemas.openxmlformats.org/drawingml/2006/main">
                        <a:graphicData uri="http://schemas.microsoft.com/office/word/2010/wordprocessingShape">
                          <wps:wsp>
                            <wps:cNvSpPr txBox="1"/>
                            <wps:spPr>
                              <a:xfrm>
                                <a:off x="0" y="0"/>
                                <a:ext cx="5670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2565" cy="175260"/>
                      <wp:effectExtent l="0" t="0" r="0" b="0"/>
                      <wp:wrapNone/>
                      <wp:docPr id="43" name="Frame43"/>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07695" cy="175260"/>
                      <wp:effectExtent l="0" t="0" r="0" b="0"/>
                      <wp:wrapNone/>
                      <wp:docPr id="44" name="Frame44"/>
                      <a:graphic xmlns:a="http://schemas.openxmlformats.org/drawingml/2006/main">
                        <a:graphicData uri="http://schemas.microsoft.com/office/word/2010/wordprocessingShape">
                          <wps:wsp>
                            <wps:cNvSpPr txBox="1"/>
                            <wps:spPr>
                              <a:xfrm>
                                <a:off x="0" y="0"/>
                                <a:ext cx="6076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96265" cy="175260"/>
                      <wp:effectExtent l="0" t="0" r="0" b="0"/>
                      <wp:wrapNone/>
                      <wp:docPr id="47" name="Frame47"/>
                      <a:graphic xmlns:a="http://schemas.openxmlformats.org/drawingml/2006/main">
                        <a:graphicData uri="http://schemas.microsoft.com/office/word/2010/wordprocessingShape">
                          <wps:wsp>
                            <wps:cNvSpPr txBox="1"/>
                            <wps:spPr>
                              <a:xfrm>
                                <a:off x="0" y="0"/>
                                <a:ext cx="5962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43"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261" w:type="dxa"/>
            <w:tcBorders/>
            <w:shd w:fill="auto" w:val="clear"/>
            <w:vAlign w:val="center"/>
          </w:tcPr>
          <w:p>
            <w:pPr>
              <w:pStyle w:val="TableContents"/>
              <w:spacing w:before="0" w:after="1"/>
              <w:ind w:left="0" w:right="0" w:hanging="0"/>
              <w:rPr/>
            </w:pPr>
            <w:r>
              <w:rPr/>
              <w:t>​</w:t>
            </w:r>
          </w:p>
        </w:tc>
        <w:tc>
          <w:tcPr>
            <w:tcW w:w="43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8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 </w:t>
            </w:r>
          </w:p>
        </w:tc>
        <w:tc>
          <w:tcPr>
            <w:tcW w:w="326" w:type="dxa"/>
            <w:tcBorders/>
            <w:shd w:fill="auto" w:val="clear"/>
            <w:vAlign w:val="center"/>
          </w:tcPr>
          <w:p>
            <w:pPr>
              <w:pStyle w:val="TableContents"/>
              <w:spacing w:before="0" w:after="1"/>
              <w:ind w:left="0" w:right="0" w:hanging="0"/>
              <w:rPr/>
            </w:pPr>
            <w:r>
              <w:rPr/>
              <w:t>    </w:t>
            </w:r>
          </w:p>
        </w:tc>
        <w:tc>
          <w:tcPr>
            <w:tcW w:w="12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939" w:type="dxa"/>
            <w:tcBorders/>
            <w:shd w:fill="auto" w:val="clear"/>
            <w:vAlign w:val="center"/>
          </w:tcPr>
          <w:p>
            <w:pPr>
              <w:pStyle w:val="TableContents"/>
              <w:spacing w:before="0" w:after="1"/>
              <w:ind w:left="0" w:right="0" w:hanging="0"/>
              <w:jc w:val="center"/>
              <w:rPr/>
            </w:pPr>
            <w:r>
              <w:rPr/>
              <w:t>​</w: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3"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61" w:type="dxa"/>
            <w:tcBorders/>
            <w:shd w:fill="auto" w:val="clear"/>
            <w:vAlign w:val="center"/>
          </w:tcPr>
          <w:p>
            <w:pPr>
              <w:pStyle w:val="TableContents"/>
              <w:spacing w:before="0" w:after="1"/>
              <w:ind w:left="0" w:right="0" w:hanging="0"/>
              <w:rPr/>
            </w:pPr>
            <w:r>
              <w:rPr/>
              <w:t>​</w:t>
            </w:r>
          </w:p>
        </w:tc>
        <w:tc>
          <w:tcPr>
            <w:tcW w:w="43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6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1"/>
              <w:ind w:left="0" w:right="0" w:hanging="0"/>
              <w:rPr/>
            </w:pPr>
            <w:r>
              <w:rPr/>
              <w:t>​</w:t>
            </w:r>
          </w:p>
        </w:tc>
        <w:tc>
          <w:tcPr>
            <w:tcW w:w="11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shd w:fill="auto" w:val="clear"/>
            <w:vAlign w:val="center"/>
          </w:tcPr>
          <w:p>
            <w:pPr>
              <w:pStyle w:val="TableContents"/>
              <w:spacing w:before="0" w:after="1"/>
              <w:ind w:left="0" w:right="0" w:hanging="0"/>
              <w:rPr/>
            </w:pPr>
            <w:r>
              <w:rPr/>
              <w:t>​</w:t>
            </w:r>
          </w:p>
        </w:tc>
        <w:tc>
          <w:tcPr>
            <w:tcW w:w="12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rPr/>
            </w:pPr>
            <w:r>
              <w:rPr/>
              <w:t>​</w:t>
            </w:r>
          </w:p>
        </w:tc>
        <w:tc>
          <w:tcPr>
            <w:tcW w:w="115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3"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61" w:type="dxa"/>
            <w:tcBorders/>
            <w:shd w:fill="auto" w:val="clear"/>
            <w:vAlign w:val="center"/>
          </w:tcPr>
          <w:p>
            <w:pPr>
              <w:pStyle w:val="TableContents"/>
              <w:spacing w:before="0" w:after="1"/>
              <w:ind w:left="0" w:right="0" w:hanging="0"/>
              <w:rPr/>
            </w:pPr>
            <w:r>
              <w:rPr/>
              <w:t>​</w:t>
            </w:r>
          </w:p>
        </w:tc>
        <w:tc>
          <w:tcPr>
            <w:tcW w:w="43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62"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Paid-in </w:t>
            </w:r>
          </w:p>
        </w:tc>
        <w:tc>
          <w:tcPr>
            <w:tcW w:w="326" w:type="dxa"/>
            <w:tcBorders/>
            <w:shd w:fill="auto" w:val="clear"/>
            <w:vAlign w:val="center"/>
          </w:tcPr>
          <w:p>
            <w:pPr>
              <w:pStyle w:val="TableContents"/>
              <w:spacing w:before="0" w:after="1"/>
              <w:ind w:left="0" w:right="0" w:hanging="0"/>
              <w:rPr/>
            </w:pPr>
            <w:r>
              <w:rPr/>
              <w:t>​</w:t>
            </w:r>
          </w:p>
        </w:tc>
        <w:tc>
          <w:tcPr>
            <w:tcW w:w="1171"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rPr/>
            </w:pPr>
            <w:r>
              <w:rPr/>
              <w:t>​</w:t>
            </w:r>
          </w:p>
        </w:tc>
        <w:tc>
          <w:tcPr>
            <w:tcW w:w="1276"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Comprehensive</w:t>
            </w:r>
          </w:p>
        </w:tc>
        <w:tc>
          <w:tcPr>
            <w:tcW w:w="326" w:type="dxa"/>
            <w:tcBorders/>
            <w:shd w:fill="auto" w:val="clear"/>
            <w:vAlign w:val="center"/>
          </w:tcPr>
          <w:p>
            <w:pPr>
              <w:pStyle w:val="TableContents"/>
              <w:spacing w:before="0" w:after="1"/>
              <w:ind w:left="0" w:right="0" w:hanging="0"/>
              <w:rPr/>
            </w:pPr>
            <w:r>
              <w:rPr/>
              <w:t>​</w:t>
            </w:r>
          </w:p>
        </w:tc>
        <w:tc>
          <w:tcPr>
            <w:tcW w:w="1150"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Stockholders'</w: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w:t>
            </w:r>
          </w:p>
        </w:tc>
        <w:tc>
          <w:tcPr>
            <w:tcW w:w="6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w:t>
            </w:r>
          </w:p>
        </w:tc>
        <w:tc>
          <w:tcPr>
            <w:tcW w:w="106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1"/>
              <w:ind w:left="0" w:right="0" w:hanging="0"/>
              <w:rPr/>
            </w:pPr>
            <w:r>
              <w:rPr/>
              <w:t>​</w:t>
            </w:r>
          </w:p>
        </w:tc>
        <w:tc>
          <w:tcPr>
            <w:tcW w:w="11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Deficit)</w:t>
            </w:r>
          </w:p>
        </w:tc>
        <w:tc>
          <w:tcPr>
            <w:tcW w:w="326" w:type="dxa"/>
            <w:tcBorders/>
            <w:shd w:fill="auto" w:val="clear"/>
            <w:vAlign w:val="center"/>
          </w:tcPr>
          <w:p>
            <w:pPr>
              <w:pStyle w:val="TableContents"/>
              <w:spacing w:before="0" w:after="1"/>
              <w:ind w:left="0" w:right="0" w:hanging="0"/>
              <w:rPr/>
            </w:pPr>
            <w:r>
              <w:rPr/>
              <w:t>​</w:t>
            </w:r>
          </w:p>
        </w:tc>
        <w:tc>
          <w:tcPr>
            <w:tcW w:w="127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Income (Loss)</w:t>
            </w:r>
          </w:p>
        </w:tc>
        <w:tc>
          <w:tcPr>
            <w:tcW w:w="326" w:type="dxa"/>
            <w:tcBorders/>
            <w:shd w:fill="auto" w:val="clear"/>
            <w:vAlign w:val="center"/>
          </w:tcPr>
          <w:p>
            <w:pPr>
              <w:pStyle w:val="TableContents"/>
              <w:spacing w:before="0" w:after="1"/>
              <w:ind w:left="0" w:right="0" w:hanging="0"/>
              <w:rPr/>
            </w:pPr>
            <w:r>
              <w:rPr/>
              <w:t>​</w:t>
            </w:r>
          </w:p>
        </w:tc>
        <w:tc>
          <w:tcPr>
            <w:tcW w:w="115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Equity</w:t>
            </w:r>
          </w:p>
        </w:tc>
      </w:tr>
      <w:tr>
        <w:trPr/>
        <w:tc>
          <w:tcPr>
            <w:tcW w:w="17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Balances at December 31, 2020</w:t>
            </w:r>
          </w:p>
        </w:tc>
        <w:tc>
          <w:tcPr>
            <w:tcW w:w="326" w:type="dxa"/>
            <w:tcBorders/>
            <w:shd w:fill="CCEEFF" w:val="clear"/>
            <w:vAlign w:val="center"/>
          </w:tcPr>
          <w:p>
            <w:pPr>
              <w:pStyle w:val="TableContents"/>
              <w:spacing w:before="0" w:after="1"/>
              <w:ind w:left="0" w:right="0" w:hanging="0"/>
              <w:rPr/>
            </w:pPr>
            <w:r>
              <w:rPr/>
              <w:t> </w:t>
            </w:r>
          </w:p>
        </w:tc>
        <w:tc>
          <w:tcPr>
            <w:tcW w:w="11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118,854,249</w:t>
            </w:r>
          </w:p>
        </w:tc>
        <w:tc>
          <w:tcPr>
            <w:tcW w:w="326" w:type="dxa"/>
            <w:tcBorders/>
            <w:shd w:fill="CCEEFF" w:val="clear"/>
            <w:vAlign w:val="center"/>
          </w:tcPr>
          <w:p>
            <w:pPr>
              <w:pStyle w:val="TableContents"/>
              <w:spacing w:before="0" w:after="1"/>
              <w:ind w:left="0" w:right="0" w:hanging="0"/>
              <w:rPr/>
            </w:pPr>
            <w:r>
              <w:rPr/>
              <w:t>​</w:t>
            </w:r>
          </w:p>
        </w:tc>
        <w:tc>
          <w:tcPr>
            <w:tcW w:w="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265,478</w:t>
            </w:r>
          </w:p>
        </w:tc>
        <w:tc>
          <w:tcPr>
            <w:tcW w:w="326" w:type="dxa"/>
            <w:tcBorders/>
            <w:shd w:fill="CCEEFF" w:val="clear"/>
            <w:vAlign w:val="center"/>
          </w:tcPr>
          <w:p>
            <w:pPr>
              <w:pStyle w:val="TableContents"/>
              <w:spacing w:before="0" w:after="1"/>
              <w:ind w:left="0" w:right="0" w:hanging="0"/>
              <w:rPr/>
            </w:pPr>
            <w:r>
              <w:rPr/>
              <w:t>​</w:t>
            </w:r>
          </w:p>
        </w:tc>
        <w:tc>
          <w:tcPr>
            <w:tcW w:w="27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13,765</w:t>
            </w:r>
          </w:p>
        </w:tc>
        <w:tc>
          <w:tcPr>
            <w:tcW w:w="326"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281,609</w:t>
            </w:r>
          </w:p>
        </w:tc>
      </w:tr>
      <w:tr>
        <w:trPr/>
        <w:tc>
          <w:tcPr>
            <w:tcW w:w="17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auto" w:val="clear"/>
            <w:vAlign w:val="center"/>
          </w:tcPr>
          <w:p>
            <w:pPr>
              <w:pStyle w:val="TableContents"/>
              <w:spacing w:before="0" w:after="1"/>
              <w:ind w:left="0" w:right="0" w:hanging="0"/>
              <w:rPr/>
            </w:pPr>
            <w:r>
              <w:rPr/>
              <w:t> </w:t>
            </w:r>
          </w:p>
        </w:tc>
        <w:tc>
          <w:tcPr>
            <w:tcW w:w="114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1" w:type="dxa"/>
            <w:tcBorders/>
            <w:shd w:fill="auto" w:val="clear"/>
            <w:vAlign w:val="center"/>
          </w:tcPr>
          <w:p>
            <w:pPr>
              <w:pStyle w:val="TableContents"/>
              <w:spacing w:before="0" w:after="1"/>
              <w:ind w:left="0" w:right="0" w:hanging="0"/>
              <w:rPr/>
            </w:pPr>
            <w:r>
              <w:rPr/>
              <w:t> </w:t>
            </w:r>
          </w:p>
        </w:tc>
        <w:tc>
          <w:tcPr>
            <w:tcW w:w="43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78" w:type="dxa"/>
            <w:tcBorders/>
            <w:shd w:fill="auto" w:val="clear"/>
            <w:vAlign w:val="center"/>
          </w:tcPr>
          <w:p>
            <w:pPr>
              <w:pStyle w:val="TableContents"/>
              <w:spacing w:before="0" w:after="1"/>
              <w:ind w:left="0" w:right="0" w:hanging="0"/>
              <w:rPr/>
            </w:pPr>
            <w:r>
              <w:rPr/>
              <w:t> </w:t>
            </w:r>
          </w:p>
        </w:tc>
        <w:tc>
          <w:tcPr>
            <w:tcW w:w="8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8,533</w:t>
            </w:r>
          </w:p>
        </w:tc>
        <w:tc>
          <w:tcPr>
            <w:tcW w:w="326" w:type="dxa"/>
            <w:tcBorders/>
            <w:shd w:fill="auto" w:val="clear"/>
            <w:vAlign w:val="center"/>
          </w:tcPr>
          <w:p>
            <w:pPr>
              <w:pStyle w:val="TableContents"/>
              <w:spacing w:before="0" w:after="1"/>
              <w:ind w:left="0" w:right="0" w:hanging="0"/>
              <w:rPr/>
            </w:pPr>
            <w:r>
              <w:rPr/>
              <w:t>​</w:t>
            </w:r>
          </w:p>
        </w:tc>
        <w:tc>
          <w:tcPr>
            <w:tcW w:w="319" w:type="dxa"/>
            <w:tcBorders/>
            <w:shd w:fill="auto" w:val="clear"/>
            <w:vAlign w:val="center"/>
          </w:tcPr>
          <w:p>
            <w:pPr>
              <w:pStyle w:val="TableContents"/>
              <w:spacing w:before="0" w:after="1"/>
              <w:ind w:left="0" w:right="0" w:hanging="0"/>
              <w:rPr/>
            </w:pPr>
            <w:r>
              <w:rPr/>
              <w:t> </w:t>
            </w:r>
          </w:p>
        </w:tc>
        <w:tc>
          <w:tcPr>
            <w:tcW w:w="95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8,533</w:t>
            </w:r>
          </w:p>
        </w:tc>
      </w:tr>
      <w:tr>
        <w:trPr/>
        <w:tc>
          <w:tcPr>
            <w:tcW w:w="17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spacing w:before="0" w:after="1"/>
              <w:ind w:left="0" w:right="0" w:hanging="0"/>
              <w:rPr/>
            </w:pPr>
            <w:r>
              <w:rPr/>
              <w:t> </w:t>
            </w:r>
          </w:p>
        </w:tc>
        <w:tc>
          <w:tcPr>
            <w:tcW w:w="114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1" w:type="dxa"/>
            <w:tcBorders/>
            <w:shd w:fill="CCEEFF" w:val="clear"/>
            <w:vAlign w:val="center"/>
          </w:tcPr>
          <w:p>
            <w:pPr>
              <w:pStyle w:val="TableContents"/>
              <w:spacing w:before="0" w:after="1"/>
              <w:ind w:left="0" w:right="0" w:hanging="0"/>
              <w:rPr/>
            </w:pPr>
            <w:r>
              <w:rPr/>
              <w:t> </w:t>
            </w:r>
          </w:p>
        </w:tc>
        <w:tc>
          <w:tcPr>
            <w:tcW w:w="43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78" w:type="dxa"/>
            <w:tcBorders/>
            <w:shd w:fill="CCEEFF" w:val="clear"/>
            <w:vAlign w:val="center"/>
          </w:tcPr>
          <w:p>
            <w:pPr>
              <w:pStyle w:val="TableContents"/>
              <w:spacing w:before="0" w:after="1"/>
              <w:ind w:left="0" w:right="0" w:hanging="0"/>
              <w:rPr/>
            </w:pPr>
            <w:r>
              <w:rPr/>
              <w:t> </w:t>
            </w:r>
          </w:p>
        </w:tc>
        <w:tc>
          <w:tcPr>
            <w:tcW w:w="89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pPr>
            <w:r>
              <w:rPr/>
              <w:t> </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(1,201)</w:t>
            </w:r>
          </w:p>
        </w:tc>
      </w:tr>
      <w:tr>
        <w:trPr/>
        <w:tc>
          <w:tcPr>
            <w:tcW w:w="17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Dividend to Class A unitholders ($1.00 per share)</w:t>
            </w:r>
          </w:p>
        </w:tc>
        <w:tc>
          <w:tcPr>
            <w:tcW w:w="326" w:type="dxa"/>
            <w:tcBorders/>
            <w:shd w:fill="auto" w:val="clear"/>
            <w:vAlign w:val="center"/>
          </w:tcPr>
          <w:p>
            <w:pPr>
              <w:pStyle w:val="TableContents"/>
              <w:spacing w:before="0" w:after="1"/>
              <w:ind w:left="0" w:right="0" w:hanging="0"/>
              <w:rPr/>
            </w:pPr>
            <w:r>
              <w:rPr/>
              <w:t>​</w:t>
            </w:r>
          </w:p>
        </w:tc>
        <w:tc>
          <w:tcPr>
            <w:tcW w:w="114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1" w:type="dxa"/>
            <w:tcBorders/>
            <w:shd w:fill="auto" w:val="clear"/>
            <w:vAlign w:val="center"/>
          </w:tcPr>
          <w:p>
            <w:pPr>
              <w:pStyle w:val="TableContents"/>
              <w:spacing w:before="0" w:after="1"/>
              <w:ind w:left="0" w:right="0" w:hanging="0"/>
              <w:rPr/>
            </w:pPr>
            <w:r>
              <w:rPr/>
              <w:t>​</w:t>
            </w:r>
          </w:p>
        </w:tc>
        <w:tc>
          <w:tcPr>
            <w:tcW w:w="43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(110,033)</w:t>
            </w:r>
          </w:p>
        </w:tc>
        <w:tc>
          <w:tcPr>
            <w:tcW w:w="326" w:type="dxa"/>
            <w:tcBorders/>
            <w:shd w:fill="auto" w:val="clear"/>
            <w:vAlign w:val="center"/>
          </w:tcPr>
          <w:p>
            <w:pPr>
              <w:pStyle w:val="TableContents"/>
              <w:spacing w:before="0" w:after="1"/>
              <w:ind w:left="0" w:right="0" w:hanging="0"/>
              <w:rPr/>
            </w:pPr>
            <w:r>
              <w:rPr/>
              <w:t>​</w:t>
            </w:r>
          </w:p>
        </w:tc>
        <w:tc>
          <w:tcPr>
            <w:tcW w:w="278" w:type="dxa"/>
            <w:tcBorders/>
            <w:shd w:fill="auto" w:val="clear"/>
            <w:vAlign w:val="center"/>
          </w:tcPr>
          <w:p>
            <w:pPr>
              <w:pStyle w:val="TableContents"/>
              <w:spacing w:before="0" w:after="1"/>
              <w:ind w:left="0" w:right="0" w:hanging="0"/>
              <w:rPr/>
            </w:pPr>
            <w:r>
              <w:rPr/>
              <w:t>​</w:t>
            </w:r>
          </w:p>
        </w:tc>
        <w:tc>
          <w:tcPr>
            <w:tcW w:w="89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19" w:type="dxa"/>
            <w:tcBorders/>
            <w:shd w:fill="auto" w:val="clear"/>
            <w:vAlign w:val="center"/>
          </w:tcPr>
          <w:p>
            <w:pPr>
              <w:pStyle w:val="TableContents"/>
              <w:spacing w:before="0" w:after="1"/>
              <w:ind w:left="0" w:right="0" w:hanging="0"/>
              <w:rPr/>
            </w:pPr>
            <w:r>
              <w:rPr/>
              <w:t>​</w:t>
            </w:r>
          </w:p>
        </w:tc>
        <w:tc>
          <w:tcPr>
            <w:tcW w:w="95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(110,033)</w:t>
            </w:r>
          </w:p>
        </w:tc>
      </w:tr>
      <w:tr>
        <w:trPr/>
        <w:tc>
          <w:tcPr>
            <w:tcW w:w="17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Repurchase and retirement of common stock</w:t>
            </w:r>
          </w:p>
        </w:tc>
        <w:tc>
          <w:tcPr>
            <w:tcW w:w="326" w:type="dxa"/>
            <w:tcBorders/>
            <w:shd w:fill="CCEEFF" w:val="clear"/>
            <w:vAlign w:val="center"/>
          </w:tcPr>
          <w:p>
            <w:pPr>
              <w:pStyle w:val="TableContents"/>
              <w:spacing w:before="0" w:after="1"/>
              <w:ind w:left="0" w:right="0" w:hanging="0"/>
              <w:rPr/>
            </w:pPr>
            <w:r>
              <w:rPr/>
              <w:t>​</w:t>
            </w:r>
          </w:p>
        </w:tc>
        <w:tc>
          <w:tcPr>
            <w:tcW w:w="11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(21,666,653)</w:t>
            </w:r>
          </w:p>
        </w:tc>
        <w:tc>
          <w:tcPr>
            <w:tcW w:w="326" w:type="dxa"/>
            <w:tcBorders/>
            <w:shd w:fill="CCEEFF" w:val="clear"/>
            <w:vAlign w:val="center"/>
          </w:tcPr>
          <w:p>
            <w:pPr>
              <w:pStyle w:val="TableContents"/>
              <w:spacing w:before="0" w:after="1"/>
              <w:ind w:left="0" w:right="0" w:hanging="0"/>
              <w:rPr/>
            </w:pPr>
            <w:r>
              <w:rPr/>
              <w:t>​</w:t>
            </w:r>
          </w:p>
        </w:tc>
        <w:tc>
          <w:tcPr>
            <w:tcW w:w="261" w:type="dxa"/>
            <w:tcBorders/>
            <w:shd w:fill="CCEEFF" w:val="clear"/>
            <w:vAlign w:val="center"/>
          </w:tcPr>
          <w:p>
            <w:pPr>
              <w:pStyle w:val="TableContents"/>
              <w:spacing w:before="0" w:after="1"/>
              <w:ind w:left="0" w:right="0" w:hanging="0"/>
              <w:rPr/>
            </w:pPr>
            <w:r>
              <w:rPr/>
              <w:t>​</w:t>
            </w:r>
          </w:p>
        </w:tc>
        <w:tc>
          <w:tcPr>
            <w:tcW w:w="43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(64,936)</w:t>
            </w:r>
          </w:p>
        </w:tc>
        <w:tc>
          <w:tcPr>
            <w:tcW w:w="326" w:type="dxa"/>
            <w:tcBorders/>
            <w:shd w:fill="CCEEFF" w:val="clear"/>
            <w:vAlign w:val="center"/>
          </w:tcPr>
          <w:p>
            <w:pPr>
              <w:pStyle w:val="TableContents"/>
              <w:spacing w:before="0" w:after="1"/>
              <w:ind w:left="0" w:right="0" w:hanging="0"/>
              <w:rPr/>
            </w:pPr>
            <w:r>
              <w:rPr/>
              <w:t>​</w:t>
            </w:r>
          </w:p>
        </w:tc>
        <w:tc>
          <w:tcPr>
            <w:tcW w:w="278" w:type="dxa"/>
            <w:tcBorders/>
            <w:shd w:fill="CCEEFF" w:val="clear"/>
            <w:vAlign w:val="center"/>
          </w:tcPr>
          <w:p>
            <w:pPr>
              <w:pStyle w:val="TableContents"/>
              <w:spacing w:before="0" w:after="1"/>
              <w:ind w:left="0" w:right="0" w:hanging="0"/>
              <w:rPr/>
            </w:pPr>
            <w:r>
              <w:rPr/>
              <w:t>​</w:t>
            </w:r>
          </w:p>
        </w:tc>
        <w:tc>
          <w:tcPr>
            <w:tcW w:w="89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pPr>
            <w:r>
              <w:rPr/>
              <w:t>​</w:t>
            </w:r>
          </w:p>
        </w:tc>
        <w:tc>
          <w:tcPr>
            <w:tcW w:w="95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(64,938)</w:t>
            </w:r>
          </w:p>
        </w:tc>
      </w:tr>
      <w:tr>
        <w:trPr/>
        <w:tc>
          <w:tcPr>
            <w:tcW w:w="17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auto" w:val="clear"/>
            <w:vAlign w:val="center"/>
          </w:tcPr>
          <w:p>
            <w:pPr>
              <w:pStyle w:val="TableContents"/>
              <w:spacing w:before="0" w:after="1"/>
              <w:ind w:left="0" w:right="0" w:hanging="0"/>
              <w:rPr/>
            </w:pPr>
            <w:r>
              <w:rPr/>
              <w:t> </w:t>
            </w:r>
          </w:p>
        </w:tc>
        <w:tc>
          <w:tcPr>
            <w:tcW w:w="114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430"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1,464</w:t>
            </w:r>
          </w:p>
        </w:tc>
        <w:tc>
          <w:tcPr>
            <w:tcW w:w="326" w:type="dxa"/>
            <w:tcBorders/>
            <w:shd w:fill="auto" w:val="clear"/>
            <w:vAlign w:val="center"/>
          </w:tcPr>
          <w:p>
            <w:pPr>
              <w:pStyle w:val="TableContents"/>
              <w:spacing w:before="0" w:after="1"/>
              <w:ind w:left="0" w:right="0" w:hanging="0"/>
              <w:rPr/>
            </w:pPr>
            <w:r>
              <w:rPr/>
              <w:t>​</w:t>
            </w:r>
          </w:p>
        </w:tc>
        <w:tc>
          <w:tcPr>
            <w:tcW w:w="27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9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1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5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1,464</w:t>
            </w:r>
          </w:p>
        </w:tc>
      </w:tr>
      <w:tr>
        <w:trPr/>
        <w:tc>
          <w:tcPr>
            <w:tcW w:w="17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Balances at April 3, 2021</w:t>
            </w:r>
          </w:p>
        </w:tc>
        <w:tc>
          <w:tcPr>
            <w:tcW w:w="326" w:type="dxa"/>
            <w:tcBorders/>
            <w:shd w:fill="CCEEFF" w:val="clear"/>
            <w:vAlign w:val="center"/>
          </w:tcPr>
          <w:p>
            <w:pPr>
              <w:pStyle w:val="TableContents"/>
              <w:spacing w:before="0" w:after="1"/>
              <w:ind w:left="0" w:right="0" w:hanging="0"/>
              <w:rPr/>
            </w:pPr>
            <w:r>
              <w:rPr/>
              <w:t> </w:t>
            </w:r>
          </w:p>
        </w:tc>
        <w:tc>
          <w:tcPr>
            <w:tcW w:w="11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97,187,596</w:t>
            </w:r>
          </w:p>
        </w:tc>
        <w:tc>
          <w:tcPr>
            <w:tcW w:w="326" w:type="dxa"/>
            <w:tcBorders/>
            <w:shd w:fill="CCEEFF" w:val="clear"/>
            <w:vAlign w:val="center"/>
          </w:tcPr>
          <w:p>
            <w:pPr>
              <w:pStyle w:val="TableContents"/>
              <w:spacing w:before="0" w:after="1"/>
              <w:ind w:left="0" w:right="0" w:hanging="0"/>
              <w:rPr/>
            </w:pPr>
            <w:r>
              <w:rPr/>
              <w:t>​</w:t>
            </w:r>
          </w:p>
        </w:tc>
        <w:tc>
          <w:tcPr>
            <w:tcW w:w="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91,973</w:t>
            </w:r>
          </w:p>
        </w:tc>
        <w:tc>
          <w:tcPr>
            <w:tcW w:w="326" w:type="dxa"/>
            <w:tcBorders/>
            <w:shd w:fill="CCEEFF" w:val="clear"/>
            <w:vAlign w:val="center"/>
          </w:tcPr>
          <w:p>
            <w:pPr>
              <w:pStyle w:val="TableContents"/>
              <w:spacing w:before="0" w:after="1"/>
              <w:ind w:left="0" w:right="0" w:hanging="0"/>
              <w:rPr/>
            </w:pPr>
            <w:r>
              <w:rPr/>
              <w:t>​</w:t>
            </w:r>
          </w:p>
        </w:tc>
        <w:tc>
          <w:tcPr>
            <w:tcW w:w="27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22,298</w:t>
            </w:r>
          </w:p>
        </w:tc>
        <w:tc>
          <w:tcPr>
            <w:tcW w:w="326"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115,434</w: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1" w:type="dxa"/>
            <w:tcBorders/>
            <w:shd w:fill="auto" w:val="clear"/>
            <w:vAlign w:val="center"/>
          </w:tcPr>
          <w:p>
            <w:pPr>
              <w:pStyle w:val="TableContents"/>
              <w:spacing w:before="0" w:after="1"/>
              <w:ind w:left="0" w:right="0" w:hanging="0"/>
              <w:rPr/>
            </w:pPr>
            <w:r>
              <w:rPr/>
              <w:t>​</w:t>
            </w:r>
          </w:p>
        </w:tc>
        <w:tc>
          <w:tcPr>
            <w:tcW w:w="43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78" w:type="dxa"/>
            <w:tcBorders/>
            <w:shd w:fill="auto" w:val="clear"/>
            <w:vAlign w:val="center"/>
          </w:tcPr>
          <w:p>
            <w:pPr>
              <w:pStyle w:val="TableContents"/>
              <w:spacing w:before="0" w:after="1"/>
              <w:ind w:left="0" w:right="0" w:hanging="0"/>
              <w:rPr/>
            </w:pPr>
            <w:r>
              <w:rPr/>
              <w:t>​</w:t>
            </w:r>
          </w:p>
        </w:tc>
        <w:tc>
          <w:tcPr>
            <w:tcW w:w="89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19" w:type="dxa"/>
            <w:tcBorders/>
            <w:shd w:fill="auto" w:val="clear"/>
            <w:vAlign w:val="center"/>
          </w:tcPr>
          <w:p>
            <w:pPr>
              <w:pStyle w:val="TableContents"/>
              <w:spacing w:before="0" w:after="1"/>
              <w:ind w:left="0" w:right="0" w:hanging="0"/>
              <w:rPr/>
            </w:pPr>
            <w:r>
              <w:rPr/>
              <w:t>​</w:t>
            </w:r>
          </w:p>
        </w:tc>
        <w:tc>
          <w:tcPr>
            <w:tcW w:w="95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9"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hanging="0"/>
        <w:jc w:val="center"/>
        <w:rPr/>
      </w:pPr>
      <w:r>
        <w:rPr/>
        <w:t>​</w:t>
      </w:r>
    </w:p>
    <w:p>
      <w:pPr>
        <w:pStyle w:val="TextBody"/>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highlight w:val="yellow"/>
        </w:rPr>
      </w:pPr>
      <w:r>
        <w:rPr>
          <w:highlight w:val="yellow"/>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highlight w:val="yellow"/>
        </w:rPr>
      </w:pPr>
      <w:r>
        <w:rPr>
          <w:highlight w:val="yellow"/>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Latham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rPr>
          <w:highlight w:val="yellow"/>
        </w:rPr>
      </w:pPr>
      <w:r>
        <w:rPr>
          <w:highlight w:val="yellow"/>
        </w:rPr>
        <w:t>​</w:t>
      </w:r>
    </w:p>
    <w:p>
      <w:pPr>
        <w:pStyle w:val="Normal"/>
        <w:spacing w:before="0" w:after="0"/>
        <w:rPr>
          <w:sz w:val="4"/>
          <w:szCs w:val="4"/>
        </w:rPr>
      </w:pPr>
      <w:r>
        <w:rPr>
          <w:sz w:val="4"/>
          <w:szCs w:val="4"/>
        </w:rPr>
      </w:r>
      <w:bookmarkStart w:id="378" w:name="Tc_Llr7OU4raUmBIETaZf6hFA_14_16"/>
      <w:bookmarkStart w:id="379" w:name="Tc_7yOWjV4-8EGdPOCICf6S5A_14_13"/>
      <w:bookmarkStart w:id="380" w:name="Tc_MN3_YvOoQE6Cxw2MnXU64w_14_10"/>
      <w:bookmarkStart w:id="381" w:name="Tc_FUCSny-Oz0K0lUfewOyAvA_14_7"/>
      <w:bookmarkStart w:id="382" w:name="Tc_Arw9Kg5JY0qFmKAGVLwHoQ_14_4"/>
      <w:bookmarkStart w:id="383" w:name="Tc_PLOZm4fslUKgnjCvtPmySw_14_0"/>
      <w:bookmarkStart w:id="384" w:name="Tc_TUx3ivW7RUql94W-e31bYQ_13_14"/>
      <w:bookmarkStart w:id="385" w:name="Tc_pmwzRuROPk-n3O966zlmvA_13_11"/>
      <w:bookmarkStart w:id="386" w:name="Tc_LJ_nXebV-0egos9NGc_rmw_13_5"/>
      <w:bookmarkStart w:id="387" w:name="Tc_hXG2liK94U2_V6NG8zt6lw_13_2"/>
      <w:bookmarkStart w:id="388" w:name="Tc_q8cwZFBPN0OcwldIetZ4zw_13_0"/>
      <w:bookmarkStart w:id="389" w:name="Tc_1iNyvT9e206-t4AcM0RiKA_12_17"/>
      <w:bookmarkStart w:id="390" w:name="Tc_Q4kyIX8ZakSASOcalbSUlg_12_14"/>
      <w:bookmarkStart w:id="391" w:name="Tc_QWlWiyZOjEKMeuXBb2Jywg_12_11"/>
      <w:bookmarkStart w:id="392" w:name="Tc_WHOCCiqMeUmv-GtycZwgtw_12_8"/>
      <w:bookmarkStart w:id="393" w:name="Tc_WiA5aaZai0uLQBplUCL4yA_12_5"/>
      <w:bookmarkStart w:id="394" w:name="Tc_CZ3Rgs4BAUO3HN4W2GewtA_12_0"/>
      <w:bookmarkStart w:id="395" w:name="Tc_K9AiO2DuwUijVnmqpvouJQ_11_17"/>
      <w:bookmarkStart w:id="396" w:name="Tc_l-yBz-WY50G1fqEFAsJXQg_11_14"/>
      <w:bookmarkStart w:id="397" w:name="Tc_XMC8Yl6e_kuJBUjzAgQNZQ_11_11"/>
      <w:bookmarkStart w:id="398" w:name="Tc_Bg62sR73QkahcDQQJ-BoUA_11_8"/>
      <w:bookmarkStart w:id="399" w:name="Tc_qr2rhfEk9kGRD0oHuBiKpg_11_5"/>
      <w:bookmarkStart w:id="400" w:name="Tc_YRdHgFCatEyOeTud4CmdBA_11_0"/>
      <w:bookmarkStart w:id="401" w:name="Tc_DQWDq3qzikKQdPZo-BuBzg_10_14"/>
      <w:bookmarkStart w:id="402" w:name="Tc_u7GFfb21X0e9w5wFlmJUEg_10_11"/>
      <w:bookmarkStart w:id="403" w:name="Tc_4a5RaVZiKUahmqme9QCAJw_10_0"/>
      <w:bookmarkStart w:id="404" w:name="Tc_Os4X27xzwECingIRFsLVaw_9_14"/>
      <w:bookmarkStart w:id="405" w:name="Tc_R1N9QgJvL0aArnl3YQY7Hw_9_11"/>
      <w:bookmarkStart w:id="406" w:name="Tc_oW4tPKp290SOxFKg6V69uQ_9_0"/>
      <w:bookmarkStart w:id="407" w:name="Tc_0Q78fKDq5EGLKlrOQRq7PQ_8_11"/>
      <w:bookmarkStart w:id="408" w:name="Tc_Akx1WCivR0q50VNTPKEJeQ_8_8"/>
      <w:bookmarkStart w:id="409" w:name="Tc_lGjXBeigb067Y8X4ZOru3A_8_5"/>
      <w:bookmarkStart w:id="410" w:name="Tc_STsD11R4zkm5qF6KNmwQeg_8_2"/>
      <w:bookmarkStart w:id="411" w:name="Tc_HSJKc7tjYUeeJXE1dOR58Q_8_0"/>
      <w:bookmarkStart w:id="412" w:name="Tc_MoenaBUvmUKbSQreHERkaQ_7_14"/>
      <w:bookmarkStart w:id="413" w:name="Tc_0nzLIAhYnU-B6F-Enq6FuA_7_8"/>
      <w:bookmarkStart w:id="414" w:name="Tc_IDFdWvzoNketccmYDpjj1Q_7_5"/>
      <w:bookmarkStart w:id="415" w:name="Tc_Ot2xp14CXkKYHryeHQtaHw_7_2"/>
      <w:bookmarkStart w:id="416" w:name="Tc_oRVLPv_ks0eqFQyP5ArLCA_7_0"/>
      <w:bookmarkStart w:id="417" w:name="Tc_JLnGwcK_TkOpCFTW9MEbsA_6_14"/>
      <w:bookmarkStart w:id="418" w:name="Tc_4vHNwlMYzkWuGZ3376dHBg_6_8"/>
      <w:bookmarkStart w:id="419" w:name="Tc_0yWXMy5x3kGWSjc8vN3Z4g_6_5"/>
      <w:bookmarkStart w:id="420" w:name="Tc_FTNKPNq4iESwNBY9tNYhaA_6_2"/>
      <w:bookmarkStart w:id="421" w:name="Tc_trj8r6Iz6ESMT9Io--Qz6g_6_0"/>
      <w:bookmarkStart w:id="422" w:name="Tc_Udm9VZ7E3EWTBGsZyYC3ow_5_16"/>
      <w:bookmarkStart w:id="423" w:name="Tc_IBQ9224r2EG3w3ra0MHsvQ_5_13"/>
      <w:bookmarkStart w:id="424" w:name="Tc_Mxdh9GOy0E2hAXi0cKhzww_5_10"/>
      <w:bookmarkStart w:id="425" w:name="Tc_wI3brs1CykK2V3G_tdc4uw_5_7"/>
      <w:bookmarkStart w:id="426" w:name="Tc_5HfwcQN-_0G1fij_X-FwoA_5_4"/>
      <w:bookmarkStart w:id="427" w:name="Tc_i6S_vqEsxU-wdTKjvwza-Q_5_0"/>
      <w:bookmarkStart w:id="428" w:name="Tc_jkvEgLRTZE6Vb8HsfDSogA_4_16"/>
      <w:bookmarkStart w:id="429" w:name="Tc_mNscDI1tjU6j5ex4YoDHeg_4_13"/>
      <w:bookmarkStart w:id="430" w:name="Tc_saApzPrLnkeQwaENsMI4nw_4_10"/>
      <w:bookmarkStart w:id="431" w:name="Tc_qU_HD6hHRkG1ebMfpgnF-w_4_7"/>
      <w:bookmarkStart w:id="432" w:name="Tc_aq9Jjc1CK0Kgq6exuABvtw_4_4"/>
      <w:bookmarkStart w:id="433" w:name="Tc_25FXDm3_r069QRGs-zWVag_4_2"/>
      <w:bookmarkStart w:id="434" w:name="Tc_E39yd0j5Dk2o3g5hmaNwUA_3_16"/>
      <w:bookmarkStart w:id="435" w:name="Tc_T40Teg_Us0y43QGTG2X6IQ_3_13"/>
      <w:bookmarkStart w:id="436" w:name="Tc_32ImCCveP02mwrRD18ygeg_3_10"/>
      <w:bookmarkStart w:id="437" w:name="Tc_lcgQzEsdfkW6T17TLUAgMA_3_7"/>
      <w:bookmarkStart w:id="438" w:name="Tc_m-eKnwTdlkiPXzcmDm3pHA_2_16"/>
      <w:bookmarkStart w:id="439" w:name="Tc_PTJyyYK1REuhnbJdU7P6kQ_2_13"/>
      <w:bookmarkStart w:id="440" w:name="Tc_s6lx-M84CEyl-SVMKqjJ3g_2_10"/>
      <w:bookmarkStart w:id="441" w:name="Tc_0h4rxU67gkudWJFkhjJjaQ_2_7"/>
      <w:bookmarkStart w:id="442" w:name="Tc_Qz9uplEeS0afQGXsfwC_tQ_1_13"/>
      <w:bookmarkStart w:id="443" w:name="Tc_asbwRPSUnkuZqTN5OZG-Dg_1_10"/>
      <w:bookmarkStart w:id="444" w:name="_690a4902_aa90_47d6_a1a3_607c22610712"/>
      <w:bookmarkStart w:id="445" w:name="Tc_Llr7OU4raUmBIETaZf6hFA_14_16"/>
      <w:bookmarkStart w:id="446" w:name="Tc_7yOWjV4-8EGdPOCICf6S5A_14_13"/>
      <w:bookmarkStart w:id="447" w:name="Tc_MN3_YvOoQE6Cxw2MnXU64w_14_10"/>
      <w:bookmarkStart w:id="448" w:name="Tc_FUCSny-Oz0K0lUfewOyAvA_14_7"/>
      <w:bookmarkStart w:id="449" w:name="Tc_Arw9Kg5JY0qFmKAGVLwHoQ_14_4"/>
      <w:bookmarkStart w:id="450" w:name="Tc_PLOZm4fslUKgnjCvtPmySw_14_0"/>
      <w:bookmarkStart w:id="451" w:name="Tc_TUx3ivW7RUql94W-e31bYQ_13_14"/>
      <w:bookmarkStart w:id="452" w:name="Tc_pmwzRuROPk-n3O966zlmvA_13_11"/>
      <w:bookmarkStart w:id="453" w:name="Tc_LJ_nXebV-0egos9NGc_rmw_13_5"/>
      <w:bookmarkStart w:id="454" w:name="Tc_hXG2liK94U2_V6NG8zt6lw_13_2"/>
      <w:bookmarkStart w:id="455" w:name="Tc_q8cwZFBPN0OcwldIetZ4zw_13_0"/>
      <w:bookmarkStart w:id="456" w:name="Tc_1iNyvT9e206-t4AcM0RiKA_12_17"/>
      <w:bookmarkStart w:id="457" w:name="Tc_Q4kyIX8ZakSASOcalbSUlg_12_14"/>
      <w:bookmarkStart w:id="458" w:name="Tc_QWlWiyZOjEKMeuXBb2Jywg_12_11"/>
      <w:bookmarkStart w:id="459" w:name="Tc_WHOCCiqMeUmv-GtycZwgtw_12_8"/>
      <w:bookmarkStart w:id="460" w:name="Tc_WiA5aaZai0uLQBplUCL4yA_12_5"/>
      <w:bookmarkStart w:id="461" w:name="Tc_CZ3Rgs4BAUO3HN4W2GewtA_12_0"/>
      <w:bookmarkStart w:id="462" w:name="Tc_K9AiO2DuwUijVnmqpvouJQ_11_17"/>
      <w:bookmarkStart w:id="463" w:name="Tc_l-yBz-WY50G1fqEFAsJXQg_11_14"/>
      <w:bookmarkStart w:id="464" w:name="Tc_XMC8Yl6e_kuJBUjzAgQNZQ_11_11"/>
      <w:bookmarkStart w:id="465" w:name="Tc_Bg62sR73QkahcDQQJ-BoUA_11_8"/>
      <w:bookmarkStart w:id="466" w:name="Tc_qr2rhfEk9kGRD0oHuBiKpg_11_5"/>
      <w:bookmarkStart w:id="467" w:name="Tc_YRdHgFCatEyOeTud4CmdBA_11_0"/>
      <w:bookmarkStart w:id="468" w:name="Tc_DQWDq3qzikKQdPZo-BuBzg_10_14"/>
      <w:bookmarkStart w:id="469" w:name="Tc_u7GFfb21X0e9w5wFlmJUEg_10_11"/>
      <w:bookmarkStart w:id="470" w:name="Tc_4a5RaVZiKUahmqme9QCAJw_10_0"/>
      <w:bookmarkStart w:id="471" w:name="Tc_Os4X27xzwECingIRFsLVaw_9_14"/>
      <w:bookmarkStart w:id="472" w:name="Tc_R1N9QgJvL0aArnl3YQY7Hw_9_11"/>
      <w:bookmarkStart w:id="473" w:name="Tc_oW4tPKp290SOxFKg6V69uQ_9_0"/>
      <w:bookmarkStart w:id="474" w:name="Tc_0Q78fKDq5EGLKlrOQRq7PQ_8_11"/>
      <w:bookmarkStart w:id="475" w:name="Tc_Akx1WCivR0q50VNTPKEJeQ_8_8"/>
      <w:bookmarkStart w:id="476" w:name="Tc_lGjXBeigb067Y8X4ZOru3A_8_5"/>
      <w:bookmarkStart w:id="477" w:name="Tc_STsD11R4zkm5qF6KNmwQeg_8_2"/>
      <w:bookmarkStart w:id="478" w:name="Tc_HSJKc7tjYUeeJXE1dOR58Q_8_0"/>
      <w:bookmarkStart w:id="479" w:name="Tc_MoenaBUvmUKbSQreHERkaQ_7_14"/>
      <w:bookmarkStart w:id="480" w:name="Tc_0nzLIAhYnU-B6F-Enq6FuA_7_8"/>
      <w:bookmarkStart w:id="481" w:name="Tc_IDFdWvzoNketccmYDpjj1Q_7_5"/>
      <w:bookmarkStart w:id="482" w:name="Tc_Ot2xp14CXkKYHryeHQtaHw_7_2"/>
      <w:bookmarkStart w:id="483" w:name="Tc_oRVLPv_ks0eqFQyP5ArLCA_7_0"/>
      <w:bookmarkStart w:id="484" w:name="Tc_JLnGwcK_TkOpCFTW9MEbsA_6_14"/>
      <w:bookmarkStart w:id="485" w:name="Tc_4vHNwlMYzkWuGZ3376dHBg_6_8"/>
      <w:bookmarkStart w:id="486" w:name="Tc_0yWXMy5x3kGWSjc8vN3Z4g_6_5"/>
      <w:bookmarkStart w:id="487" w:name="Tc_FTNKPNq4iESwNBY9tNYhaA_6_2"/>
      <w:bookmarkStart w:id="488" w:name="Tc_trj8r6Iz6ESMT9Io--Qz6g_6_0"/>
      <w:bookmarkStart w:id="489" w:name="Tc_Udm9VZ7E3EWTBGsZyYC3ow_5_16"/>
      <w:bookmarkStart w:id="490" w:name="Tc_IBQ9224r2EG3w3ra0MHsvQ_5_13"/>
      <w:bookmarkStart w:id="491" w:name="Tc_Mxdh9GOy0E2hAXi0cKhzww_5_10"/>
      <w:bookmarkStart w:id="492" w:name="Tc_wI3brs1CykK2V3G_tdc4uw_5_7"/>
      <w:bookmarkStart w:id="493" w:name="Tc_5HfwcQN-_0G1fij_X-FwoA_5_4"/>
      <w:bookmarkStart w:id="494" w:name="Tc_i6S_vqEsxU-wdTKjvwza-Q_5_0"/>
      <w:bookmarkStart w:id="495" w:name="Tc_jkvEgLRTZE6Vb8HsfDSogA_4_16"/>
      <w:bookmarkStart w:id="496" w:name="Tc_mNscDI1tjU6j5ex4YoDHeg_4_13"/>
      <w:bookmarkStart w:id="497" w:name="Tc_saApzPrLnkeQwaENsMI4nw_4_10"/>
      <w:bookmarkStart w:id="498" w:name="Tc_qU_HD6hHRkG1ebMfpgnF-w_4_7"/>
      <w:bookmarkStart w:id="499" w:name="Tc_aq9Jjc1CK0Kgq6exuABvtw_4_4"/>
      <w:bookmarkStart w:id="500" w:name="Tc_25FXDm3_r069QRGs-zWVag_4_2"/>
      <w:bookmarkStart w:id="501" w:name="Tc_E39yd0j5Dk2o3g5hmaNwUA_3_16"/>
      <w:bookmarkStart w:id="502" w:name="Tc_T40Teg_Us0y43QGTG2X6IQ_3_13"/>
      <w:bookmarkStart w:id="503" w:name="Tc_32ImCCveP02mwrRD18ygeg_3_10"/>
      <w:bookmarkStart w:id="504" w:name="Tc_lcgQzEsdfkW6T17TLUAgMA_3_7"/>
      <w:bookmarkStart w:id="505" w:name="Tc_m-eKnwTdlkiPXzcmDm3pHA_2_16"/>
      <w:bookmarkStart w:id="506" w:name="Tc_PTJyyYK1REuhnbJdU7P6kQ_2_13"/>
      <w:bookmarkStart w:id="507" w:name="Tc_s6lx-M84CEyl-SVMKqjJ3g_2_10"/>
      <w:bookmarkStart w:id="508" w:name="Tc_0h4rxU67gkudWJFkhjJjaQ_2_7"/>
      <w:bookmarkStart w:id="509" w:name="Tc_Qz9uplEeS0afQGXsfwC_tQ_1_13"/>
      <w:bookmarkStart w:id="510" w:name="Tc_asbwRPSUnkuZqTN5OZG-Dg_1_10"/>
      <w:bookmarkStart w:id="511" w:name="_690a4902_aa90_47d6_a1a3_607c22610712"/>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tbl>
      <w:tblPr>
        <w:tblW w:w="10205" w:type="dxa"/>
        <w:jc w:val="left"/>
        <w:tblInd w:w="0" w:type="dxa"/>
        <w:tblCellMar>
          <w:top w:w="0" w:type="dxa"/>
          <w:left w:w="0" w:type="dxa"/>
          <w:bottom w:w="0" w:type="dxa"/>
          <w:right w:w="0" w:type="dxa"/>
        </w:tblCellMar>
      </w:tblPr>
      <w:tblGrid>
        <w:gridCol w:w="1762"/>
        <w:gridCol w:w="326"/>
        <w:gridCol w:w="1142"/>
        <w:gridCol w:w="326"/>
        <w:gridCol w:w="261"/>
        <w:gridCol w:w="430"/>
        <w:gridCol w:w="326"/>
        <w:gridCol w:w="211"/>
        <w:gridCol w:w="848"/>
        <w:gridCol w:w="326"/>
        <w:gridCol w:w="260"/>
        <w:gridCol w:w="911"/>
        <w:gridCol w:w="326"/>
        <w:gridCol w:w="343"/>
        <w:gridCol w:w="933"/>
        <w:gridCol w:w="326"/>
        <w:gridCol w:w="211"/>
        <w:gridCol w:w="937"/>
      </w:tblGrid>
      <w:tr>
        <w:trPr/>
        <w:tc>
          <w:tcPr>
            <w:tcW w:w="17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118870" cy="175260"/>
                      <wp:effectExtent l="0" t="0" r="0" b="0"/>
                      <wp:wrapNone/>
                      <wp:docPr id="48" name="Frame48"/>
                      <a:graphic xmlns:a="http://schemas.openxmlformats.org/drawingml/2006/main">
                        <a:graphicData uri="http://schemas.microsoft.com/office/word/2010/wordprocessingShape">
                          <wps:wsp>
                            <wps:cNvSpPr txBox="1"/>
                            <wps:spPr>
                              <a:xfrm>
                                <a:off x="0" y="0"/>
                                <a:ext cx="1118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25170" cy="175260"/>
                      <wp:effectExtent l="0" t="0" r="0" b="0"/>
                      <wp:wrapNone/>
                      <wp:docPr id="50" name="Frame50"/>
                      <a:graphic xmlns:a="http://schemas.openxmlformats.org/drawingml/2006/main">
                        <a:graphicData uri="http://schemas.microsoft.com/office/word/2010/wordprocessingShape">
                          <wps:wsp>
                            <wps:cNvSpPr txBox="1"/>
                            <wps:spPr>
                              <a:xfrm>
                                <a:off x="0" y="0"/>
                                <a:ext cx="7251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65735" cy="175260"/>
                      <wp:effectExtent l="0" t="0" r="0" b="0"/>
                      <wp:wrapNone/>
                      <wp:docPr id="52" name="Frame52"/>
                      <a:graphic xmlns:a="http://schemas.openxmlformats.org/drawingml/2006/main">
                        <a:graphicData uri="http://schemas.microsoft.com/office/word/2010/wordprocessingShape">
                          <wps:wsp>
                            <wps:cNvSpPr txBox="1"/>
                            <wps:spPr>
                              <a:xfrm>
                                <a:off x="0" y="0"/>
                                <a:ext cx="165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73050" cy="175260"/>
                      <wp:effectExtent l="0" t="0" r="0" b="0"/>
                      <wp:wrapNone/>
                      <wp:docPr id="53" name="Frame53"/>
                      <a:graphic xmlns:a="http://schemas.openxmlformats.org/drawingml/2006/main">
                        <a:graphicData uri="http://schemas.microsoft.com/office/word/2010/wordprocessingShape">
                          <wps:wsp>
                            <wps:cNvSpPr txBox="1"/>
                            <wps:spPr>
                              <a:xfrm>
                                <a:off x="0" y="0"/>
                                <a:ext cx="273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38480" cy="175260"/>
                      <wp:effectExtent l="0" t="0" r="0" b="0"/>
                      <wp:wrapNone/>
                      <wp:docPr id="56" name="Frame56"/>
                      <a:graphic xmlns:a="http://schemas.openxmlformats.org/drawingml/2006/main">
                        <a:graphicData uri="http://schemas.microsoft.com/office/word/2010/wordprocessingShape">
                          <wps:wsp>
                            <wps:cNvSpPr txBox="1"/>
                            <wps:spPr>
                              <a:xfrm>
                                <a:off x="0" y="0"/>
                                <a:ext cx="538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65100" cy="175260"/>
                      <wp:effectExtent l="0" t="0" r="0" b="0"/>
                      <wp:wrapNone/>
                      <wp:docPr id="58" name="Frame58"/>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78485" cy="175260"/>
                      <wp:effectExtent l="0" t="0" r="0" b="0"/>
                      <wp:wrapNone/>
                      <wp:docPr id="59" name="Frame59"/>
                      <a:graphic xmlns:a="http://schemas.openxmlformats.org/drawingml/2006/main">
                        <a:graphicData uri="http://schemas.microsoft.com/office/word/2010/wordprocessingShape">
                          <wps:wsp>
                            <wps:cNvSpPr txBox="1"/>
                            <wps:spPr>
                              <a:xfrm>
                                <a:off x="0" y="0"/>
                                <a:ext cx="578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7805" cy="175260"/>
                      <wp:effectExtent l="0" t="0" r="0" b="0"/>
                      <wp:wrapNone/>
                      <wp:docPr id="61" name="Frame61"/>
                      <a:graphic xmlns:a="http://schemas.openxmlformats.org/drawingml/2006/main">
                        <a:graphicData uri="http://schemas.microsoft.com/office/word/2010/wordprocessingShape">
                          <wps:wsp>
                            <wps:cNvSpPr txBox="1"/>
                            <wps:spPr>
                              <a:xfrm>
                                <a:off x="0" y="0"/>
                                <a:ext cx="217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92455" cy="175260"/>
                      <wp:effectExtent l="0" t="0" r="0" b="0"/>
                      <wp:wrapNone/>
                      <wp:docPr id="62" name="Frame62"/>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94995" cy="175260"/>
                      <wp:effectExtent l="0" t="0" r="0" b="0"/>
                      <wp:wrapNone/>
                      <wp:docPr id="65" name="Frame65"/>
                      <a:graphic xmlns:a="http://schemas.openxmlformats.org/drawingml/2006/main">
                        <a:graphicData uri="http://schemas.microsoft.com/office/word/2010/wordprocessingShape">
                          <wps:wsp>
                            <wps:cNvSpPr txBox="1"/>
                            <wps:spPr>
                              <a:xfrm>
                                <a:off x="0" y="0"/>
                                <a:ext cx="5949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6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61" w:type="dxa"/>
            <w:tcBorders/>
            <w:shd w:fill="auto" w:val="clear"/>
            <w:vAlign w:val="center"/>
          </w:tcPr>
          <w:p>
            <w:pPr>
              <w:pStyle w:val="TableContents"/>
              <w:spacing w:before="0" w:after="0"/>
              <w:ind w:left="0" w:right="0" w:hanging="0"/>
              <w:rPr/>
            </w:pPr>
            <w:r>
              <w:rPr/>
              <w:t>​</w:t>
            </w:r>
          </w:p>
        </w:tc>
        <w:tc>
          <w:tcPr>
            <w:tcW w:w="43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17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w:t>
            </w:r>
          </w:p>
        </w:tc>
        <w:tc>
          <w:tcPr>
            <w:tcW w:w="326" w:type="dxa"/>
            <w:tcBorders/>
            <w:shd w:fill="auto" w:val="clear"/>
            <w:vAlign w:val="center"/>
          </w:tcPr>
          <w:p>
            <w:pPr>
              <w:pStyle w:val="TableContents"/>
              <w:spacing w:before="0" w:after="0"/>
              <w:ind w:left="0" w:right="0" w:hanging="0"/>
              <w:rPr/>
            </w:pPr>
            <w:r>
              <w:rPr/>
              <w:t>    </w:t>
            </w:r>
          </w:p>
        </w:tc>
        <w:tc>
          <w:tcPr>
            <w:tcW w:w="127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937" w:type="dxa"/>
            <w:tcBorders/>
            <w:shd w:fill="auto" w:val="clear"/>
            <w:vAlign w:val="center"/>
          </w:tcPr>
          <w:p>
            <w:pPr>
              <w:pStyle w:val="TableContents"/>
              <w:spacing w:before="0" w:after="0"/>
              <w:ind w:left="0" w:right="0" w:hanging="0"/>
              <w:jc w:val="center"/>
              <w:rPr/>
            </w:pPr>
            <w:r>
              <w:rPr/>
              <w:t>​</w:t>
            </w:r>
          </w:p>
        </w:tc>
      </w:tr>
      <w:tr>
        <w:trPr/>
        <w:tc>
          <w:tcPr>
            <w:tcW w:w="176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43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5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0"/>
              <w:ind w:left="0" w:right="0" w:hanging="0"/>
              <w:rPr/>
            </w:pPr>
            <w:r>
              <w:rPr/>
              <w:t>​</w:t>
            </w:r>
          </w:p>
        </w:tc>
        <w:tc>
          <w:tcPr>
            <w:tcW w:w="117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shd w:fill="auto" w:val="clear"/>
            <w:vAlign w:val="center"/>
          </w:tcPr>
          <w:p>
            <w:pPr>
              <w:pStyle w:val="TableContents"/>
              <w:spacing w:before="0" w:after="0"/>
              <w:ind w:left="0" w:right="0" w:hanging="0"/>
              <w:rPr/>
            </w:pPr>
            <w:r>
              <w:rPr/>
              <w:t>​</w:t>
            </w:r>
          </w:p>
        </w:tc>
        <w:tc>
          <w:tcPr>
            <w:tcW w:w="127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rPr/>
            </w:pPr>
            <w:r>
              <w:rPr/>
              <w:t>​</w:t>
            </w:r>
          </w:p>
        </w:tc>
        <w:tc>
          <w:tcPr>
            <w:tcW w:w="114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6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43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59"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Paid-in </w:t>
            </w:r>
          </w:p>
        </w:tc>
        <w:tc>
          <w:tcPr>
            <w:tcW w:w="326" w:type="dxa"/>
            <w:tcBorders/>
            <w:shd w:fill="auto" w:val="clear"/>
            <w:vAlign w:val="center"/>
          </w:tcPr>
          <w:p>
            <w:pPr>
              <w:pStyle w:val="TableContents"/>
              <w:spacing w:before="0" w:after="0"/>
              <w:ind w:left="0" w:right="0" w:hanging="0"/>
              <w:rPr/>
            </w:pPr>
            <w:r>
              <w:rPr/>
              <w:t>​</w:t>
            </w:r>
          </w:p>
        </w:tc>
        <w:tc>
          <w:tcPr>
            <w:tcW w:w="1171"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w:t>
            </w:r>
          </w:p>
        </w:tc>
        <w:tc>
          <w:tcPr>
            <w:tcW w:w="1276"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Comprehensive</w:t>
            </w:r>
          </w:p>
        </w:tc>
        <w:tc>
          <w:tcPr>
            <w:tcW w:w="326" w:type="dxa"/>
            <w:tcBorders/>
            <w:shd w:fill="auto" w:val="clear"/>
            <w:vAlign w:val="center"/>
          </w:tcPr>
          <w:p>
            <w:pPr>
              <w:pStyle w:val="TableContents"/>
              <w:spacing w:before="0" w:after="0"/>
              <w:ind w:left="0" w:right="0" w:hanging="0"/>
              <w:rPr/>
            </w:pPr>
            <w:r>
              <w:rPr/>
              <w:t>​</w:t>
            </w:r>
          </w:p>
        </w:tc>
        <w:tc>
          <w:tcPr>
            <w:tcW w:w="1148"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Stockholders'</w:t>
            </w:r>
          </w:p>
        </w:tc>
      </w:tr>
      <w:tr>
        <w:trPr/>
        <w:tc>
          <w:tcPr>
            <w:tcW w:w="176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w:t>
            </w:r>
          </w:p>
        </w:tc>
        <w:tc>
          <w:tcPr>
            <w:tcW w:w="105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rPr/>
            </w:pPr>
            <w:r>
              <w:rPr/>
              <w:t>​</w:t>
            </w:r>
          </w:p>
        </w:tc>
        <w:tc>
          <w:tcPr>
            <w:tcW w:w="11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Deficit)</w:t>
            </w:r>
          </w:p>
        </w:tc>
        <w:tc>
          <w:tcPr>
            <w:tcW w:w="326" w:type="dxa"/>
            <w:tcBorders/>
            <w:shd w:fill="auto" w:val="clear"/>
            <w:vAlign w:val="center"/>
          </w:tcPr>
          <w:p>
            <w:pPr>
              <w:pStyle w:val="TableContents"/>
              <w:spacing w:before="0" w:after="0"/>
              <w:ind w:left="0" w:right="0" w:hanging="0"/>
              <w:rPr/>
            </w:pPr>
            <w:r>
              <w:rPr/>
              <w:t>​</w:t>
            </w:r>
          </w:p>
        </w:tc>
        <w:tc>
          <w:tcPr>
            <w:tcW w:w="12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Income (Loss)</w:t>
            </w:r>
          </w:p>
        </w:tc>
        <w:tc>
          <w:tcPr>
            <w:tcW w:w="326" w:type="dxa"/>
            <w:tcBorders/>
            <w:shd w:fill="auto" w:val="clear"/>
            <w:vAlign w:val="center"/>
          </w:tcPr>
          <w:p>
            <w:pPr>
              <w:pStyle w:val="TableContents"/>
              <w:spacing w:before="0" w:after="0"/>
              <w:ind w:left="0" w:right="0" w:hanging="0"/>
              <w:rPr/>
            </w:pPr>
            <w:r>
              <w:rPr/>
              <w:t>​</w:t>
            </w:r>
          </w:p>
        </w:tc>
        <w:tc>
          <w:tcPr>
            <w:tcW w:w="11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Equity</w:t>
            </w:r>
          </w:p>
        </w:tc>
      </w:tr>
      <w:tr>
        <w:trPr/>
        <w:tc>
          <w:tcPr>
            <w:tcW w:w="1762"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Balances at December 31, 2021</w:t>
            </w:r>
          </w:p>
        </w:tc>
        <w:tc>
          <w:tcPr>
            <w:tcW w:w="326" w:type="dxa"/>
            <w:tcBorders/>
            <w:shd w:fill="CCEEFF" w:val="clear"/>
            <w:vAlign w:val="center"/>
          </w:tcPr>
          <w:p>
            <w:pPr>
              <w:pStyle w:val="TableContents"/>
              <w:spacing w:before="0" w:after="0"/>
              <w:ind w:left="0" w:right="0" w:hanging="0"/>
              <w:rPr/>
            </w:pPr>
            <w:r>
              <w:rPr/>
              <w:t> </w:t>
            </w:r>
          </w:p>
        </w:tc>
        <w:tc>
          <w:tcPr>
            <w:tcW w:w="11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119,445,611</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401,846</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(48,583)</w:t>
            </w:r>
          </w:p>
        </w:tc>
        <w:tc>
          <w:tcPr>
            <w:tcW w:w="326" w:type="dxa"/>
            <w:tcBorders/>
            <w:shd w:fill="CCEEFF" w:val="clear"/>
            <w:vAlign w:val="center"/>
          </w:tcPr>
          <w:p>
            <w:pPr>
              <w:pStyle w:val="TableContents"/>
              <w:spacing w:before="0" w:after="0"/>
              <w:ind w:left="0" w:right="0" w:hanging="0"/>
              <w:rPr/>
            </w:pPr>
            <w:r>
              <w:rPr/>
              <w:t>​</w:t>
            </w:r>
          </w:p>
        </w:tc>
        <w:tc>
          <w:tcPr>
            <w:tcW w:w="3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353,645</w:t>
            </w:r>
          </w:p>
        </w:tc>
      </w:tr>
      <w:tr>
        <w:trPr/>
        <w:tc>
          <w:tcPr>
            <w:tcW w:w="17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Cumulative effect of adoption of new accounting standard- leases</w:t>
            </w:r>
          </w:p>
        </w:tc>
        <w:tc>
          <w:tcPr>
            <w:tcW w:w="326" w:type="dxa"/>
            <w:tcBorders/>
            <w:shd w:fill="auto" w:val="clear"/>
            <w:vAlign w:val="center"/>
          </w:tcPr>
          <w:p>
            <w:pPr>
              <w:pStyle w:val="TableContents"/>
              <w:spacing w:before="0" w:after="0"/>
              <w:ind w:left="0" w:right="0" w:hanging="0"/>
              <w:rPr/>
            </w:pPr>
            <w:r>
              <w:rPr/>
              <w:t>​</w:t>
            </w:r>
          </w:p>
        </w:tc>
        <w:tc>
          <w:tcPr>
            <w:tcW w:w="114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43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pPr>
            <w:r>
              <w:rPr/>
              <w:t>​</w:t>
            </w:r>
          </w:p>
        </w:tc>
        <w:tc>
          <w:tcPr>
            <w:tcW w:w="9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shd w:fill="auto" w:val="clear"/>
            <w:vAlign w:val="center"/>
          </w:tcPr>
          <w:p>
            <w:pPr>
              <w:pStyle w:val="TableContents"/>
              <w:spacing w:before="0" w:after="0"/>
              <w:ind w:left="0" w:right="0" w:hanging="0"/>
              <w:rPr/>
            </w:pPr>
            <w:r>
              <w:rPr/>
              <w:t>​</w:t>
            </w:r>
          </w:p>
        </w:tc>
        <w:tc>
          <w:tcPr>
            <w:tcW w:w="343"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176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0"/>
              <w:ind w:left="0" w:right="0" w:hanging="0"/>
              <w:rPr/>
            </w:pPr>
            <w:r>
              <w:rPr/>
              <w:t> </w:t>
            </w:r>
          </w:p>
        </w:tc>
        <w:tc>
          <w:tcPr>
            <w:tcW w:w="114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 </w:t>
            </w:r>
          </w:p>
        </w:tc>
        <w:tc>
          <w:tcPr>
            <w:tcW w:w="4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pPr>
            <w:r>
              <w:rPr/>
              <w:t> </w:t>
            </w:r>
          </w:p>
        </w:tc>
        <w:tc>
          <w:tcPr>
            <w:tcW w:w="9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(2,840)</w:t>
            </w:r>
          </w:p>
        </w:tc>
        <w:tc>
          <w:tcPr>
            <w:tcW w:w="326" w:type="dxa"/>
            <w:tcBorders/>
            <w:shd w:fill="CCEEFF" w:val="clear"/>
            <w:vAlign w:val="center"/>
          </w:tcPr>
          <w:p>
            <w:pPr>
              <w:pStyle w:val="TableContents"/>
              <w:spacing w:before="0" w:after="0"/>
              <w:ind w:left="0" w:right="0" w:hanging="0"/>
              <w:rPr/>
            </w:pPr>
            <w:r>
              <w:rPr/>
              <w:t>​</w:t>
            </w:r>
          </w:p>
        </w:tc>
        <w:tc>
          <w:tcPr>
            <w:tcW w:w="343" w:type="dxa"/>
            <w:tcBorders/>
            <w:shd w:fill="CCEEFF" w:val="clear"/>
            <w:vAlign w:val="center"/>
          </w:tcPr>
          <w:p>
            <w:pPr>
              <w:pStyle w:val="TableContents"/>
              <w:spacing w:before="0" w:after="0"/>
              <w:ind w:left="0" w:right="0" w:hanging="0"/>
              <w:rPr/>
            </w:pPr>
            <w:r>
              <w:rPr/>
              <w:t> </w:t>
            </w:r>
          </w:p>
        </w:tc>
        <w:tc>
          <w:tcPr>
            <w:tcW w:w="93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(2,840)</w:t>
            </w:r>
          </w:p>
        </w:tc>
      </w:tr>
      <w:tr>
        <w:trPr/>
        <w:tc>
          <w:tcPr>
            <w:tcW w:w="17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auto" w:val="clear"/>
            <w:vAlign w:val="center"/>
          </w:tcPr>
          <w:p>
            <w:pPr>
              <w:pStyle w:val="TableContents"/>
              <w:spacing w:before="0" w:after="0"/>
              <w:ind w:left="0" w:right="0" w:hanging="0"/>
              <w:rPr/>
            </w:pPr>
            <w:r>
              <w:rPr/>
              <w:t> </w:t>
            </w:r>
          </w:p>
        </w:tc>
        <w:tc>
          <w:tcPr>
            <w:tcW w:w="114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pPr>
            <w:r>
              <w:rPr/>
              <w:t> </w:t>
            </w:r>
          </w:p>
        </w:tc>
        <w:tc>
          <w:tcPr>
            <w:tcW w:w="9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43" w:type="dxa"/>
            <w:tcBorders/>
            <w:shd w:fill="auto" w:val="clear"/>
            <w:vAlign w:val="center"/>
          </w:tcPr>
          <w:p>
            <w:pPr>
              <w:pStyle w:val="TableContents"/>
              <w:spacing w:before="0" w:after="0"/>
              <w:ind w:left="0" w:right="0" w:hanging="0"/>
              <w:rPr/>
            </w:pPr>
            <w:r>
              <w:rPr/>
              <w:t> </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1,220</w:t>
            </w:r>
          </w:p>
        </w:tc>
      </w:tr>
      <w:tr>
        <w:trPr/>
        <w:tc>
          <w:tcPr>
            <w:tcW w:w="176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 of common stock</w:t>
            </w:r>
          </w:p>
        </w:tc>
        <w:tc>
          <w:tcPr>
            <w:tcW w:w="326" w:type="dxa"/>
            <w:tcBorders/>
            <w:shd w:fill="CCEEFF" w:val="clear"/>
            <w:vAlign w:val="center"/>
          </w:tcPr>
          <w:p>
            <w:pPr>
              <w:pStyle w:val="TableContents"/>
              <w:spacing w:before="0" w:after="0"/>
              <w:ind w:left="0" w:right="0" w:hanging="0"/>
              <w:rPr/>
            </w:pPr>
            <w:r>
              <w:rPr/>
              <w:t>​</w:t>
            </w:r>
          </w:p>
        </w:tc>
        <w:tc>
          <w:tcPr>
            <w:tcW w:w="11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13,800,000</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w:t>
            </w:r>
          </w:p>
        </w:tc>
        <w:tc>
          <w:tcPr>
            <w:tcW w:w="4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269,099</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pPr>
            <w:r>
              <w:rPr/>
              <w:t>​</w:t>
            </w:r>
          </w:p>
        </w:tc>
        <w:tc>
          <w:tcPr>
            <w:tcW w:w="9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43" w:type="dxa"/>
            <w:tcBorders/>
            <w:shd w:fill="CCEEFF" w:val="clear"/>
            <w:vAlign w:val="center"/>
          </w:tcPr>
          <w:p>
            <w:pPr>
              <w:pStyle w:val="TableContents"/>
              <w:spacing w:before="0" w:after="0"/>
              <w:ind w:left="0" w:right="0" w:hanging="0"/>
              <w:rPr/>
            </w:pPr>
            <w:r>
              <w:rPr/>
              <w:t>​</w:t>
            </w:r>
          </w:p>
        </w:tc>
        <w:tc>
          <w:tcPr>
            <w:tcW w:w="93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269,100</w:t>
            </w:r>
          </w:p>
        </w:tc>
      </w:tr>
      <w:tr>
        <w:trPr/>
        <w:tc>
          <w:tcPr>
            <w:tcW w:w="17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Repurchase and retirement of common stock</w:t>
            </w:r>
          </w:p>
        </w:tc>
        <w:tc>
          <w:tcPr>
            <w:tcW w:w="326" w:type="dxa"/>
            <w:tcBorders/>
            <w:shd w:fill="auto" w:val="clear"/>
            <w:vAlign w:val="center"/>
          </w:tcPr>
          <w:p>
            <w:pPr>
              <w:pStyle w:val="TableContents"/>
              <w:spacing w:before="0" w:after="0"/>
              <w:ind w:left="0" w:right="0" w:hanging="0"/>
              <w:rPr/>
            </w:pPr>
            <w:r>
              <w:rPr/>
              <w:t>​</w:t>
            </w:r>
          </w:p>
        </w:tc>
        <w:tc>
          <w:tcPr>
            <w:tcW w:w="11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(13,800,244)</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4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(257,662)</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pPr>
            <w:r>
              <w:rPr/>
              <w:t>​</w:t>
            </w:r>
          </w:p>
        </w:tc>
        <w:tc>
          <w:tcPr>
            <w:tcW w:w="9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43"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(257,663)</w:t>
            </w:r>
          </w:p>
        </w:tc>
      </w:tr>
      <w:tr>
        <w:trPr/>
        <w:tc>
          <w:tcPr>
            <w:tcW w:w="176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Retirement of restricted stock</w:t>
            </w:r>
          </w:p>
        </w:tc>
        <w:tc>
          <w:tcPr>
            <w:tcW w:w="326" w:type="dxa"/>
            <w:tcBorders/>
            <w:shd w:fill="CCEEFF" w:val="clear"/>
            <w:vAlign w:val="center"/>
          </w:tcPr>
          <w:p>
            <w:pPr>
              <w:pStyle w:val="TableContents"/>
              <w:spacing w:before="0" w:after="0"/>
              <w:ind w:left="0" w:right="0" w:hanging="0"/>
              <w:rPr/>
            </w:pPr>
            <w:r>
              <w:rPr/>
              <w:t>​</w:t>
            </w:r>
          </w:p>
        </w:tc>
        <w:tc>
          <w:tcPr>
            <w:tcW w:w="11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(53,961)</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w:t>
            </w:r>
          </w:p>
        </w:tc>
        <w:tc>
          <w:tcPr>
            <w:tcW w:w="4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pPr>
            <w:r>
              <w:rPr/>
              <w:t>​</w:t>
            </w:r>
          </w:p>
        </w:tc>
        <w:tc>
          <w:tcPr>
            <w:tcW w:w="9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43" w:type="dxa"/>
            <w:tcBorders/>
            <w:shd w:fill="CCEEFF" w:val="clear"/>
            <w:vAlign w:val="center"/>
          </w:tcPr>
          <w:p>
            <w:pPr>
              <w:pStyle w:val="TableContents"/>
              <w:spacing w:before="0" w:after="0"/>
              <w:ind w:left="0" w:right="0" w:hanging="0"/>
              <w:rPr/>
            </w:pPr>
            <w:r>
              <w:rPr/>
              <w:t>​</w:t>
            </w:r>
          </w:p>
        </w:tc>
        <w:tc>
          <w:tcPr>
            <w:tcW w:w="93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7" w:type="dxa"/>
            <w:tcBorders/>
            <w:shd w:fill="CCEEFF" w:val="clear"/>
            <w:vAlign w:val="center"/>
          </w:tcPr>
          <w:p>
            <w:pPr>
              <w:pStyle w:val="TableContents"/>
              <w:spacing w:before="0" w:after="0"/>
              <w:ind w:left="0" w:right="0" w:hanging="0"/>
              <w:jc w:val="right"/>
              <w:rPr/>
            </w:pPr>
            <w:r>
              <w:rPr/>
              <w:t>—</w:t>
            </w:r>
          </w:p>
        </w:tc>
      </w:tr>
      <w:tr>
        <w:trPr/>
        <w:tc>
          <w:tcPr>
            <w:tcW w:w="17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Issuance of common stock upon release of restricted stock units</w:t>
            </w:r>
          </w:p>
        </w:tc>
        <w:tc>
          <w:tcPr>
            <w:tcW w:w="326" w:type="dxa"/>
            <w:tcBorders/>
            <w:shd w:fill="auto" w:val="clear"/>
            <w:vAlign w:val="center"/>
          </w:tcPr>
          <w:p>
            <w:pPr>
              <w:pStyle w:val="TableContents"/>
              <w:spacing w:before="0" w:after="0"/>
              <w:ind w:left="0" w:right="0" w:hanging="0"/>
              <w:rPr/>
            </w:pPr>
            <w:r>
              <w:rPr/>
              <w:t>​</w:t>
            </w:r>
          </w:p>
        </w:tc>
        <w:tc>
          <w:tcPr>
            <w:tcW w:w="11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78,341</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43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pPr>
            <w:r>
              <w:rPr/>
              <w:t>​</w:t>
            </w:r>
          </w:p>
        </w:tc>
        <w:tc>
          <w:tcPr>
            <w:tcW w:w="9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43"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7" w:type="dxa"/>
            <w:tcBorders/>
            <w:shd w:fill="auto" w:val="clear"/>
            <w:vAlign w:val="center"/>
          </w:tcPr>
          <w:p>
            <w:pPr>
              <w:pStyle w:val="TableContents"/>
              <w:spacing w:before="0" w:after="0"/>
              <w:ind w:left="0" w:right="0" w:hanging="0"/>
              <w:jc w:val="right"/>
              <w:rPr/>
            </w:pPr>
            <w:r>
              <w:rPr/>
              <w:t>—</w:t>
            </w:r>
          </w:p>
        </w:tc>
      </w:tr>
      <w:tr>
        <w:trPr/>
        <w:tc>
          <w:tcPr>
            <w:tcW w:w="176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spacing w:before="0" w:after="0"/>
              <w:ind w:left="0" w:right="0" w:hanging="0"/>
              <w:rPr/>
            </w:pPr>
            <w:r>
              <w:rPr/>
              <w:t> </w:t>
            </w:r>
          </w:p>
        </w:tc>
        <w:tc>
          <w:tcPr>
            <w:tcW w:w="11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3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16,925</w:t>
            </w:r>
          </w:p>
        </w:tc>
        <w:tc>
          <w:tcPr>
            <w:tcW w:w="326" w:type="dxa"/>
            <w:tcBorders/>
            <w:shd w:fill="CCEEFF" w:val="clear"/>
            <w:vAlign w:val="center"/>
          </w:tcPr>
          <w:p>
            <w:pPr>
              <w:pStyle w:val="TableContents"/>
              <w:spacing w:before="0" w:after="0"/>
              <w:ind w:left="0" w:right="0" w:hanging="0"/>
              <w:rPr/>
            </w:pPr>
            <w:r>
              <w:rPr/>
              <w:t>​</w:t>
            </w:r>
          </w:p>
        </w:tc>
        <w:tc>
          <w:tcPr>
            <w:tcW w:w="26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4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16,925</w:t>
            </w:r>
          </w:p>
        </w:tc>
      </w:tr>
      <w:tr>
        <w:trPr/>
        <w:tc>
          <w:tcPr>
            <w:tcW w:w="1762"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Balances at April 2, 2022</w:t>
            </w:r>
          </w:p>
        </w:tc>
        <w:tc>
          <w:tcPr>
            <w:tcW w:w="326" w:type="dxa"/>
            <w:tcBorders/>
            <w:shd w:fill="auto" w:val="clear"/>
            <w:vAlign w:val="center"/>
          </w:tcPr>
          <w:p>
            <w:pPr>
              <w:pStyle w:val="TableContents"/>
              <w:spacing w:before="0" w:after="0"/>
              <w:ind w:left="0" w:right="0" w:hanging="0"/>
              <w:rPr/>
            </w:pPr>
            <w:r>
              <w:rPr/>
              <w:t> </w:t>
            </w:r>
          </w:p>
        </w:tc>
        <w:tc>
          <w:tcPr>
            <w:tcW w:w="11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119,469,747</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430,208</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(51,714)</w:t>
            </w:r>
          </w:p>
        </w:tc>
        <w:tc>
          <w:tcPr>
            <w:tcW w:w="326" w:type="dxa"/>
            <w:tcBorders/>
            <w:shd w:fill="auto" w:val="clear"/>
            <w:vAlign w:val="center"/>
          </w:tcPr>
          <w:p>
            <w:pPr>
              <w:pStyle w:val="TableContents"/>
              <w:spacing w:before="0" w:after="0"/>
              <w:ind w:left="0" w:right="0" w:hanging="0"/>
              <w:rPr/>
            </w:pPr>
            <w:r>
              <w:rPr/>
              <w:t>​</w:t>
            </w:r>
          </w:p>
        </w:tc>
        <w:tc>
          <w:tcPr>
            <w:tcW w:w="34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7" w:type="dxa"/>
            <w:tcBorders/>
            <w:shd w:fill="auto"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380,096</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12" w:name="_b29bb8f0_f8f1_4df4_9ae1_0e419b317ed6"/>
      <w:bookmarkEnd w:id="512"/>
      <w:r>
        <w:rPr>
          <w:rFonts w:ascii="Times New Roman;Times;serif" w:hAnsi="Times New Roman;Times;serif"/>
          <w:b/>
          <w:sz w:val="20"/>
        </w:rPr>
        <w:t>Latham Group, Inc.</w:t>
      </w:r>
    </w:p>
    <w:p>
      <w:pPr>
        <w:pStyle w:val="TextBody"/>
        <w:spacing w:before="0" w:after="0"/>
        <w:ind w:left="0" w:right="0" w:hanging="0"/>
        <w:jc w:val="center"/>
        <w:rPr>
          <w:rFonts w:ascii="Times New Roman;Times;serif" w:hAnsi="Times New Roman;Times;serif"/>
          <w:b/>
          <w:sz w:val="20"/>
        </w:rPr>
      </w:pPr>
      <w:bookmarkStart w:id="513" w:name="CondensedConsolidatedStatementsofCashFlo"/>
      <w:bookmarkEnd w:id="513"/>
      <w:r>
        <w:rPr>
          <w:rFonts w:ascii="Times New Roman;Times;serif" w:hAnsi="Times New Roman;Times;serif"/>
          <w:b/>
          <w:sz w:val="20"/>
        </w:rPr>
        <w:t>Condensed 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514" w:name="Tc_VRODV3UWDkifn8DIaLlUlw_51_6"/>
      <w:bookmarkStart w:id="515" w:name="Tc_c9ddPhRtW0S2EPGRIfLMlQ_51_0"/>
      <w:bookmarkStart w:id="516" w:name="Tc_jjk03cfsGEOyPv68yN5zQg_50_6"/>
      <w:bookmarkStart w:id="517" w:name="Tc_8iaOb3niTkWDGNn6qmve3g_50_0"/>
      <w:bookmarkStart w:id="518" w:name="Tc_GoQjaC__20a5ebg04GkYsg_49_3"/>
      <w:bookmarkStart w:id="519" w:name="Tc_1Y-IoPEZ_EiAwJ5vTIAXiw_49_0"/>
      <w:bookmarkStart w:id="520" w:name="Tc_PoKUU8IPPEmf2TYoP1m4og_48_0"/>
      <w:bookmarkStart w:id="521" w:name="Tc_trjdHHaoAkuD-mSI1kUQtA_47_5"/>
      <w:bookmarkStart w:id="522" w:name="Tc_amBdo89jdkCWwTbuAj434w_47_2"/>
      <w:bookmarkStart w:id="523" w:name="Tc_V5XYNajL4UibPggrzcpUFA_47_0"/>
      <w:bookmarkStart w:id="524" w:name="Tc_2F6djygbvUK48VWMAKAFxQ_46_0"/>
      <w:bookmarkStart w:id="525" w:name="Tc_MBmDwwN1LU-6DSnc9h-k2Q_45_0"/>
      <w:bookmarkStart w:id="526" w:name="Tc_r_DTTKsgNUKF_FvKCdWaPA_44_5"/>
      <w:bookmarkStart w:id="527" w:name="Tc_vzXIY_R-fU2rY9-TXQ7RgA_44_2"/>
      <w:bookmarkStart w:id="528" w:name="Tc_UQeL91Ha5EuUgFOvJQIO4Q_44_0"/>
      <w:bookmarkStart w:id="529" w:name="Tc_63JPVvFNI0iyqiH4lEJ9Vw_43_0"/>
      <w:bookmarkStart w:id="530" w:name="Tc_CxJ5hlmdOkywL9NaQ3gdEQ_42_5"/>
      <w:bookmarkStart w:id="531" w:name="Tc_ye8a6tdX5kiT9uwsofnHhA_42_2"/>
      <w:bookmarkStart w:id="532" w:name="Tc_ULppPwOeVk-txaXeWkzrOg_42_0"/>
      <w:bookmarkStart w:id="533" w:name="Tc_ODC078WZj0WUwbrYUlnCJw_41_0"/>
      <w:bookmarkStart w:id="534" w:name="Tc_pWVk3btjcU2Khn2zbb75WQ_40_0"/>
      <w:bookmarkStart w:id="535" w:name="Tc_vBBxl80JHECXTlFW0csXcw_39_0"/>
      <w:bookmarkStart w:id="536" w:name="Tc_27XOOj3hIUOo_TWUS_hU4w_38_0"/>
      <w:bookmarkStart w:id="537" w:name="Tc_wjtSTcmZUkK-XNtjcWgUKg_37_3"/>
      <w:bookmarkStart w:id="538" w:name="Tc_7hLApfi5j06BwbKggri20w_37_0"/>
      <w:bookmarkStart w:id="539" w:name="Tc_ECjYT--jTEeQAKw9-xyTBQ_36_0"/>
      <w:bookmarkStart w:id="540" w:name="Tc_2MGyd36SMEOpYYFrxWJSOA_35_6"/>
      <w:bookmarkStart w:id="541" w:name="Tc_ozL2U9azXUGzkwC1sn9ebw_35_0"/>
      <w:bookmarkStart w:id="542" w:name="Tc_Yh6QHMqaiEWO597TPSQEUg_34_3"/>
      <w:bookmarkStart w:id="543" w:name="Tc_7ISpMH5y8k6qdPWVsg8M5A_34_0"/>
      <w:bookmarkStart w:id="544" w:name="Tc_ePq0AH2IJEq4BA_ojzq76g_33_0"/>
      <w:bookmarkStart w:id="545" w:name="Tc_QKY-kgYwikaQL2UkSu2xDA_32_0"/>
      <w:bookmarkStart w:id="546" w:name="Tc_rvRSVyoqDEmi1MXsDqXKLw_31_0"/>
      <w:bookmarkStart w:id="547" w:name="Tc_KSMRJmh_F0Sg5gHi6OCOOg_30_0"/>
      <w:bookmarkStart w:id="548" w:name="Tc_tjegHDEjVkm8__ZJxAJrTQ_29_0"/>
      <w:bookmarkStart w:id="549" w:name="Tc_Yca2H_lwiU6bu4RlQj2uiw_28_0"/>
      <w:bookmarkStart w:id="550" w:name="Tc_zEH-I-oFakysPCDIdvhTIg_27_0"/>
      <w:bookmarkStart w:id="551" w:name="Tc_-uSy3YWFtE-7AZbuAcyicg_26_0"/>
      <w:bookmarkStart w:id="552" w:name="Tc_E5ulcYRTkkSnj_wbCwzVgA_25_0"/>
      <w:bookmarkStart w:id="553" w:name="Tc_o0gvXk-eN0Kdzl0HFU4IcQ_24_0"/>
      <w:bookmarkStart w:id="554" w:name="Tc_ZfEduLgihEuUwjnbfR1dsQ_23_0"/>
      <w:bookmarkStart w:id="555" w:name="Tc_i0UdAV7qs0WyJW1DWxQa1A_22_0"/>
      <w:bookmarkStart w:id="556" w:name="Tc_7xh8nwu_PkyXEk8CMmyzmg_21_0"/>
      <w:bookmarkStart w:id="557" w:name="Tc_3zDtarfXUEuJmXHrqynyww_20_6"/>
      <w:bookmarkStart w:id="558" w:name="Tc_vO3ze2fd0k2zFch-LzKwGw_20_0"/>
      <w:bookmarkStart w:id="559" w:name="Tc_Rfr_3MvmDUq3iciDvgSgBg_19_0"/>
      <w:bookmarkStart w:id="560" w:name="Tc_XZ4hSxKzh0mJC1t_wuLf2A_18_0"/>
      <w:bookmarkStart w:id="561" w:name="Tc_sPz5-stJfU21U3tBbDL8JQ_17_0"/>
      <w:bookmarkStart w:id="562" w:name="Tc_SJ7b8RXqFk-n_HLsNjlI5A_16_0"/>
      <w:bookmarkStart w:id="563" w:name="Tc_lqMTdDOtBkG_FJje9NEuAw_15_0"/>
      <w:bookmarkStart w:id="564" w:name="Tc_2jdK7fg4qk-mENTilhU2EA_14_0"/>
      <w:bookmarkStart w:id="565" w:name="Tc_VA1UADr3S023EqmBMlozwA_13_0"/>
      <w:bookmarkStart w:id="566" w:name="Tc_WR4BtTiqwEaY0ETUQkxHmw_12_0"/>
      <w:bookmarkStart w:id="567" w:name="Tc_Z5GB3R46tkaA9Zlvk5tL-g_11_6"/>
      <w:bookmarkStart w:id="568" w:name="Tc_5KJyvOKJvUqd38pZrCuUvA_11_0"/>
      <w:bookmarkStart w:id="569" w:name="Tc_wnsLaf_4kUqmkDpdvd5FeA_10_6"/>
      <w:bookmarkStart w:id="570" w:name="Tc_ha09dFzizk6SH9ESBi8PGQ_10_0"/>
      <w:bookmarkStart w:id="571" w:name="Tc_3ZrLgmok90i4PHpoHIa_3g_9_0"/>
      <w:bookmarkStart w:id="572" w:name="Tc_vMv5crFsHUmYHs4kly4ugQ_8_0"/>
      <w:bookmarkStart w:id="573" w:name="Tc_r7M-x3yxMk-0n4R-0eA2Tw_7_0"/>
      <w:bookmarkStart w:id="574" w:name="Tc_JjrMTJrU3ECRdaNlUR4_lg_6_0"/>
      <w:bookmarkStart w:id="575" w:name="Tc_m4bjv-6HckaqMuQuoorVEQ_5_5"/>
      <w:bookmarkStart w:id="576" w:name="Tc_UwuO6RrC0k6yH5gdNEz9_A_5_2"/>
      <w:bookmarkStart w:id="577" w:name="Tc_41Y6ABjXmkKDqiQtu2gCEg_5_0"/>
      <w:bookmarkStart w:id="578" w:name="Tc_7bIcjA5jZUes4cEkmURzhw_4_0"/>
      <w:bookmarkStart w:id="579" w:name="Tc_WuWcUMSdgEuKEEC1OmxtcQ_3_5"/>
      <w:bookmarkStart w:id="580" w:name="Tc_OJ7mn1Bh5US6hKkltrLUFA_3_2"/>
      <w:bookmarkStart w:id="581" w:name="Tc_uYYpG1qiZkivJpWQn3-KWA_2_5"/>
      <w:bookmarkStart w:id="582" w:name="Tc_MK9NszZgjUizJ7-_XtWAeg_2_2"/>
      <w:bookmarkStart w:id="583" w:name="Tc_N-j6t6-Nj0e6prmyGmpJyw_1_2"/>
      <w:bookmarkStart w:id="584" w:name="_bf78064e_a2f5_487b_969f_4aebe318963f"/>
      <w:bookmarkStart w:id="585" w:name="Tc_VRODV3UWDkifn8DIaLlUlw_51_6"/>
      <w:bookmarkStart w:id="586" w:name="Tc_c9ddPhRtW0S2EPGRIfLMlQ_51_0"/>
      <w:bookmarkStart w:id="587" w:name="Tc_jjk03cfsGEOyPv68yN5zQg_50_6"/>
      <w:bookmarkStart w:id="588" w:name="Tc_8iaOb3niTkWDGNn6qmve3g_50_0"/>
      <w:bookmarkStart w:id="589" w:name="Tc_GoQjaC__20a5ebg04GkYsg_49_3"/>
      <w:bookmarkStart w:id="590" w:name="Tc_1Y-IoPEZ_EiAwJ5vTIAXiw_49_0"/>
      <w:bookmarkStart w:id="591" w:name="Tc_PoKUU8IPPEmf2TYoP1m4og_48_0"/>
      <w:bookmarkStart w:id="592" w:name="Tc_trjdHHaoAkuD-mSI1kUQtA_47_5"/>
      <w:bookmarkStart w:id="593" w:name="Tc_amBdo89jdkCWwTbuAj434w_47_2"/>
      <w:bookmarkStart w:id="594" w:name="Tc_V5XYNajL4UibPggrzcpUFA_47_0"/>
      <w:bookmarkStart w:id="595" w:name="Tc_2F6djygbvUK48VWMAKAFxQ_46_0"/>
      <w:bookmarkStart w:id="596" w:name="Tc_MBmDwwN1LU-6DSnc9h-k2Q_45_0"/>
      <w:bookmarkStart w:id="597" w:name="Tc_r_DTTKsgNUKF_FvKCdWaPA_44_5"/>
      <w:bookmarkStart w:id="598" w:name="Tc_vzXIY_R-fU2rY9-TXQ7RgA_44_2"/>
      <w:bookmarkStart w:id="599" w:name="Tc_UQeL91Ha5EuUgFOvJQIO4Q_44_0"/>
      <w:bookmarkStart w:id="600" w:name="Tc_63JPVvFNI0iyqiH4lEJ9Vw_43_0"/>
      <w:bookmarkStart w:id="601" w:name="Tc_CxJ5hlmdOkywL9NaQ3gdEQ_42_5"/>
      <w:bookmarkStart w:id="602" w:name="Tc_ye8a6tdX5kiT9uwsofnHhA_42_2"/>
      <w:bookmarkStart w:id="603" w:name="Tc_ULppPwOeVk-txaXeWkzrOg_42_0"/>
      <w:bookmarkStart w:id="604" w:name="Tc_ODC078WZj0WUwbrYUlnCJw_41_0"/>
      <w:bookmarkStart w:id="605" w:name="Tc_pWVk3btjcU2Khn2zbb75WQ_40_0"/>
      <w:bookmarkStart w:id="606" w:name="Tc_vBBxl80JHECXTlFW0csXcw_39_0"/>
      <w:bookmarkStart w:id="607" w:name="Tc_27XOOj3hIUOo_TWUS_hU4w_38_0"/>
      <w:bookmarkStart w:id="608" w:name="Tc_wjtSTcmZUkK-XNtjcWgUKg_37_3"/>
      <w:bookmarkStart w:id="609" w:name="Tc_7hLApfi5j06BwbKggri20w_37_0"/>
      <w:bookmarkStart w:id="610" w:name="Tc_ECjYT--jTEeQAKw9-xyTBQ_36_0"/>
      <w:bookmarkStart w:id="611" w:name="Tc_2MGyd36SMEOpYYFrxWJSOA_35_6"/>
      <w:bookmarkStart w:id="612" w:name="Tc_ozL2U9azXUGzkwC1sn9ebw_35_0"/>
      <w:bookmarkStart w:id="613" w:name="Tc_Yh6QHMqaiEWO597TPSQEUg_34_3"/>
      <w:bookmarkStart w:id="614" w:name="Tc_7ISpMH5y8k6qdPWVsg8M5A_34_0"/>
      <w:bookmarkStart w:id="615" w:name="Tc_ePq0AH2IJEq4BA_ojzq76g_33_0"/>
      <w:bookmarkStart w:id="616" w:name="Tc_QKY-kgYwikaQL2UkSu2xDA_32_0"/>
      <w:bookmarkStart w:id="617" w:name="Tc_rvRSVyoqDEmi1MXsDqXKLw_31_0"/>
      <w:bookmarkStart w:id="618" w:name="Tc_KSMRJmh_F0Sg5gHi6OCOOg_30_0"/>
      <w:bookmarkStart w:id="619" w:name="Tc_tjegHDEjVkm8__ZJxAJrTQ_29_0"/>
      <w:bookmarkStart w:id="620" w:name="Tc_Yca2H_lwiU6bu4RlQj2uiw_28_0"/>
      <w:bookmarkStart w:id="621" w:name="Tc_zEH-I-oFakysPCDIdvhTIg_27_0"/>
      <w:bookmarkStart w:id="622" w:name="Tc_-uSy3YWFtE-7AZbuAcyicg_26_0"/>
      <w:bookmarkStart w:id="623" w:name="Tc_E5ulcYRTkkSnj_wbCwzVgA_25_0"/>
      <w:bookmarkStart w:id="624" w:name="Tc_o0gvXk-eN0Kdzl0HFU4IcQ_24_0"/>
      <w:bookmarkStart w:id="625" w:name="Tc_ZfEduLgihEuUwjnbfR1dsQ_23_0"/>
      <w:bookmarkStart w:id="626" w:name="Tc_i0UdAV7qs0WyJW1DWxQa1A_22_0"/>
      <w:bookmarkStart w:id="627" w:name="Tc_7xh8nwu_PkyXEk8CMmyzmg_21_0"/>
      <w:bookmarkStart w:id="628" w:name="Tc_3zDtarfXUEuJmXHrqynyww_20_6"/>
      <w:bookmarkStart w:id="629" w:name="Tc_vO3ze2fd0k2zFch-LzKwGw_20_0"/>
      <w:bookmarkStart w:id="630" w:name="Tc_Rfr_3MvmDUq3iciDvgSgBg_19_0"/>
      <w:bookmarkStart w:id="631" w:name="Tc_XZ4hSxKzh0mJC1t_wuLf2A_18_0"/>
      <w:bookmarkStart w:id="632" w:name="Tc_sPz5-stJfU21U3tBbDL8JQ_17_0"/>
      <w:bookmarkStart w:id="633" w:name="Tc_SJ7b8RXqFk-n_HLsNjlI5A_16_0"/>
      <w:bookmarkStart w:id="634" w:name="Tc_lqMTdDOtBkG_FJje9NEuAw_15_0"/>
      <w:bookmarkStart w:id="635" w:name="Tc_2jdK7fg4qk-mENTilhU2EA_14_0"/>
      <w:bookmarkStart w:id="636" w:name="Tc_VA1UADr3S023EqmBMlozwA_13_0"/>
      <w:bookmarkStart w:id="637" w:name="Tc_WR4BtTiqwEaY0ETUQkxHmw_12_0"/>
      <w:bookmarkStart w:id="638" w:name="Tc_Z5GB3R46tkaA9Zlvk5tL-g_11_6"/>
      <w:bookmarkStart w:id="639" w:name="Tc_5KJyvOKJvUqd38pZrCuUvA_11_0"/>
      <w:bookmarkStart w:id="640" w:name="Tc_wnsLaf_4kUqmkDpdvd5FeA_10_6"/>
      <w:bookmarkStart w:id="641" w:name="Tc_ha09dFzizk6SH9ESBi8PGQ_10_0"/>
      <w:bookmarkStart w:id="642" w:name="Tc_3ZrLgmok90i4PHpoHIa_3g_9_0"/>
      <w:bookmarkStart w:id="643" w:name="Tc_vMv5crFsHUmYHs4kly4ugQ_8_0"/>
      <w:bookmarkStart w:id="644" w:name="Tc_r7M-x3yxMk-0n4R-0eA2Tw_7_0"/>
      <w:bookmarkStart w:id="645" w:name="Tc_JjrMTJrU3ECRdaNlUR4_lg_6_0"/>
      <w:bookmarkStart w:id="646" w:name="Tc_m4bjv-6HckaqMuQuoorVEQ_5_5"/>
      <w:bookmarkStart w:id="647" w:name="Tc_UwuO6RrC0k6yH5gdNEz9_A_5_2"/>
      <w:bookmarkStart w:id="648" w:name="Tc_41Y6ABjXmkKDqiQtu2gCEg_5_0"/>
      <w:bookmarkStart w:id="649" w:name="Tc_7bIcjA5jZUes4cEkmURzhw_4_0"/>
      <w:bookmarkStart w:id="650" w:name="Tc_WuWcUMSdgEuKEEC1OmxtcQ_3_5"/>
      <w:bookmarkStart w:id="651" w:name="Tc_OJ7mn1Bh5US6hKkltrLUFA_3_2"/>
      <w:bookmarkStart w:id="652" w:name="Tc_uYYpG1qiZkivJpWQn3-KWA_2_5"/>
      <w:bookmarkStart w:id="653" w:name="Tc_MK9NszZgjUizJ7-_XtWAeg_2_2"/>
      <w:bookmarkStart w:id="654" w:name="Tc_N-j6t6-Nj0e6prmyGmpJyw_1_2"/>
      <w:bookmarkStart w:id="655" w:name="_bf78064e_a2f5_487b_969f_4aebe318963f"/>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tbl>
      <w:tblPr>
        <w:tblW w:w="9331" w:type="dxa"/>
        <w:jc w:val="left"/>
        <w:tblInd w:w="0" w:type="dxa"/>
        <w:tblCellMar>
          <w:top w:w="0" w:type="dxa"/>
          <w:left w:w="0" w:type="dxa"/>
          <w:bottom w:w="0" w:type="dxa"/>
          <w:right w:w="0" w:type="dxa"/>
        </w:tblCellMar>
      </w:tblPr>
      <w:tblGrid>
        <w:gridCol w:w="6511"/>
        <w:gridCol w:w="326"/>
        <w:gridCol w:w="196"/>
        <w:gridCol w:w="811"/>
        <w:gridCol w:w="326"/>
        <w:gridCol w:w="196"/>
        <w:gridCol w:w="811"/>
        <w:gridCol w:w="154"/>
      </w:tblGrid>
      <w:tr>
        <w:trPr/>
        <w:tc>
          <w:tcPr>
            <w:tcW w:w="6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4460" cy="175260"/>
                      <wp:effectExtent l="0" t="0" r="0" b="0"/>
                      <wp:wrapNone/>
                      <wp:docPr id="67" name="Frame6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14985" cy="175260"/>
                      <wp:effectExtent l="0" t="0" r="0" b="0"/>
                      <wp:wrapNone/>
                      <wp:docPr id="68" name="Frame68"/>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4460" cy="175260"/>
                      <wp:effectExtent l="0" t="0" r="0" b="0"/>
                      <wp:wrapNone/>
                      <wp:docPr id="70" name="Frame7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14985" cy="175260"/>
                      <wp:effectExtent l="0" t="0" r="0" b="0"/>
                      <wp:wrapNone/>
                      <wp:docPr id="71" name="Frame71"/>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97790" cy="175260"/>
                      <wp:effectExtent l="0" t="0" r="0" b="0"/>
                      <wp:wrapNone/>
                      <wp:docPr id="72" name="Frame72"/>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4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326" w:type="dxa"/>
            <w:tcBorders/>
            <w:shd w:fill="auto" w:val="clear"/>
            <w:vAlign w:val="center"/>
          </w:tcPr>
          <w:p>
            <w:pPr>
              <w:pStyle w:val="TableContents"/>
              <w:spacing w:before="0" w:after="1"/>
              <w:ind w:left="0" w:right="0" w:hanging="0"/>
              <w:jc w:val="center"/>
              <w:rPr/>
            </w:pPr>
            <w:r>
              <w:rPr/>
              <w:t>​</w:t>
            </w:r>
          </w:p>
        </w:tc>
        <w:tc>
          <w:tcPr>
            <w:tcW w:w="100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(loss) income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(2,840)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8,533</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Adjustments to reconcile net (loss) income to net cash used in operating activities: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  </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9,494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7,900</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Amortization of deferred financing costs and debt discount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2,804</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Stock-based compensation expense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16,925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1,464</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Underwriting fees related to offering of common stock</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11,437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Loss on extinguishment of debt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3,465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non-cash, net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1,433</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Earnings from equity method investment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(542)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(244)</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Distributions received from equity method investment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168</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pPr>
            <w:r>
              <w:rPr/>
              <w:t>  </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Trade receivables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(78,947)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(60,963)</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Inventories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(30,490)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(9,238)</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(790)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119</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Income tax receivable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(2,107)</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17,494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8,642</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(3,234)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(4,103)</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long-term liabilities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261</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4,545</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cash used in operating activities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(57,468)</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(41,047)</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b/>
                <w:sz w:val="16"/>
              </w:rPr>
              <w:t>Cash flows from investing activities</w:t>
            </w: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pPr>
            <w:r>
              <w:rPr/>
              <w:t>  </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(6,666)</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(4,608)</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(6,666)</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(4,608)</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b/>
                <w:sz w:val="16"/>
              </w:rPr>
              <w:t>Cash flows from financing activities</w:t>
            </w:r>
            <w:r>
              <w:rPr>
                <w:rFonts w:ascii="Times New Roman;Times;serif" w:hAnsi="Times New Roman;Times;serif"/>
                <w:sz w:val="16"/>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  </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long-term debt borrowings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320,125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172,813</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Payments on long-term debt borrowings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(284,009)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(5,762)</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borrowings on revolving credit facilities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20,000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16,000</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Payments on revolving credit facilities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financing fees paid</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(6,865)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(1,250)</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Dividend to Class A unitholders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(110,033)</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sale of common stock</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257,663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Repurchase and retirement of common stock</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(257,663)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(64,938)</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Payments of initial public offering costs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(747)</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cash provided by financing activities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39,251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6,083</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Effect of exchange rate changes on cash</w:t>
            </w:r>
          </w:p>
        </w:tc>
        <w:tc>
          <w:tcPr>
            <w:tcW w:w="326" w:type="dxa"/>
            <w:tcBorders/>
            <w:shd w:fill="auto" w:val="clear"/>
            <w:vAlign w:val="center"/>
          </w:tcPr>
          <w:p>
            <w:pPr>
              <w:pStyle w:val="TableContents"/>
              <w:spacing w:before="0" w:after="1"/>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(411)</w:t>
            </w:r>
          </w:p>
        </w:tc>
        <w:tc>
          <w:tcPr>
            <w:tcW w:w="326" w:type="dxa"/>
            <w:tcBorders/>
            <w:shd w:fill="auto" w:val="clear"/>
            <w:vAlign w:val="center"/>
          </w:tcPr>
          <w:p>
            <w:pPr>
              <w:pStyle w:val="TableContents"/>
              <w:spacing w:before="0" w:after="1"/>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207</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Net decrease in cash</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(25,294)</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(39,365)</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at beginning of period</w:t>
            </w:r>
          </w:p>
        </w:tc>
        <w:tc>
          <w:tcPr>
            <w:tcW w:w="326" w:type="dxa"/>
            <w:tcBorders/>
            <w:shd w:fill="auto" w:val="clear"/>
            <w:vAlign w:val="center"/>
          </w:tcPr>
          <w:p>
            <w:pPr>
              <w:pStyle w:val="TableContents"/>
              <w:spacing w:before="0" w:after="1"/>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43,952</w:t>
            </w:r>
          </w:p>
        </w:tc>
        <w:tc>
          <w:tcPr>
            <w:tcW w:w="326" w:type="dxa"/>
            <w:tcBorders/>
            <w:shd w:fill="auto" w:val="clear"/>
            <w:vAlign w:val="center"/>
          </w:tcPr>
          <w:p>
            <w:pPr>
              <w:pStyle w:val="TableContents"/>
              <w:spacing w:before="0" w:after="1"/>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59,310</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at end of period</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18,658</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19,945</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b/>
                <w:sz w:val="16"/>
              </w:rPr>
              <w:t>Supplemental cash flow information</w:t>
            </w:r>
            <w:r>
              <w:rPr>
                <w:rFonts w:ascii="Times New Roman;Times;serif" w:hAnsi="Times New Roman;Times;serif"/>
                <w:sz w:val="16"/>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pPr>
            <w:r>
              <w:rPr/>
              <w:t>  </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paid for interest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1,628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5,892</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Income taxes paid, net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502</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b/>
                <w:sz w:val="16"/>
              </w:rPr>
              <w:t>Supplemental disclosure of non-cash investing and financing activities</w:t>
            </w:r>
            <w:r>
              <w:rPr>
                <w:rFonts w:ascii="Times New Roman;Times;serif" w:hAnsi="Times New Roman;Times;serif"/>
                <w:sz w:val="16"/>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  </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Purchases of property and equipment included in accounts payable and accrued expenses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1,144</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Capitalized internal-use software included in accounts payable – related party</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500</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offering costs included in accounts payable and accrued expenses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2,896</w:t>
            </w:r>
          </w:p>
        </w:tc>
        <w:tc>
          <w:tcPr>
            <w:tcW w:w="154" w:type="dxa"/>
            <w:tcBorders/>
            <w:shd w:fill="auto" w:val="clear"/>
            <w:vAlign w:val="center"/>
          </w:tcPr>
          <w:p>
            <w:pPr>
              <w:pStyle w:val="TableContents"/>
              <w:spacing w:before="0" w:after="1"/>
              <w:ind w:left="0" w:right="0" w:hanging="0"/>
              <w:rPr/>
            </w:pPr>
            <w:r>
              <w:rPr/>
              <w:t>​</w:t>
            </w:r>
          </w:p>
        </w:tc>
      </w:tr>
      <w:tr>
        <w:trPr/>
        <w:tc>
          <w:tcPr>
            <w:tcW w:w="651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Right-of-use operating assets obtained in exchange for lease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33,839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154" w:type="dxa"/>
            <w:tcBorders/>
            <w:shd w:fill="CCEEFF" w:val="clear"/>
            <w:vAlign w:val="center"/>
          </w:tcPr>
          <w:p>
            <w:pPr>
              <w:pStyle w:val="TableContents"/>
              <w:spacing w:before="0" w:after="1"/>
              <w:ind w:left="0" w:right="0" w:hanging="0"/>
              <w:rPr/>
            </w:pPr>
            <w:r>
              <w:rPr/>
              <w:t>​</w:t>
            </w:r>
          </w:p>
        </w:tc>
      </w:tr>
      <w:tr>
        <w:trPr/>
        <w:tc>
          <w:tcPr>
            <w:tcW w:w="651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Increase in goodwill from measurement period adjustments related to business combinations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154"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hanging="0"/>
        <w:jc w:val="center"/>
        <w:rPr/>
      </w:pPr>
      <w:r>
        <w:rPr/>
        <w:t>​</w:t>
      </w:r>
    </w:p>
    <w:p>
      <w:pPr>
        <w:pStyle w:val="TextBody"/>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656" w:name="NotestoCondensedConsolidatedFinancialSta"/>
      <w:bookmarkStart w:id="657" w:name="_d012c169_e1a9_4832_bbce_51e82d4a88d8"/>
      <w:bookmarkEnd w:id="656"/>
      <w:bookmarkEnd w:id="657"/>
      <w:r>
        <w:rPr>
          <w:rFonts w:ascii="Times New Roman;Times;serif" w:hAnsi="Times New Roman;Times;serif"/>
          <w:b/>
          <w:sz w:val="20"/>
        </w:rPr>
        <w:t>Notes to Condensed Consolidated Financial Statements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 NATURE OF THE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Latham Group, Inc. (the “Company”) wholly owns Latham Pool Products, Inc. (“Latham Pool Products”) (together, “Latham”) and is a designer, manufacturer and marketer of in-ground residential swimming pools in North America, Australia and New Zealand. Latham offers a portfolio of pools and related products, including in-ground swimming pools, pool liners and pool covers.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December 18, 2018, Latham Investment Holdings, LP (“Parent”), an investment fund managed by affiliates of Pamplona Capital Management (the “Sponsor”), Wynnchurch Capital, L.P. and management acquired all of the outstanding equity interests of Latham Topco., Inc., a newly incorporated entity in the State of Delaware. Latham Topco, Inc. changed its name to Latham Group, Inc. on March 3, 2021.</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Stock Split, Initial Public Offering and Reorganization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On April 13, 2021, the Company’s certificate of incorporation was amended and restated. On April 13, 2021, the Company effected a 109,673.709-for-one stock split of its issued and outstanding shares of common stock. Accordingly, all share and per share data included in these condensed consolidated financial statements and notes thereto have been adjusted retroactively to reflect the impact of the amended and restated certificate of incorporation and the stock split.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$399.3 million, after deducting underwriting discounts and commissions and other offering costs.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Prior to the closing of the Company’s IPO on April 27, 2021 (the “Closing of the IPO”), the Company’s parent entity, Parent, merged with and into Latham Group, Inc. (the “Reorganization”).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Offering of Common Stock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On January 11, 2022, the Company completed an offering of 13,800,000 shares of common stock, par value $0.0001 per share, including the exercise in full by the underwriters of their option to purchase up to 1,800,000 additional shares of common stock, at a public offering price of $19.50 per share. The Company received proceeds of $257.7 million from this offering, net of $11.4 million of underwriting fees. The proceeds of $257.7 million were used to purchase 13,800,000 shares of common stock from certain of the Company’s stockholders, primarily investment funds managed by the Sponsor and Wynnchurch Capital, L.P., and also a small percentage of shares of common stock owned by some of our directors and executive officers.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As of April 2, 2022 and December 31, 2021, 113,720,584 and 113,642,487 shares of common stock are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for accounting purposes, respectively.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Basis of Presentation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accompanying unaudited condensed consolidated financial statements and accompanying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consolidated balance sheet at December 31, 2021 was derived from audited financial statements but does not include all disclosures required by GAAP. The accompanying unaudited condensed consolidated financial statements as of April 2, 2022 and for the fiscal quarters ended April 2, 2022 and April 3, 2021 have been prepared by the Company pursuant to the rules and regulations of the Securities and Exchange Commission (“SEC”) for interim financial statements. Certain information and footnote disclosures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year ended December 31, 2021 included in the Company’s 2021 Annual Report on Form 10-K, filed with the SEC on March 10, 2022 (the “Annual Report”). In the opinion of management, all adjustments, consisting only of normal recurring adjustments necessary for a fair statement of these condensed consolidated financial statements. The Company’s results of operations for the fiscal quarter ended April 2, 2022 are not necessarily indicative of the results of operations that may be expected for the year ending December 31,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or other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Segment Reporting</w:t>
      </w:r>
    </w:p>
    <w:p>
      <w:pPr>
        <w:pStyle w:val="TextBody"/>
        <w:spacing w:before="0" w:after="120"/>
        <w:ind w:left="0" w:right="0" w:firstLine="400"/>
        <w:rPr>
          <w:rFonts w:ascii="Times New Roman;Times;serif" w:hAnsi="Times New Roman;Times;serif"/>
          <w:sz w:val="20"/>
        </w:rPr>
      </w:pPr>
      <w:r>
        <w:rPr>
          <w:rFonts w:ascii="Times New Roman;Times;serif" w:hAnsi="Times New Roman;Times;serif"/>
          <w:sz w:val="20"/>
        </w:rPr>
        <w:t xml:space="preserve">The Company identifies operating segments based on how the chief operating decision maker (“CODM”) manages the business, allocates resources, makes operating decisions and evaluates operating performance. The Company conducts its business as one operating and </w:t>
      </w:r>
      <w:r>
        <w:rPr>
          <w:rFonts w:ascii="Times New Roman;Times;serif" w:hAnsi="Times New Roman;Times;serif"/>
          <w:b w:val="false"/>
          <w:i w:val="false"/>
          <w:caps w:val="false"/>
          <w:smallCaps w:val="false"/>
          <w:sz w:val="20"/>
        </w:rPr>
        <w:t>reportable</w:t>
      </w:r>
      <w:r>
        <w:rPr>
          <w:rFonts w:ascii="Times New Roman;Times;serif" w:hAnsi="Times New Roman;Times;serif"/>
          <w:sz w:val="20"/>
        </w:rPr>
        <w:t xml:space="preserve"> segment that designs, manufactures and markets in-ground swimming pools, liners and covers. The Company’s chief executive officer, who is the chief operating decision maker, reviews financial information presented on a consolidated basis for purposes of assessing financial performance and allocating resources.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Seasonality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Although the Company generally has demand for its products throughout the year, its business is seasonal and weather is one of the principal external factors affecting the business. Historically, net sales and net income are highest during spring and summer, representing the peak months of swimming pool use, pool installation and remodeling and repair activities. Sales periods having severe weather may also affect net sales.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Accounting Policies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Refer to the Company’s Annual Report for a discussion of the Company’s accounting policies, as updated below for recently adopted accounting standards.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February 2016, the FASB issued ASU 2016-02</w:t>
      </w:r>
      <w:r>
        <w:rPr>
          <w:rFonts w:ascii="Times New Roman;Times;serif" w:hAnsi="Times New Roman;Times;serif"/>
          <w:i/>
          <w:sz w:val="20"/>
        </w:rPr>
        <w:t>, Leases (Topic 842)</w:t>
      </w:r>
      <w:r>
        <w:rPr>
          <w:rFonts w:ascii="Times New Roman;Times;serif" w:hAnsi="Times New Roman;Times;serif"/>
          <w:sz w:val="20"/>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in its consolidated statement of operations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for operating leases and amortization and interest expense in its consolidated statement of operations for financing leases. Leases with a term of 12 months or less may be accounted for similar to how operating leases were accounted for under the prior guidance. In July 2018, the FASB issued </w:t>
      </w:r>
      <w:r>
        <w:rPr>
          <w:rFonts w:ascii="Times New Roman;Times;serif" w:hAnsi="Times New Roman;Times;serif"/>
          <w:i/>
          <w:sz w:val="20"/>
        </w:rPr>
        <w:t>ASU No. 2018-11, Leases (Topic 842)</w:t>
      </w:r>
      <w:r>
        <w:rPr>
          <w:rFonts w:ascii="Times New Roman;Times;serif" w:hAnsi="Times New Roman;Times;serif"/>
          <w:sz w:val="20"/>
        </w:rPr>
        <w:t>, which added an optional transition method that allows companies to adopt the standard as of the beginning of the year of adoption as opposed to the earliest comparative period presented. In November 2019, the FASB issued guidance delaying the effective date for all entities, except for public business entities. For nonpublic entities, this guidance is effective for annual periods beginning after December 15, 2020. In June 2020, the FASB issued additional guidance delaying the effective date for all entities, except for public business entities. The Company adopted ASU 2016-02 on January 1, 2022 using the modified retrospective approach and elected the package of practical expedients to use in transition, which permitted us not to reassess, under the new standard, our prior conclusions about lease identification and lease classification. The adoption resulted in the addition of $33.5 million of operating lease right-of-use assets, and $34.0 million of operating lease liabilities, a decrease of $0.2 million to deferred rent and a decrease of $0.3 million to retained earnings for the cumulative effect of initially applying the new standard. The adoption did not have a material impact on the Company’s Condensed Consolidated Statements of Operations, Condensed Consolidated Statements of Stockholders’ Equity or Condensed Consolidated Statements of Cash Flows. See Note 9, “Leases” for additional information related to the Company’s leases and accounting policy elections.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June 2016, the FASB issued ASU 2016-13, </w:t>
      </w:r>
      <w:r>
        <w:rPr>
          <w:rFonts w:ascii="Times New Roman;Times;serif" w:hAnsi="Times New Roman;Times;serif"/>
          <w:i/>
          <w:sz w:val="20"/>
        </w:rPr>
        <w:t>Financial Instruments — Credit Losses (Topic 326): Measurement of Credit Losses on Financial Instruments</w:t>
      </w:r>
      <w:r>
        <w:rPr>
          <w:rFonts w:ascii="Times New Roman;Times;serif" w:hAnsi="Times New Roman;Times;serif"/>
          <w:sz w:val="20"/>
        </w:rPr>
        <w:t xml:space="preserve"> (“ASU 2016-13”), which requires the measurement and recognition of expected credit losses for financial 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2018-19, </w:t>
      </w:r>
      <w:r>
        <w:rPr>
          <w:rFonts w:ascii="Times New Roman;Times;serif" w:hAnsi="Times New Roman;Times;serif"/>
          <w:i/>
          <w:sz w:val="20"/>
        </w:rPr>
        <w:t>Codification Improvements to Topic 326, Financial Instruments — Credit Losses</w:t>
      </w:r>
      <w:r>
        <w:rPr>
          <w:rFonts w:ascii="Times New Roman;Times;serif" w:hAnsi="Times New Roman;Times;serif"/>
          <w:sz w:val="20"/>
        </w:rPr>
        <w:t xml:space="preserve">, which narrowed the scope and changed the effective date for nonpublic entities for ASU 2016-13. The FASB subsequently issued supplemental guidance within ASU 2019-05, </w:t>
      </w:r>
      <w:r>
        <w:rPr>
          <w:rFonts w:ascii="Times New Roman;Times;serif" w:hAnsi="Times New Roman;Times;serif"/>
          <w:i/>
          <w:sz w:val="20"/>
        </w:rPr>
        <w:t>Financial Instruments — Credit Losses (Topic 326): Targeted Transition Relief</w:t>
      </w:r>
      <w:r>
        <w:rPr>
          <w:rFonts w:ascii="Times New Roman;Times;serif" w:hAnsi="Times New Roman;Times;serif"/>
          <w:sz w:val="20"/>
        </w:rPr>
        <w:t xml:space="preserve"> (“ASU 2019-05”). ASU 2019-05 provides an option to irrevocably elect the fair value option for certain financial assets previously measured at amortized cost basis. For public entities that are SEC filers, excluding entities eligible to be smaller reporting companies, ASU 2016-13 is effective for annual periods beginning after December 15, 2019, including interim periods within those fiscal years. For all other entities, ASU 2016-13 is effective for annual periods beginning after December 15, 2022, including interim periods within those fiscal years. Early adoption is permitted. The Company is currently evaluating the impact that the adoption of ASU 2016-13 will have on its consolidated financial statements.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January 2020, the FASB issued ASU 2020-01, </w:t>
      </w:r>
      <w:r>
        <w:rPr>
          <w:rFonts w:ascii="Times New Roman;Times;serif" w:hAnsi="Times New Roman;Times;serif"/>
          <w:i/>
          <w:sz w:val="20"/>
        </w:rPr>
        <w:t>Investments — Equity Securities (Topic 321), Investments — Equity Method and Joint Ventures (Topic 323), and Derivatives and Hedging (Topic 815)</w:t>
      </w:r>
      <w:r>
        <w:rPr>
          <w:rFonts w:ascii="Times New Roman;Times;serif" w:hAnsi="Times New Roman;Times;serif"/>
          <w:sz w:val="20"/>
        </w:rPr>
        <w:t xml:space="preserve"> (“ASU 2020-01”),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For public entities, ASU 2020-01 is effective for annual periods beginning after December 15, 2020, and interim periods within those reporting periods. For nonpublic companies, ASU 2020-01 is effective for annual periods beginning after December 15, 2021, and interim periods within those reporting periods. The adoption of this standard did not have an impact on the Company’s consolidated financial statements.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March 2020, the FASB issued ASU 2020-04, </w:t>
      </w:r>
      <w:r>
        <w:rPr>
          <w:rFonts w:ascii="Times New Roman;Times;serif" w:hAnsi="Times New Roman;Times;serif"/>
          <w:i/>
          <w:sz w:val="20"/>
        </w:rPr>
        <w:t>Facilitation of the Effects of Reference Rate Reform on Financial Reporting</w:t>
      </w:r>
      <w:r>
        <w:rPr>
          <w:rFonts w:ascii="Times New Roman;Times;serif" w:hAnsi="Times New Roman;Times;serif"/>
          <w:sz w:val="20"/>
        </w:rPr>
        <w:t xml:space="preserve"> which provides optional expedients and exceptions for applying GAAP to contracts, hedging relationships, and other transactions affected by the discontinuation of the London Interbank Offered Rate (“LIBOR”) or by another reference rate expected to be discontinued. In January 2021, the FASB issued ASU 2021-01, </w:t>
      </w:r>
      <w:r>
        <w:rPr>
          <w:rFonts w:ascii="Times New Roman;Times;serif" w:hAnsi="Times New Roman;Times;serif"/>
          <w:i/>
          <w:sz w:val="20"/>
        </w:rPr>
        <w:t>Reference Rate Reform (Topic 848): Scope</w:t>
      </w:r>
      <w:r>
        <w:rPr>
          <w:rFonts w:ascii="Times New Roman;Times;serif" w:hAnsi="Times New Roman;Times;serif"/>
          <w:sz w:val="20"/>
        </w:rPr>
        <w:t>, which clarifies that certain optional expedients and exceptions in Topic 848 for contract modifications and hedge accounting apply to derivatives that are affected by the discounting transition. Specifically, this guidance applies to derivative instruments that use an interest rate for margining, discounting, or contract price alignment that is modified as a result of reference rate reform. This guidance is effective for all entities upon issuance on March 12, 2020 and may be applied through December 31, 2022. The expedients and exceptions in this guidance are optional. The Company elected the optional expedient in connection with amending its interest rate swap to replace the reference rate from LIBOR to SOFR to consider the amendment as a continuation of the existing contract without having to perform an assessment that would otherwise be required under GAAP.</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 October 2021, the FASB issued ASU 2021-08, </w:t>
      </w:r>
      <w:r>
        <w:rPr>
          <w:rFonts w:ascii="Times New Roman;Times;serif" w:hAnsi="Times New Roman;Times;serif"/>
          <w:i/>
          <w:sz w:val="20"/>
        </w:rPr>
        <w:t>Business Combinations (Topic 805): Accounting for Contract Assets and Contract Liabilities from Contracts with Customers</w:t>
      </w:r>
      <w:r>
        <w:rPr>
          <w:rFonts w:ascii="Times New Roman;Times;serif" w:hAnsi="Times New Roman;Times;serif"/>
          <w:sz w:val="20"/>
        </w:rPr>
        <w:t xml:space="preserve"> (“ASU 2021-08”), which amends ASC 805 by requiring acquiring entities to apply ASC 606 to recognize and measure contract assets and contract liabilities in a business combination. For public entities, ASU 2021-08 is effective for fiscal years, including interim periods within those fiscal years, beginning after December 15, 2022. For all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other entities, ASU 2021-08 is effective for fiscal years, including interim periods within those fiscal years, beginning after December 15, 2023. The amendments should be applied prospectively to business combinations occurring on or after the effective date of the amendments, with early adoption permitted. The Company is currently evaluating ASU 2021-08 and its potential impact on our consolidated financial statements.</w:t>
      </w:r>
    </w:p>
    <w:p>
      <w:pPr>
        <w:pStyle w:val="TextBody"/>
        <w:spacing w:before="0" w:after="240"/>
        <w:ind w:left="0" w:right="0" w:hanging="0"/>
        <w:rPr>
          <w:rFonts w:ascii="Times New Roman;Times;serif" w:hAnsi="Times New Roman;Times;serif"/>
          <w:b/>
          <w:sz w:val="20"/>
        </w:rPr>
      </w:pPr>
      <w:bookmarkStart w:id="658" w:name="Tc_W1tekxk0KUyS43XHAh_OHg_16_2"/>
      <w:bookmarkStart w:id="659" w:name="Tc_XmxV11721EmsrJdAFC0WQQ_16_0"/>
      <w:bookmarkStart w:id="660" w:name="Tc_OrjpeEsenU2OW3Xn437d1A_15_0"/>
      <w:bookmarkStart w:id="661" w:name="Tc_7ZoABUeewUCqqdwj7HCVEw_14_0"/>
      <w:bookmarkStart w:id="662" w:name="Tc_ZxtLSx3I80KSjfqBbMzyWw_13_0"/>
      <w:bookmarkStart w:id="663" w:name="Tc_EELrsuaiykqztoLBkRv9cQ_12_0"/>
      <w:bookmarkStart w:id="664" w:name="Tc_h6rM5TOuhUyPichAuCePxA_11_0"/>
      <w:bookmarkStart w:id="665" w:name="Tc_GIqU_0XNoUWpcD3WmDraQA_10_0"/>
      <w:bookmarkStart w:id="666" w:name="Tc_RGrLGExfBEmNpoAjQnb2Gw_9_0"/>
      <w:bookmarkStart w:id="667" w:name="Tc_-KxSEjGfNUqPNkNu53yB1Q_8_0"/>
      <w:bookmarkStart w:id="668" w:name="Tc__6P48qk6PE6Hk7k6-MLjfQ_7_0"/>
      <w:bookmarkStart w:id="669" w:name="Tc_-SIxhwyt3Ee3UTCudw0BtQ_6_0"/>
      <w:bookmarkStart w:id="670" w:name="Tc_dw68Nyr6hE6Bd2m_FxzG8w_5_0"/>
      <w:bookmarkStart w:id="671" w:name="Tc_gsqUrUL1OEacq4Lm6A83PA_4_0"/>
      <w:bookmarkStart w:id="672" w:name="Tc_64nMoYjVd0ecYlBmuH02Cw_3_0"/>
      <w:bookmarkStart w:id="673" w:name="Tc_c_alwLNbH0ewwOYrNyNIqg_2_2"/>
      <w:bookmarkStart w:id="674" w:name="Tc_ZfwVodX_Ok6sXIohRnZBmg_2_0"/>
      <w:bookmarkStart w:id="675" w:name="Tc_dociU9a_1U--n8c2fdRQmg_1_2"/>
      <w:bookmarkStart w:id="676" w:name="Tc_s01ZSmUqeEiBz9AbBUpEsw_1_0"/>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rFonts w:ascii="Times New Roman;Times;serif" w:hAnsi="Times New Roman;Times;serif"/>
          <w:b/>
          <w:sz w:val="20"/>
        </w:rPr>
        <w:t>3. ACQUISITIONS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Trojan Leisure Products, LLC d/b/a Radiant Pools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November 24, 2021, Latham Pool Products acquired Trojan Leisure Products, LLC d/b/a Radiant Pools (“Radiant”) for a total purchase price of $90.7 million (the “Radiant Acquisition”). The results of Radiant’s operations have been included in the consolidated financial statements since that date. Radiant specializes in manufacturing proprietary vinyl liner aluminum swimming pools which can be built completely in-ground, semi-inground, or above ground. As a result, this acquisition expanded the Company’s product offerings. In connection with the Radiant Acquisition, consideration paid was $90.7 million in cash, or $90.5 million net of cash acquired of $0.2 million. The cash consideration was funded, in part, through long-term debt proceeds of $50.0 million. The Company incurred $2.9 million in transaction costs.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Subsequent to the acquisition date, there was an additional amount due to the seller of $0.4 million related to the finalization of the net working capital adjustment, which was accounted for as a measurement period adjustment. The measurement period adjustment resulted in an increase in the total consideration transferred of $0.4 million and an increase to goodwill of $0.4 million. The net working capital adjustment payable was recorded in accrued expenses and other current liabilities in the condensed consolidated balance sheet as of April 2,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accounted for the Radiant Acquisition using the acquisition method of accounting in accordance with ASC 805. This requires that the assets acquired and liabilities assumed be measured at fair value. The Company estimated, using Level 3 inputs, the fair value of certain fixed assets using a combination of the cost approach and the market approach. Inventories were valued using the comparative sales method, less the cost of disposal. Specific to intangible assets, customer relationships and backlog were valued using the multi-period excess earnings method, whereas trade names, technology and pool designs were valued using the relief from royalty method. The Company recorded the assets acquired and liabilities assumed at their respective fair values as of the acquisition date.</w:t>
      </w:r>
    </w:p>
    <w:p>
      <w:pPr>
        <w:pStyle w:val="TextBody"/>
        <w:spacing w:before="0" w:after="0"/>
        <w:ind w:left="403" w:right="0" w:hanging="0"/>
        <w:rPr>
          <w:rFonts w:ascii="Times New Roman;Times;serif" w:hAnsi="Times New Roman;Times;serif"/>
          <w:sz w:val="20"/>
        </w:rPr>
      </w:pPr>
      <w:r>
        <w:rPr>
          <w:rFonts w:ascii="Times New Roman;Times;serif" w:hAnsi="Times New Roman;Times;serif"/>
          <w:sz w:val="20"/>
        </w:rPr>
        <w:t>The following summarizes the purchase price allocation for the Radiant Acquisition:</w:t>
      </w:r>
    </w:p>
    <w:p>
      <w:pPr>
        <w:pStyle w:val="TextBody"/>
        <w:spacing w:before="0" w:after="240"/>
        <w:ind w:left="403" w:right="0" w:hanging="0"/>
        <w:rPr/>
      </w:pPr>
      <w:r>
        <w:rPr/>
        <w:t>​</w:t>
      </w:r>
    </w:p>
    <w:tbl>
      <w:tblPr>
        <w:tblW w:w="6792" w:type="dxa"/>
        <w:jc w:val="left"/>
        <w:tblInd w:w="0" w:type="dxa"/>
        <w:tblCellMar>
          <w:top w:w="0" w:type="dxa"/>
          <w:left w:w="0" w:type="dxa"/>
          <w:bottom w:w="0" w:type="dxa"/>
          <w:right w:w="0" w:type="dxa"/>
        </w:tblCellMar>
      </w:tblPr>
      <w:tblGrid>
        <w:gridCol w:w="4891"/>
        <w:gridCol w:w="326"/>
        <w:gridCol w:w="331"/>
        <w:gridCol w:w="1244"/>
      </w:tblGrid>
      <w:tr>
        <w:trPr/>
        <w:tc>
          <w:tcPr>
            <w:tcW w:w="4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0185" cy="175260"/>
                      <wp:effectExtent l="0" t="0" r="0" b="0"/>
                      <wp:wrapNone/>
                      <wp:docPr id="74" name="Frame74"/>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89940" cy="175260"/>
                      <wp:effectExtent l="0" t="0" r="0" b="0"/>
                      <wp:wrapNone/>
                      <wp:docPr id="75" name="Frame75"/>
                      <a:graphic xmlns:a="http://schemas.openxmlformats.org/drawingml/2006/main">
                        <a:graphicData uri="http://schemas.microsoft.com/office/word/2010/wordprocessingShape">
                          <wps:wsp>
                            <wps:cNvSpPr txBox="1"/>
                            <wps:spPr>
                              <a:xfrm>
                                <a:off x="0" y="0"/>
                                <a:ext cx="789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before="0" w:after="0"/>
              <w:ind w:left="0" w:right="0" w:hanging="0"/>
              <w:rPr/>
            </w:pPr>
            <w:r>
              <w:rPr/>
              <w:t>    </w:t>
            </w:r>
          </w:p>
        </w:tc>
        <w:tc>
          <w:tcPr>
            <w:tcW w:w="15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November 24, 2021</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consideration</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91,109</w:t>
            </w:r>
          </w:p>
        </w:tc>
      </w:tr>
      <w:tr>
        <w:trPr/>
        <w:tc>
          <w:tcPr>
            <w:tcW w:w="4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Allocation of purchase price:</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 </w:t>
            </w:r>
          </w:p>
        </w:tc>
        <w:tc>
          <w:tcPr>
            <w:tcW w:w="1244" w:type="dxa"/>
            <w:tcBorders/>
            <w:shd w:fill="auto" w:val="clear"/>
            <w:vAlign w:val="center"/>
          </w:tcPr>
          <w:p>
            <w:pPr>
              <w:pStyle w:val="TableContents"/>
              <w:spacing w:before="0" w:after="0"/>
              <w:ind w:left="0" w:right="0" w:hanging="0"/>
              <w:jc w:val="right"/>
              <w:rPr/>
            </w:pPr>
            <w:r>
              <w:rPr/>
              <w:t>  </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 </w:t>
            </w:r>
          </w:p>
        </w:tc>
        <w:tc>
          <w:tcPr>
            <w:tcW w:w="12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4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Trade receivables</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 </w:t>
            </w:r>
          </w:p>
        </w:tc>
        <w:tc>
          <w:tcPr>
            <w:tcW w:w="12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2,805</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Inventories</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 </w:t>
            </w:r>
          </w:p>
        </w:tc>
        <w:tc>
          <w:tcPr>
            <w:tcW w:w="12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5,528</w:t>
            </w:r>
          </w:p>
        </w:tc>
      </w:tr>
      <w:tr>
        <w:trPr/>
        <w:tc>
          <w:tcPr>
            <w:tcW w:w="4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 </w:t>
            </w:r>
          </w:p>
        </w:tc>
        <w:tc>
          <w:tcPr>
            <w:tcW w:w="12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 </w:t>
            </w:r>
          </w:p>
        </w:tc>
        <w:tc>
          <w:tcPr>
            <w:tcW w:w="12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r>
      <w:tr>
        <w:trPr/>
        <w:tc>
          <w:tcPr>
            <w:tcW w:w="4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assets</w:t>
            </w:r>
          </w:p>
        </w:tc>
        <w:tc>
          <w:tcPr>
            <w:tcW w:w="326" w:type="dxa"/>
            <w:tcBorders/>
            <w:shd w:fill="auto" w:val="clear"/>
            <w:vAlign w:val="center"/>
          </w:tcPr>
          <w:p>
            <w:pPr>
              <w:pStyle w:val="TableContents"/>
              <w:spacing w:before="0" w:after="0"/>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72,500</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 acquired</w:t>
            </w:r>
          </w:p>
        </w:tc>
        <w:tc>
          <w:tcPr>
            <w:tcW w:w="326" w:type="dxa"/>
            <w:tcBorders/>
            <w:shd w:fill="CCEEFF" w:val="clear"/>
            <w:vAlign w:val="center"/>
          </w:tcPr>
          <w:p>
            <w:pPr>
              <w:pStyle w:val="TableContents"/>
              <w:spacing w:before="0" w:after="0"/>
              <w:ind w:left="0" w:right="0" w:hanging="0"/>
              <w:rPr/>
            </w:pPr>
            <w:r>
              <w:rPr/>
              <w:t>​</w:t>
            </w:r>
          </w:p>
        </w:tc>
        <w:tc>
          <w:tcPr>
            <w:tcW w:w="33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82,709</w:t>
            </w:r>
          </w:p>
        </w:tc>
      </w:tr>
      <w:tr>
        <w:trPr/>
        <w:tc>
          <w:tcPr>
            <w:tcW w:w="4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 </w:t>
            </w:r>
          </w:p>
        </w:tc>
        <w:tc>
          <w:tcPr>
            <w:tcW w:w="12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1,744</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 </w:t>
            </w:r>
          </w:p>
        </w:tc>
        <w:tc>
          <w:tcPr>
            <w:tcW w:w="12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1,038</w:t>
            </w:r>
          </w:p>
        </w:tc>
      </w:tr>
      <w:tr>
        <w:trPr/>
        <w:tc>
          <w:tcPr>
            <w:tcW w:w="4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auto" w:val="clear"/>
            <w:vAlign w:val="center"/>
          </w:tcPr>
          <w:p>
            <w:pPr>
              <w:pStyle w:val="TableContents"/>
              <w:spacing w:before="0" w:after="0"/>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2,920</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assumed</w:t>
            </w:r>
          </w:p>
        </w:tc>
        <w:tc>
          <w:tcPr>
            <w:tcW w:w="326" w:type="dxa"/>
            <w:tcBorders/>
            <w:shd w:fill="CCEEFF" w:val="clear"/>
            <w:vAlign w:val="center"/>
          </w:tcPr>
          <w:p>
            <w:pPr>
              <w:pStyle w:val="TableContents"/>
              <w:spacing w:before="0" w:after="0"/>
              <w:ind w:left="0" w:right="0" w:hanging="0"/>
              <w:rPr/>
            </w:pPr>
            <w:r>
              <w:rPr/>
              <w:t>​</w:t>
            </w:r>
          </w:p>
        </w:tc>
        <w:tc>
          <w:tcPr>
            <w:tcW w:w="33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5,702</w:t>
            </w:r>
          </w:p>
        </w:tc>
      </w:tr>
      <w:tr>
        <w:trPr/>
        <w:tc>
          <w:tcPr>
            <w:tcW w:w="4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fair value of net assets acquired, excluding goodwill:</w:t>
            </w:r>
          </w:p>
        </w:tc>
        <w:tc>
          <w:tcPr>
            <w:tcW w:w="326" w:type="dxa"/>
            <w:tcBorders/>
            <w:shd w:fill="auto" w:val="clear"/>
            <w:vAlign w:val="center"/>
          </w:tcPr>
          <w:p>
            <w:pPr>
              <w:pStyle w:val="TableContents"/>
              <w:spacing w:before="0" w:after="0"/>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77,007</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0"/>
              <w:ind w:left="0" w:right="0" w:hanging="0"/>
              <w:rPr/>
            </w:pPr>
            <w:r>
              <w:rPr/>
              <w:t>​</w:t>
            </w:r>
          </w:p>
        </w:tc>
        <w:tc>
          <w:tcPr>
            <w:tcW w:w="33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4"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14,102</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excess of the purchase price over the fair value of the identifiable assets acquired and the liabilities assumed in the Radiant Acquisition was allocated to goodwill in the amount of $14.1 million. Goodwill resulting from the Radiant Acquisition was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677" w:name="Tc_ZJy7T8JwPEid7O2kqYx3MA_8_2"/>
      <w:bookmarkStart w:id="678" w:name="Tc_x6NniJuw7EqJWhucJsaknA_7_0"/>
      <w:bookmarkStart w:id="679" w:name="Tc_jttp4W5DRUaCH9SiopS5Gg_6_0"/>
      <w:bookmarkStart w:id="680" w:name="Tc_T1sNPae1HEqoVk_aktYjDQ_5_0"/>
      <w:bookmarkStart w:id="681" w:name="Tc_LjVSMVk560mxrEejrj31jw_4_0"/>
      <w:bookmarkStart w:id="682" w:name="Tc_eu2uua368Euwx0aq5Vr12w_3_2"/>
      <w:bookmarkStart w:id="683" w:name="Tc__e_M9rXPjUqGJlGzsGpR2w_3_0"/>
      <w:bookmarkStart w:id="684" w:name="Tc_5Cj_sZtW1k-ocRytO5vWsg_2_5"/>
      <w:bookmarkStart w:id="685" w:name="Tc_iKjGhkkYdke2V24CvG_RpQ_2_2"/>
      <w:bookmarkStart w:id="686" w:name="Tc_3APCfYbIOkyoMoHxre6dCA_2_0"/>
      <w:bookmarkStart w:id="687" w:name="Tc_K_CCUHQdF0aGYnRphZ5t3A_1_5"/>
      <w:bookmarkStart w:id="688" w:name="Tc_zSz2QfYaJEWMNpfYaOHAcQ_1_2"/>
      <w:bookmarkEnd w:id="677"/>
      <w:bookmarkEnd w:id="678"/>
      <w:bookmarkEnd w:id="679"/>
      <w:bookmarkEnd w:id="680"/>
      <w:bookmarkEnd w:id="681"/>
      <w:bookmarkEnd w:id="682"/>
      <w:bookmarkEnd w:id="683"/>
      <w:bookmarkEnd w:id="684"/>
      <w:bookmarkEnd w:id="685"/>
      <w:bookmarkEnd w:id="686"/>
      <w:bookmarkEnd w:id="687"/>
      <w:bookmarkEnd w:id="688"/>
      <w:r>
        <w:rPr>
          <w:rFonts w:ascii="Times New Roman;Times;serif" w:hAnsi="Times New Roman;Times;serif"/>
          <w:sz w:val="20"/>
        </w:rPr>
        <w:t xml:space="preserve">attributable to the expanded market share and product offerings. Goodwill resulting from the Radiant Acquisition is deductible for tax purposes. </w:t>
      </w:r>
    </w:p>
    <w:p>
      <w:pPr>
        <w:pStyle w:val="TextBody"/>
        <w:spacing w:before="0" w:after="24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Company allocated a portion of the purchase price to specific intangible asset categories as follows:</w:t>
      </w:r>
    </w:p>
    <w:p>
      <w:pPr>
        <w:pStyle w:val="TextBody"/>
        <w:spacing w:before="0" w:after="240"/>
        <w:ind w:left="0" w:right="0" w:firstLine="360"/>
        <w:rPr/>
      </w:pPr>
      <w:r>
        <w:rPr/>
        <w:t>​</w:t>
      </w:r>
    </w:p>
    <w:tbl>
      <w:tblPr>
        <w:tblW w:w="5274" w:type="dxa"/>
        <w:jc w:val="left"/>
        <w:tblInd w:w="0" w:type="dxa"/>
        <w:tblCellMar>
          <w:top w:w="0" w:type="dxa"/>
          <w:left w:w="0" w:type="dxa"/>
          <w:bottom w:w="0" w:type="dxa"/>
          <w:right w:w="0" w:type="dxa"/>
        </w:tblCellMar>
      </w:tblPr>
      <w:tblGrid>
        <w:gridCol w:w="2371"/>
        <w:gridCol w:w="326"/>
        <w:gridCol w:w="267"/>
        <w:gridCol w:w="858"/>
        <w:gridCol w:w="326"/>
        <w:gridCol w:w="1126"/>
      </w:tblGrid>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69545" cy="175260"/>
                      <wp:effectExtent l="0" t="0" r="0" b="0"/>
                      <wp:wrapNone/>
                      <wp:docPr id="77" name="Frame77"/>
                      <a:graphic xmlns:a="http://schemas.openxmlformats.org/drawingml/2006/main">
                        <a:graphicData uri="http://schemas.microsoft.com/office/word/2010/wordprocessingShape">
                          <wps:wsp>
                            <wps:cNvSpPr txBox="1"/>
                            <wps:spPr>
                              <a:xfrm>
                                <a:off x="0" y="0"/>
                                <a:ext cx="1695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44830" cy="175260"/>
                      <wp:effectExtent l="0" t="0" r="0" b="0"/>
                      <wp:wrapNone/>
                      <wp:docPr id="78" name="Frame78"/>
                      <a:graphic xmlns:a="http://schemas.openxmlformats.org/drawingml/2006/main">
                        <a:graphicData uri="http://schemas.microsoft.com/office/word/2010/wordprocessingShape">
                          <wps:wsp>
                            <wps:cNvSpPr txBox="1"/>
                            <wps:spPr>
                              <a:xfrm>
                                <a:off x="0" y="0"/>
                                <a:ext cx="544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15010" cy="175260"/>
                      <wp:effectExtent l="0" t="0" r="0" b="0"/>
                      <wp:wrapNone/>
                      <wp:docPr id="80" name="Frame80"/>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2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237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Definite-lived intangible assets:</w:t>
            </w:r>
          </w:p>
        </w:tc>
        <w:tc>
          <w:tcPr>
            <w:tcW w:w="326" w:type="dxa"/>
            <w:tcBorders/>
            <w:shd w:fill="auto" w:val="clear"/>
            <w:vAlign w:val="center"/>
          </w:tcPr>
          <w:p>
            <w:pPr>
              <w:pStyle w:val="TableContents"/>
              <w:spacing w:before="0" w:after="1"/>
              <w:ind w:left="0" w:right="0" w:hanging="0"/>
              <w:rPr/>
            </w:pPr>
            <w:r>
              <w:rPr/>
              <w:t>    </w:t>
            </w:r>
          </w:p>
        </w:tc>
        <w:tc>
          <w:tcPr>
            <w:tcW w:w="112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before="0" w:after="1"/>
              <w:ind w:left="0" w:right="0" w:hanging="0"/>
              <w:rPr/>
            </w:pPr>
            <w:r>
              <w:rPr/>
              <w:t>    </w:t>
            </w:r>
          </w:p>
        </w:tc>
        <w:tc>
          <w:tcPr>
            <w:tcW w:w="11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23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Dealer relationships</w:t>
            </w:r>
          </w:p>
        </w:tc>
        <w:tc>
          <w:tcPr>
            <w:tcW w:w="326" w:type="dxa"/>
            <w:tcBorders/>
            <w:shd w:fill="CCEEFF" w:val="clear"/>
            <w:vAlign w:val="center"/>
          </w:tcPr>
          <w:p>
            <w:pPr>
              <w:pStyle w:val="TableContents"/>
              <w:spacing w:before="0" w:after="1"/>
              <w:ind w:left="0" w:right="0" w:hanging="0"/>
              <w:rPr/>
            </w:pPr>
            <w:r>
              <w:rPr/>
              <w:t>​</w:t>
            </w:r>
          </w:p>
        </w:tc>
        <w:tc>
          <w:tcPr>
            <w:tcW w:w="26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37,000</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13 years</w:t>
            </w:r>
          </w:p>
        </w:tc>
      </w:tr>
      <w:tr>
        <w:trPr/>
        <w:tc>
          <w:tcPr>
            <w:tcW w:w="23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 names</w:t>
            </w:r>
          </w:p>
        </w:tc>
        <w:tc>
          <w:tcPr>
            <w:tcW w:w="326" w:type="dxa"/>
            <w:tcBorders/>
            <w:shd w:fill="auto" w:val="clear"/>
            <w:vAlign w:val="center"/>
          </w:tcPr>
          <w:p>
            <w:pPr>
              <w:pStyle w:val="TableContents"/>
              <w:spacing w:before="0" w:after="1"/>
              <w:ind w:left="0" w:right="0" w:hanging="0"/>
              <w:rPr/>
            </w:pPr>
            <w:r>
              <w:rPr/>
              <w:t>​</w:t>
            </w:r>
          </w:p>
        </w:tc>
        <w:tc>
          <w:tcPr>
            <w:tcW w:w="267" w:type="dxa"/>
            <w:tcBorders/>
            <w:shd w:fill="auto" w:val="clear"/>
            <w:vAlign w:val="center"/>
          </w:tcPr>
          <w:p>
            <w:pPr>
              <w:pStyle w:val="TableContents"/>
              <w:spacing w:before="0" w:after="1"/>
              <w:ind w:left="0" w:right="0" w:hanging="0"/>
              <w:rPr/>
            </w:pPr>
            <w:r>
              <w:rPr/>
              <w:t> </w:t>
            </w:r>
          </w:p>
        </w:tc>
        <w:tc>
          <w:tcPr>
            <w:tcW w:w="85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13,000</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25 years</w:t>
            </w:r>
          </w:p>
        </w:tc>
      </w:tr>
      <w:tr>
        <w:trPr/>
        <w:tc>
          <w:tcPr>
            <w:tcW w:w="23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spacing w:before="0" w:after="1"/>
              <w:ind w:left="0" w:right="0" w:hanging="0"/>
              <w:rPr/>
            </w:pPr>
            <w:r>
              <w:rPr/>
              <w:t>​</w:t>
            </w:r>
          </w:p>
        </w:tc>
        <w:tc>
          <w:tcPr>
            <w:tcW w:w="267" w:type="dxa"/>
            <w:tcBorders/>
            <w:shd w:fill="CCEEFF" w:val="clear"/>
            <w:vAlign w:val="center"/>
          </w:tcPr>
          <w:p>
            <w:pPr>
              <w:pStyle w:val="TableContents"/>
              <w:spacing w:before="0" w:after="1"/>
              <w:ind w:left="0" w:right="0" w:hanging="0"/>
              <w:rPr/>
            </w:pPr>
            <w:r>
              <w:rPr/>
              <w:t>​</w:t>
            </w:r>
          </w:p>
        </w:tc>
        <w:tc>
          <w:tcPr>
            <w:tcW w:w="8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13,000</w:t>
            </w:r>
          </w:p>
        </w:tc>
        <w:tc>
          <w:tcPr>
            <w:tcW w:w="326" w:type="dxa"/>
            <w:tcBorders/>
            <w:shd w:fill="CCEEFF" w:val="clear"/>
            <w:vAlign w:val="center"/>
          </w:tcPr>
          <w:p>
            <w:pPr>
              <w:pStyle w:val="TableContents"/>
              <w:spacing w:before="0" w:after="1"/>
              <w:ind w:left="0" w:right="0" w:hanging="0"/>
              <w:rPr/>
            </w:pPr>
            <w:r>
              <w:rPr/>
              <w:t>​</w:t>
            </w:r>
          </w:p>
        </w:tc>
        <w:tc>
          <w:tcPr>
            <w:tcW w:w="11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15 years</w:t>
            </w:r>
          </w:p>
        </w:tc>
      </w:tr>
      <w:tr>
        <w:trPr/>
        <w:tc>
          <w:tcPr>
            <w:tcW w:w="23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Pool designs</w:t>
            </w:r>
          </w:p>
        </w:tc>
        <w:tc>
          <w:tcPr>
            <w:tcW w:w="326" w:type="dxa"/>
            <w:tcBorders/>
            <w:shd w:fill="auto" w:val="clear"/>
            <w:vAlign w:val="center"/>
          </w:tcPr>
          <w:p>
            <w:pPr>
              <w:pStyle w:val="TableContents"/>
              <w:spacing w:before="0" w:after="1"/>
              <w:ind w:left="0" w:right="0" w:hanging="0"/>
              <w:rPr/>
            </w:pPr>
            <w:r>
              <w:rPr/>
              <w:t>​</w:t>
            </w:r>
          </w:p>
        </w:tc>
        <w:tc>
          <w:tcPr>
            <w:tcW w:w="267" w:type="dxa"/>
            <w:tcBorders/>
            <w:shd w:fill="auto" w:val="clear"/>
            <w:vAlign w:val="center"/>
          </w:tcPr>
          <w:p>
            <w:pPr>
              <w:pStyle w:val="TableContents"/>
              <w:spacing w:before="0" w:after="1"/>
              <w:ind w:left="0" w:right="0" w:hanging="0"/>
              <w:rPr/>
            </w:pPr>
            <w:r>
              <w:rPr/>
              <w:t>​</w:t>
            </w:r>
          </w:p>
        </w:tc>
        <w:tc>
          <w:tcPr>
            <w:tcW w:w="85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7,900</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15 years</w:t>
            </w:r>
          </w:p>
        </w:tc>
      </w:tr>
      <w:tr>
        <w:trPr/>
        <w:tc>
          <w:tcPr>
            <w:tcW w:w="23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Backlog</w:t>
            </w:r>
          </w:p>
        </w:tc>
        <w:tc>
          <w:tcPr>
            <w:tcW w:w="326" w:type="dxa"/>
            <w:tcBorders/>
            <w:shd w:fill="CCEEFF" w:val="clear"/>
            <w:vAlign w:val="center"/>
          </w:tcPr>
          <w:p>
            <w:pPr>
              <w:pStyle w:val="TableContents"/>
              <w:spacing w:before="0" w:after="1"/>
              <w:ind w:left="0" w:right="0" w:hanging="0"/>
              <w:rPr/>
            </w:pPr>
            <w:r>
              <w:rPr/>
              <w:t>​</w:t>
            </w:r>
          </w:p>
        </w:tc>
        <w:tc>
          <w:tcPr>
            <w:tcW w:w="26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5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CCEEFF" w:val="clear"/>
            <w:vAlign w:val="center"/>
          </w:tcPr>
          <w:p>
            <w:pPr>
              <w:pStyle w:val="TableContents"/>
              <w:spacing w:before="0" w:after="1"/>
              <w:ind w:left="0" w:right="0" w:hanging="0"/>
              <w:rPr/>
            </w:pPr>
            <w:r>
              <w:rPr/>
              <w:t>​</w:t>
            </w:r>
          </w:p>
        </w:tc>
        <w:tc>
          <w:tcPr>
            <w:tcW w:w="11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 months</w:t>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72,500</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pPr>
            <w:r>
              <w:rPr/>
              <w:t>​</w:t>
            </w:r>
          </w:p>
        </w:tc>
      </w:tr>
    </w:tbl>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4. FAIR VALUE MEASUREMENTS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Level 1 — Quoted prices in active markets for identical assets or liabilities.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Level 2 — Inputs, other than quoted prices in active markets, that are observable either directly or indirectly.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Level 3 — Unobservable inputs that reflect the Company’s own assumptions incorporated into valuation techniques. These valuations require significant judgment.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fiscal quarters ended April 2, 2022 or April 3, 2021.</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Assets and liabilities measured at fair value on a nonrecurring basis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Company’s non-financial assets such as goodwill, intangible assets and property and equipment are measured at fair value upon acquisition or remeasured to fair value when an impairment charge is recognized. Such fair value measurements are based predominantly on Level 2 and Level 3 inputs.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considers the carrying amounts of cash, trade receivables, prepaid expenses and other current assets, accounts payable, and accrued expenses and other current liabilities, to approximate fair value due to the short-term maturities of these instruments.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bookmarkStart w:id="689" w:name="Tc_wGjqt0ax5UqgvK3H5iI1gA_5_11"/>
      <w:bookmarkStart w:id="690" w:name="Tc_DBI3pO_jIUqFeKcIUw578g_5_8"/>
      <w:bookmarkStart w:id="691" w:name="Tc_vaciPdj2qk2CCCzsZaBe1w_5_6"/>
      <w:bookmarkStart w:id="692" w:name="Tc_2OrZ-JuPzE-wl7pE0yzLjg_5_5"/>
      <w:bookmarkStart w:id="693" w:name="Tc_QhIE9d-VzkGW2mimcW9Hcw_5_3"/>
      <w:bookmarkStart w:id="694" w:name="Tc_VmCgfE9aq0GYINTZu-OSGw_5_2"/>
      <w:bookmarkStart w:id="695" w:name="Tc_rEAZkkkBfECuQfe1UsWc7Q_5_0"/>
      <w:bookmarkStart w:id="696" w:name="Tc_58ahsfxpiEesdwjUq8URtQ_4_12"/>
      <w:bookmarkStart w:id="697" w:name="Tc_9T8vQoTgNEKR_kbbkIczjw_4_11"/>
      <w:bookmarkStart w:id="698" w:name="Tc_m5y6BMHnu06Gif9Junwzxw_4_9"/>
      <w:bookmarkStart w:id="699" w:name="Tc_hVKAYh6pmEmNxrX8VYzk2Q_4_8"/>
      <w:bookmarkStart w:id="700" w:name="Tc_SEZcv3YAI0uSKXkQdv2Tog_4_5"/>
      <w:bookmarkStart w:id="701" w:name="Tc_fko8Bfrpn0qYv7AO_DQt4A_4_2"/>
      <w:bookmarkStart w:id="702" w:name="Tc_m04DSFbE5UKqEr2bIyURZQ_4_0"/>
      <w:bookmarkStart w:id="703" w:name="Tc_veBCPMZ4qkGoBW6xteC-ow_3_11"/>
      <w:bookmarkStart w:id="704" w:name="Tc_sMl8YKKVEUSFupf6s9soPg_3_8"/>
      <w:bookmarkStart w:id="705" w:name="Tc_Y_CnPiGgS0O1FVJlcFsYqg_3_5"/>
      <w:bookmarkStart w:id="706" w:name="Tc_Na-dvg2n6kuVcI3C3I2imQ_3_2"/>
      <w:bookmarkStart w:id="707" w:name="Tc_mrgRipBNck-2JnHvcDkWCA_2_11"/>
      <w:bookmarkStart w:id="708" w:name="Tc_GZQd7ST3_E6V-qJoLsl5ow_2_8"/>
      <w:bookmarkStart w:id="709" w:name="Tc_YybWjHTKeEubnbxEUTEaUg_2_5"/>
      <w:bookmarkStart w:id="710" w:name="Tc_OcilN4BkYkS2oEgyTDb6Tw_2_2"/>
      <w:bookmarkStart w:id="711" w:name="Tc_JeLTTDwZ9U6-meucXR6oWg_1_8"/>
      <w:bookmarkStart w:id="712" w:name="Tc_ldLz88MBXEGWvcODQo3PxQ_1_2"/>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r>
        <w:rPr>
          <w:rFonts w:ascii="Times New Roman;Times;serif" w:hAnsi="Times New Roman;Times;serif"/>
          <w:i/>
          <w:sz w:val="20"/>
        </w:rPr>
        <w:t>Term loans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Term loans (see Note 7) are carried at amortized cost; however, the Company estimates the fair value of term loans for disclosure purposes. The fair value of term loans is determined using inputs based on observable market data of a non-public exchange using, which are classified as Level 2 inputs. The following table sets forth the carrying amount and fair value of its term loans (in thousands):</w:t>
        <w:br/>
        <w:t>​</w:t>
      </w:r>
    </w:p>
    <w:p>
      <w:pPr>
        <w:pStyle w:val="TextBody"/>
        <w:spacing w:before="0" w:after="240"/>
        <w:ind w:left="0" w:right="0" w:firstLine="360"/>
        <w:rPr/>
      </w:pPr>
      <w:r>
        <w:rPr/>
        <w:t>​</w:t>
      </w:r>
    </w:p>
    <w:tbl>
      <w:tblPr>
        <w:tblW w:w="7257" w:type="dxa"/>
        <w:jc w:val="left"/>
        <w:tblInd w:w="0" w:type="dxa"/>
        <w:tblCellMar>
          <w:top w:w="0" w:type="dxa"/>
          <w:left w:w="0" w:type="dxa"/>
          <w:bottom w:w="0" w:type="dxa"/>
          <w:right w:w="0" w:type="dxa"/>
        </w:tblCellMar>
      </w:tblPr>
      <w:tblGrid>
        <w:gridCol w:w="1831"/>
        <w:gridCol w:w="326"/>
        <w:gridCol w:w="211"/>
        <w:gridCol w:w="781"/>
        <w:gridCol w:w="326"/>
        <w:gridCol w:w="211"/>
        <w:gridCol w:w="781"/>
        <w:gridCol w:w="326"/>
        <w:gridCol w:w="211"/>
        <w:gridCol w:w="781"/>
        <w:gridCol w:w="326"/>
        <w:gridCol w:w="211"/>
        <w:gridCol w:w="781"/>
        <w:gridCol w:w="154"/>
      </w:tblGrid>
      <w:tr>
        <w:trPr/>
        <w:tc>
          <w:tcPr>
            <w:tcW w:w="18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95935" cy="175260"/>
                      <wp:effectExtent l="0" t="0" r="0" b="0"/>
                      <wp:wrapNone/>
                      <wp:docPr id="83" name="Frame8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95935" cy="175260"/>
                      <wp:effectExtent l="0" t="0" r="0" b="0"/>
                      <wp:wrapNone/>
                      <wp:docPr id="86" name="Frame8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9" name="Frame8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2" name="Frame9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97790" cy="175260"/>
                      <wp:effectExtent l="0" t="0" r="0" b="0"/>
                      <wp:wrapNone/>
                      <wp:docPr id="93" name="Frame93"/>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1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26" w:type="dxa"/>
            <w:tcBorders/>
            <w:shd w:fill="auto" w:val="clear"/>
            <w:vAlign w:val="center"/>
          </w:tcPr>
          <w:p>
            <w:pPr>
              <w:pStyle w:val="TableContents"/>
              <w:spacing w:before="0" w:after="0"/>
              <w:ind w:left="0" w:right="0" w:hanging="0"/>
              <w:rPr/>
            </w:pPr>
            <w:r>
              <w:rPr/>
              <w:t>​</w:t>
            </w:r>
          </w:p>
        </w:tc>
        <w:tc>
          <w:tcPr>
            <w:tcW w:w="231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154" w:type="dxa"/>
            <w:tcBorders/>
            <w:shd w:fill="auto" w:val="clear"/>
            <w:vAlign w:val="center"/>
          </w:tcPr>
          <w:p>
            <w:pPr>
              <w:pStyle w:val="TableContents"/>
              <w:spacing w:before="0" w:after="0"/>
              <w:ind w:left="0" w:right="0" w:hanging="0"/>
              <w:rPr/>
            </w:pPr>
            <w:r>
              <w:rPr/>
              <w:t>​</w:t>
            </w:r>
          </w:p>
        </w:tc>
      </w:tr>
      <w:tr>
        <w:trPr/>
        <w:tc>
          <w:tcPr>
            <w:tcW w:w="18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154" w:type="dxa"/>
            <w:tcBorders/>
            <w:shd w:fill="auto" w:val="clear"/>
            <w:vAlign w:val="center"/>
          </w:tcPr>
          <w:p>
            <w:pPr>
              <w:pStyle w:val="TableContents"/>
              <w:spacing w:before="0" w:after="0"/>
              <w:ind w:left="0" w:right="0" w:hanging="0"/>
              <w:rPr/>
            </w:pPr>
            <w:r>
              <w:rPr/>
              <w:t>​</w:t>
            </w:r>
          </w:p>
        </w:tc>
      </w:tr>
      <w:tr>
        <w:trPr/>
        <w:tc>
          <w:tcPr>
            <w:tcW w:w="18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54" w:type="dxa"/>
            <w:tcBorders/>
            <w:shd w:fill="auto" w:val="clear"/>
            <w:vAlign w:val="center"/>
          </w:tcPr>
          <w:p>
            <w:pPr>
              <w:pStyle w:val="TableContents"/>
              <w:spacing w:before="0" w:after="0"/>
              <w:ind w:left="0" w:right="0" w:hanging="0"/>
              <w:rPr/>
            </w:pPr>
            <w:r>
              <w:rPr/>
              <w:t>​</w:t>
            </w:r>
          </w:p>
        </w:tc>
      </w:tr>
      <w:tr>
        <w:trPr/>
        <w:tc>
          <w:tcPr>
            <w:tcW w:w="18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Term Loan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314,141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309,429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18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Amended Term Loan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280,408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281,926</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Interest rate swap</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estimates the fair value of the interest rate swap (see Note 7) on a quarterly basis using Level 2 inputs, including the forward SOFR curve. The fair value is estimated by comparing (i) the present value of all future monthly fixed rate payments versus (ii) the variable payments based on the forward SOFR curve. As of April 2, 2022 and December 31, 2021, the fair value of the Company’s interest rate swap asset was $3.3 million and $0.5 million, respectively, which was recorded within other assets on the condensed consolidated balance sheets.</w:t>
      </w:r>
    </w:p>
    <w:p>
      <w:pPr>
        <w:pStyle w:val="TextBody"/>
        <w:spacing w:before="0" w:after="240"/>
        <w:ind w:left="0" w:right="0" w:hanging="0"/>
        <w:rPr>
          <w:rFonts w:ascii="Times New Roman;Times;serif" w:hAnsi="Times New Roman;Times;serif"/>
          <w:b/>
          <w:sz w:val="20"/>
        </w:rPr>
      </w:pPr>
      <w:bookmarkStart w:id="713" w:name="Tc_LnQOAv7we0SMHQhISxEkww_13_11"/>
      <w:bookmarkStart w:id="714" w:name="Tc_zXf3gwo_q0W3LFS1dqTUZA_13_8"/>
      <w:bookmarkStart w:id="715" w:name="Tc_4UPjkSfYa0aj11tb5v8y0A_13_5"/>
      <w:bookmarkStart w:id="716" w:name="Tc_OOFOL-gMzUu8SgLLjemmxQ_13_2"/>
      <w:bookmarkStart w:id="717" w:name="Tc_0Q6EI17YCUK5JhoRQw__uQ_12_6"/>
      <w:bookmarkStart w:id="718" w:name="Tc_RSHJPkb3XEeyIGhA3FKVmg_12_0"/>
      <w:bookmarkStart w:id="719" w:name="Tc_wC0-Mlnqs0ecDOXwMP5uEA_11_0"/>
      <w:bookmarkStart w:id="720" w:name="Tc_brfWTGfJVUm3Y_UosqMR5g_10_0"/>
      <w:bookmarkStart w:id="721" w:name="Tc_xI-GxLVPLEqzONOYnpagzA_9_0"/>
      <w:bookmarkStart w:id="722" w:name="Tc_-cTNVSTM70SYNNhUTJfz0g_8_0"/>
      <w:bookmarkStart w:id="723" w:name="Tc_1qBFxl60KE2HaUB9118nSg_7_6"/>
      <w:bookmarkStart w:id="724" w:name="Tc_vd0grN1WJUukiyeiay9JHw_7_0"/>
      <w:bookmarkStart w:id="725" w:name="Tc_xSi4z8Rq6ki_Wz828vU1aA_6_0"/>
      <w:bookmarkStart w:id="726" w:name="Tc_78qgnuRriE6lD7b6FFYiSg_5_11"/>
      <w:bookmarkStart w:id="727" w:name="Tc_9_dzg7PUKkW4lO4ff3CW8g_5_8"/>
      <w:bookmarkStart w:id="728" w:name="Tc_T_WujHffcEuysZaJpLhCTA_5_5"/>
      <w:bookmarkStart w:id="729" w:name="Tc_GEJD6vCAOUyMtNMRKJyGow_5_2"/>
      <w:bookmarkStart w:id="730" w:name="Tc_Qk8gtDWs_UKR88fhd31dFQ_5_0"/>
      <w:bookmarkStart w:id="731" w:name="Tc_P2y_NFfoLEikEw6-_a7vxg_4_11"/>
      <w:bookmarkStart w:id="732" w:name="Tc_Y2wjTxPkJ0655Qva-2xlDg_4_8"/>
      <w:bookmarkStart w:id="733" w:name="Tc_e8KYaLgOTU-_0IP5RTJg5Q_4_5"/>
      <w:bookmarkStart w:id="734" w:name="Tc_sg8AxPQJ0UK-RlCdAbY9iw_4_2"/>
      <w:bookmarkStart w:id="735" w:name="Tc_DYjfzHLQLUSUXFkjR4H8aA_3_11"/>
      <w:bookmarkStart w:id="736" w:name="Tc_LE6S9RyWwEGIyxI6aGpcTA_3_8"/>
      <w:bookmarkStart w:id="737" w:name="Tc_B4b3ftyfAEO56gg8wcsjJw_3_5"/>
      <w:bookmarkStart w:id="738" w:name="Tc_HjNnKnFVn02K_PXEspQMog_3_2"/>
      <w:bookmarkStart w:id="739" w:name="Tc_XSpsv0G43USv3VFOZlsHKw_2_5"/>
      <w:bookmarkStart w:id="740" w:name="Tc_9jCV3WhPCEG_ssEqB8J0GQ_2_2"/>
      <w:bookmarkStart w:id="741" w:name="Tc_NaIhie-6Dk2ISWiFYvCSYQ_1_2"/>
      <w:bookmarkStart w:id="742" w:name="_829329e0_738a_493e_a7d1_d35a3174599b"/>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r>
        <w:rPr>
          <w:rFonts w:ascii="Times New Roman;Times;serif" w:hAnsi="Times New Roman;Times;serif"/>
          <w:b/>
          <w:sz w:val="20"/>
        </w:rPr>
        <w:t>5. GOODWILL AND INTANGIBLE ASSETS, NET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Goodwill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carrying amount of goodwill as of April 2, 2022 and as of December 31, 2021 was $129.6 million and $128.9 million, respectively. The change in the carrying value during the fiscal quarter ended April 2, 2022 was due to an increase of $0.4 million as a result of a measurement period adjustment (see Note 3) and fluctuations in foreign currency exchange rates.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Intangible Assets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Intangible assets, net as of April 2, 2022 consisted of the following (in thousands):</w:t>
      </w:r>
    </w:p>
    <w:p>
      <w:pPr>
        <w:pStyle w:val="TextBody"/>
        <w:spacing w:before="0" w:after="240"/>
        <w:ind w:left="0" w:right="0" w:firstLine="360"/>
        <w:rPr/>
      </w:pPr>
      <w:r>
        <w:rPr/>
        <w:t>​</w:t>
      </w:r>
    </w:p>
    <w:tbl>
      <w:tblPr>
        <w:tblW w:w="7908" w:type="dxa"/>
        <w:jc w:val="left"/>
        <w:tblInd w:w="0" w:type="dxa"/>
        <w:tblCellMar>
          <w:top w:w="0" w:type="dxa"/>
          <w:left w:w="0" w:type="dxa"/>
          <w:bottom w:w="0" w:type="dxa"/>
          <w:right w:w="0" w:type="dxa"/>
        </w:tblCellMar>
      </w:tblPr>
      <w:tblGrid>
        <w:gridCol w:w="2476"/>
        <w:gridCol w:w="326"/>
        <w:gridCol w:w="211"/>
        <w:gridCol w:w="781"/>
        <w:gridCol w:w="326"/>
        <w:gridCol w:w="254"/>
        <w:gridCol w:w="692"/>
        <w:gridCol w:w="326"/>
        <w:gridCol w:w="257"/>
        <w:gridCol w:w="824"/>
        <w:gridCol w:w="326"/>
        <w:gridCol w:w="211"/>
        <w:gridCol w:w="898"/>
      </w:tblGrid>
      <w:tr>
        <w:trPr/>
        <w:tc>
          <w:tcPr>
            <w:tcW w:w="24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95935" cy="175260"/>
                      <wp:effectExtent l="0" t="0" r="0" b="0"/>
                      <wp:wrapNone/>
                      <wp:docPr id="96" name="Frame9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61290" cy="175260"/>
                      <wp:effectExtent l="0" t="0" r="0" b="0"/>
                      <wp:wrapNone/>
                      <wp:docPr id="98" name="Frame98"/>
                      <a:graphic xmlns:a="http://schemas.openxmlformats.org/drawingml/2006/main">
                        <a:graphicData uri="http://schemas.microsoft.com/office/word/2010/wordprocessingShape">
                          <wps:wsp>
                            <wps:cNvSpPr txBox="1"/>
                            <wps:spPr>
                              <a:xfrm>
                                <a:off x="0" y="0"/>
                                <a:ext cx="1612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39420" cy="175260"/>
                      <wp:effectExtent l="0" t="0" r="0" b="0"/>
                      <wp:wrapNone/>
                      <wp:docPr id="99" name="Frame99"/>
                      <a:graphic xmlns:a="http://schemas.openxmlformats.org/drawingml/2006/main">
                        <a:graphicData uri="http://schemas.microsoft.com/office/word/2010/wordprocessingShape">
                          <wps:wsp>
                            <wps:cNvSpPr txBox="1"/>
                            <wps:spPr>
                              <a:xfrm>
                                <a:off x="0" y="0"/>
                                <a:ext cx="4394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3195" cy="175260"/>
                      <wp:effectExtent l="0" t="0" r="0" b="0"/>
                      <wp:wrapNone/>
                      <wp:docPr id="101" name="Frame101"/>
                      <a:graphic xmlns:a="http://schemas.openxmlformats.org/drawingml/2006/main">
                        <a:graphicData uri="http://schemas.microsoft.com/office/word/2010/wordprocessingShape">
                          <wps:wsp>
                            <wps:cNvSpPr txBox="1"/>
                            <wps:spPr>
                              <a:xfrm>
                                <a:off x="0" y="0"/>
                                <a:ext cx="1631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23240" cy="175260"/>
                      <wp:effectExtent l="0" t="0" r="0" b="0"/>
                      <wp:wrapNone/>
                      <wp:docPr id="102" name="Frame102"/>
                      <a:graphic xmlns:a="http://schemas.openxmlformats.org/drawingml/2006/main">
                        <a:graphicData uri="http://schemas.microsoft.com/office/word/2010/wordprocessingShape">
                          <wps:wsp>
                            <wps:cNvSpPr txBox="1"/>
                            <wps:spPr>
                              <a:xfrm>
                                <a:off x="0" y="0"/>
                                <a:ext cx="5232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70230" cy="175260"/>
                      <wp:effectExtent l="0" t="0" r="0" b="0"/>
                      <wp:wrapNone/>
                      <wp:docPr id="105" name="Frame105"/>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06"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2022</w:t>
            </w:r>
          </w:p>
        </w:tc>
      </w:tr>
      <w:tr>
        <w:trPr/>
        <w:tc>
          <w:tcPr>
            <w:tcW w:w="24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shd w:fill="auto" w:val="clear"/>
            <w:vAlign w:val="center"/>
          </w:tcPr>
          <w:p>
            <w:pPr>
              <w:pStyle w:val="TableContents"/>
              <w:spacing w:before="0" w:after="1"/>
              <w:ind w:left="0" w:right="0" w:hanging="0"/>
              <w:rPr/>
            </w:pPr>
            <w:r>
              <w:rPr/>
              <w:t>​</w:t>
            </w:r>
          </w:p>
        </w:tc>
        <w:tc>
          <w:tcPr>
            <w:tcW w:w="257" w:type="dxa"/>
            <w:tcBorders/>
            <w:shd w:fill="auto" w:val="clear"/>
            <w:vAlign w:val="center"/>
          </w:tcPr>
          <w:p>
            <w:pPr>
              <w:pStyle w:val="TableContents"/>
              <w:spacing w:before="0" w:after="1"/>
              <w:ind w:left="0" w:right="0" w:hanging="0"/>
              <w:rPr/>
            </w:pPr>
            <w:r>
              <w:rPr/>
              <w:t>​</w:t>
            </w:r>
          </w:p>
        </w:tc>
        <w:tc>
          <w:tcPr>
            <w:tcW w:w="82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8" w:type="dxa"/>
            <w:tcBorders/>
            <w:shd w:fill="auto" w:val="clear"/>
            <w:vAlign w:val="center"/>
          </w:tcPr>
          <w:p>
            <w:pPr>
              <w:pStyle w:val="TableContents"/>
              <w:spacing w:before="0" w:after="1"/>
              <w:ind w:left="0" w:right="0" w:hanging="0"/>
              <w:jc w:val="center"/>
              <w:rPr/>
            </w:pPr>
            <w:r>
              <w:rPr/>
              <w:t>​</w:t>
            </w:r>
          </w:p>
        </w:tc>
      </w:tr>
      <w:tr>
        <w:trPr/>
        <w:tc>
          <w:tcPr>
            <w:tcW w:w="24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shd w:fill="auto" w:val="clear"/>
            <w:vAlign w:val="center"/>
          </w:tcPr>
          <w:p>
            <w:pPr>
              <w:pStyle w:val="TableContents"/>
              <w:spacing w:before="0" w:after="1"/>
              <w:ind w:left="0" w:right="0" w:hanging="0"/>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26" w:type="dxa"/>
            <w:tcBorders/>
            <w:shd w:fill="auto" w:val="clear"/>
            <w:vAlign w:val="center"/>
          </w:tcPr>
          <w:p>
            <w:pPr>
              <w:pStyle w:val="TableContents"/>
              <w:spacing w:before="0" w:after="1"/>
              <w:ind w:left="0" w:right="0" w:hanging="0"/>
              <w:rPr/>
            </w:pPr>
            <w:r>
              <w:rPr/>
              <w:t>​</w:t>
            </w:r>
          </w:p>
        </w:tc>
        <w:tc>
          <w:tcPr>
            <w:tcW w:w="10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rPr/>
            </w:pPr>
            <w:r>
              <w:rPr/>
              <w:t>​</w:t>
            </w:r>
          </w:p>
        </w:tc>
        <w:tc>
          <w:tcPr>
            <w:tcW w:w="110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24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    </w:t>
            </w:r>
          </w:p>
        </w:tc>
        <w:tc>
          <w:tcPr>
            <w:tcW w:w="9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shd w:fill="auto" w:val="clear"/>
            <w:vAlign w:val="center"/>
          </w:tcPr>
          <w:p>
            <w:pPr>
              <w:pStyle w:val="TableContents"/>
              <w:spacing w:before="0" w:after="1"/>
              <w:ind w:left="0" w:right="0" w:hanging="0"/>
              <w:rPr/>
            </w:pPr>
            <w:r>
              <w:rPr/>
              <w:t>    </w:t>
            </w:r>
          </w:p>
        </w:tc>
        <w:tc>
          <w:tcPr>
            <w:tcW w:w="10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1"/>
              <w:ind w:left="0" w:right="0" w:hanging="0"/>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4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 names and trademarks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148,100</w:t>
            </w:r>
          </w:p>
        </w:tc>
        <w:tc>
          <w:tcPr>
            <w:tcW w:w="326"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718</w:t>
            </w:r>
          </w:p>
        </w:tc>
        <w:tc>
          <w:tcPr>
            <w:tcW w:w="326" w:type="dxa"/>
            <w:tcBorders/>
            <w:shd w:fill="CCEEFF" w:val="clear"/>
            <w:vAlign w:val="center"/>
          </w:tcPr>
          <w:p>
            <w:pPr>
              <w:pStyle w:val="TableContents"/>
              <w:spacing w:before="0" w:after="1"/>
              <w:ind w:left="0" w:right="0" w:hanging="0"/>
              <w:rPr/>
            </w:pPr>
            <w:r>
              <w:rPr/>
              <w:t>​</w:t>
            </w:r>
          </w:p>
        </w:tc>
        <w:tc>
          <w:tcPr>
            <w:tcW w:w="25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18,034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130,784</w:t>
            </w:r>
          </w:p>
        </w:tc>
      </w:tr>
      <w:tr>
        <w:trPr/>
        <w:tc>
          <w:tcPr>
            <w:tcW w:w="24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Patented technology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16,126</w:t>
            </w:r>
          </w:p>
        </w:tc>
        <w:tc>
          <w:tcPr>
            <w:tcW w:w="326" w:type="dxa"/>
            <w:tcBorders/>
            <w:shd w:fill="auto" w:val="clear"/>
            <w:vAlign w:val="center"/>
          </w:tcPr>
          <w:p>
            <w:pPr>
              <w:pStyle w:val="TableContents"/>
              <w:spacing w:before="0" w:after="1"/>
              <w:ind w:left="0" w:right="0" w:hanging="0"/>
              <w:rPr/>
            </w:pPr>
            <w:r>
              <w:rPr/>
              <w:t>​</w:t>
            </w:r>
          </w:p>
        </w:tc>
        <w:tc>
          <w:tcPr>
            <w:tcW w:w="254" w:type="dxa"/>
            <w:tcBorders/>
            <w:shd w:fill="auto" w:val="clear"/>
            <w:vAlign w:val="center"/>
          </w:tcPr>
          <w:p>
            <w:pPr>
              <w:pStyle w:val="TableContents"/>
              <w:spacing w:before="0" w:after="1"/>
              <w:ind w:left="0" w:right="0" w:hanging="0"/>
              <w:rPr/>
            </w:pPr>
            <w:r>
              <w:rPr/>
              <w:t> </w:t>
            </w:r>
          </w:p>
        </w:tc>
        <w:tc>
          <w:tcPr>
            <w:tcW w:w="69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auto" w:val="clear"/>
            <w:vAlign w:val="center"/>
          </w:tcPr>
          <w:p>
            <w:pPr>
              <w:pStyle w:val="TableContents"/>
              <w:spacing w:before="0" w:after="1"/>
              <w:ind w:left="0" w:right="0" w:hanging="0"/>
              <w:rPr/>
            </w:pPr>
            <w:r>
              <w:rPr/>
              <w:t>​</w:t>
            </w:r>
          </w:p>
        </w:tc>
        <w:tc>
          <w:tcPr>
            <w:tcW w:w="257" w:type="dxa"/>
            <w:tcBorders/>
            <w:shd w:fill="auto" w:val="clear"/>
            <w:vAlign w:val="center"/>
          </w:tcPr>
          <w:p>
            <w:pPr>
              <w:pStyle w:val="TableContents"/>
              <w:spacing w:before="0" w:after="1"/>
              <w:ind w:left="0" w:right="0" w:hanging="0"/>
              <w:rPr/>
            </w:pPr>
            <w:r>
              <w:rPr/>
              <w:t> </w:t>
            </w:r>
          </w:p>
        </w:tc>
        <w:tc>
          <w:tcPr>
            <w:tcW w:w="8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5,644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10,577</w:t>
            </w:r>
          </w:p>
        </w:tc>
      </w:tr>
      <w:tr>
        <w:trPr/>
        <w:tc>
          <w:tcPr>
            <w:tcW w:w="24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13,000</w:t>
            </w:r>
          </w:p>
        </w:tc>
        <w:tc>
          <w:tcPr>
            <w:tcW w:w="326"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pPr>
            <w:r>
              <w:rPr/>
              <w:t>​</w:t>
            </w:r>
          </w:p>
        </w:tc>
        <w:tc>
          <w:tcPr>
            <w:tcW w:w="69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7" w:type="dxa"/>
            <w:tcBorders/>
            <w:shd w:fill="CCEEFF" w:val="clear"/>
            <w:vAlign w:val="center"/>
          </w:tcPr>
          <w:p>
            <w:pPr>
              <w:pStyle w:val="TableContents"/>
              <w:spacing w:before="0" w:after="1"/>
              <w:ind w:left="0" w:right="0" w:hanging="0"/>
              <w:rPr/>
            </w:pPr>
            <w:r>
              <w:rPr/>
              <w:t>​</w:t>
            </w:r>
          </w:p>
        </w:tc>
        <w:tc>
          <w:tcPr>
            <w:tcW w:w="8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12,711</w:t>
            </w:r>
          </w:p>
        </w:tc>
      </w:tr>
      <w:tr>
        <w:trPr/>
        <w:tc>
          <w:tcPr>
            <w:tcW w:w="24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Pool designs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13,628</w:t>
            </w:r>
          </w:p>
        </w:tc>
        <w:tc>
          <w:tcPr>
            <w:tcW w:w="326" w:type="dxa"/>
            <w:tcBorders/>
            <w:shd w:fill="auto" w:val="clear"/>
            <w:vAlign w:val="center"/>
          </w:tcPr>
          <w:p>
            <w:pPr>
              <w:pStyle w:val="TableContents"/>
              <w:spacing w:before="0" w:after="1"/>
              <w:ind w:left="0" w:right="0" w:hanging="0"/>
              <w:rPr/>
            </w:pPr>
            <w:r>
              <w:rPr/>
              <w:t>​</w:t>
            </w:r>
          </w:p>
        </w:tc>
        <w:tc>
          <w:tcPr>
            <w:tcW w:w="254" w:type="dxa"/>
            <w:tcBorders/>
            <w:shd w:fill="auto" w:val="clear"/>
            <w:vAlign w:val="center"/>
          </w:tcPr>
          <w:p>
            <w:pPr>
              <w:pStyle w:val="TableContents"/>
              <w:spacing w:before="0" w:after="1"/>
              <w:ind w:left="0" w:right="0" w:hanging="0"/>
              <w:rPr/>
            </w:pPr>
            <w:r>
              <w:rPr/>
              <w:t> </w:t>
            </w:r>
          </w:p>
        </w:tc>
        <w:tc>
          <w:tcPr>
            <w:tcW w:w="69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c>
          <w:tcPr>
            <w:tcW w:w="326" w:type="dxa"/>
            <w:tcBorders/>
            <w:shd w:fill="auto" w:val="clear"/>
            <w:vAlign w:val="center"/>
          </w:tcPr>
          <w:p>
            <w:pPr>
              <w:pStyle w:val="TableContents"/>
              <w:spacing w:before="0" w:after="1"/>
              <w:ind w:left="0" w:right="0" w:hanging="0"/>
              <w:rPr/>
            </w:pPr>
            <w:r>
              <w:rPr/>
              <w:t>​</w:t>
            </w:r>
          </w:p>
        </w:tc>
        <w:tc>
          <w:tcPr>
            <w:tcW w:w="257" w:type="dxa"/>
            <w:tcBorders/>
            <w:shd w:fill="auto" w:val="clear"/>
            <w:vAlign w:val="center"/>
          </w:tcPr>
          <w:p>
            <w:pPr>
              <w:pStyle w:val="TableContents"/>
              <w:spacing w:before="0" w:after="1"/>
              <w:ind w:left="0" w:right="0" w:hanging="0"/>
              <w:rPr/>
            </w:pPr>
            <w:r>
              <w:rPr/>
              <w:t> </w:t>
            </w:r>
          </w:p>
        </w:tc>
        <w:tc>
          <w:tcPr>
            <w:tcW w:w="8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12,704</w:t>
            </w:r>
          </w:p>
        </w:tc>
      </w:tr>
      <w:tr>
        <w:trPr/>
        <w:tc>
          <w:tcPr>
            <w:tcW w:w="24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Franchise relationships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1,187</w:t>
            </w:r>
          </w:p>
        </w:tc>
        <w:tc>
          <w:tcPr>
            <w:tcW w:w="326"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pPr>
            <w:r>
              <w:rPr/>
              <w:t> </w:t>
            </w:r>
          </w:p>
        </w:tc>
        <w:tc>
          <w:tcPr>
            <w:tcW w:w="69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spacing w:before="0" w:after="1"/>
              <w:ind w:left="0" w:right="0" w:hanging="0"/>
              <w:rPr/>
            </w:pPr>
            <w:r>
              <w:rPr/>
              <w:t>​</w:t>
            </w:r>
          </w:p>
        </w:tc>
        <w:tc>
          <w:tcPr>
            <w:tcW w:w="257" w:type="dxa"/>
            <w:tcBorders/>
            <w:shd w:fill="CCEEFF" w:val="clear"/>
            <w:vAlign w:val="center"/>
          </w:tcPr>
          <w:p>
            <w:pPr>
              <w:pStyle w:val="TableContents"/>
              <w:spacing w:before="0" w:after="1"/>
              <w:ind w:left="0" w:right="0" w:hanging="0"/>
              <w:rPr/>
            </w:pPr>
            <w:r>
              <w:rPr/>
              <w:t> </w:t>
            </w:r>
          </w:p>
        </w:tc>
        <w:tc>
          <w:tcPr>
            <w:tcW w:w="8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428</w:t>
            </w:r>
          </w:p>
        </w:tc>
      </w:tr>
      <w:tr>
        <w:trPr/>
        <w:tc>
          <w:tcPr>
            <w:tcW w:w="24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Dealer relationships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197,376</w:t>
            </w:r>
          </w:p>
        </w:tc>
        <w:tc>
          <w:tcPr>
            <w:tcW w:w="326" w:type="dxa"/>
            <w:tcBorders/>
            <w:shd w:fill="auto" w:val="clear"/>
            <w:vAlign w:val="center"/>
          </w:tcPr>
          <w:p>
            <w:pPr>
              <w:pStyle w:val="TableContents"/>
              <w:spacing w:before="0" w:after="1"/>
              <w:ind w:left="0" w:right="0" w:hanging="0"/>
              <w:rPr/>
            </w:pPr>
            <w:r>
              <w:rPr/>
              <w:t>​</w:t>
            </w:r>
          </w:p>
        </w:tc>
        <w:tc>
          <w:tcPr>
            <w:tcW w:w="254" w:type="dxa"/>
            <w:tcBorders/>
            <w:shd w:fill="auto" w:val="clear"/>
            <w:vAlign w:val="center"/>
          </w:tcPr>
          <w:p>
            <w:pPr>
              <w:pStyle w:val="TableContents"/>
              <w:spacing w:before="0" w:after="1"/>
              <w:ind w:left="0" w:right="0" w:hanging="0"/>
              <w:rPr/>
            </w:pPr>
            <w:r>
              <w:rPr/>
              <w:t> </w:t>
            </w:r>
          </w:p>
        </w:tc>
        <w:tc>
          <w:tcPr>
            <w:tcW w:w="69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auto" w:val="clear"/>
            <w:vAlign w:val="center"/>
          </w:tcPr>
          <w:p>
            <w:pPr>
              <w:pStyle w:val="TableContents"/>
              <w:spacing w:before="0" w:after="1"/>
              <w:ind w:left="0" w:right="0" w:hanging="0"/>
              <w:rPr/>
            </w:pPr>
            <w:r>
              <w:rPr/>
              <w:t>​</w:t>
            </w:r>
          </w:p>
        </w:tc>
        <w:tc>
          <w:tcPr>
            <w:tcW w:w="257" w:type="dxa"/>
            <w:tcBorders/>
            <w:shd w:fill="auto" w:val="clear"/>
            <w:vAlign w:val="center"/>
          </w:tcPr>
          <w:p>
            <w:pPr>
              <w:pStyle w:val="TableContents"/>
              <w:spacing w:before="0" w:after="1"/>
              <w:ind w:left="0" w:right="0" w:hanging="0"/>
              <w:rPr/>
            </w:pPr>
            <w:r>
              <w:rPr/>
              <w:t> </w:t>
            </w:r>
          </w:p>
        </w:tc>
        <w:tc>
          <w:tcPr>
            <w:tcW w:w="8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34,881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162,576</w:t>
            </w:r>
          </w:p>
        </w:tc>
      </w:tr>
      <w:tr>
        <w:trPr/>
        <w:tc>
          <w:tcPr>
            <w:tcW w:w="24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Backlog</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pPr>
            <w:r>
              <w:rPr/>
              <w:t>​</w:t>
            </w:r>
          </w:p>
        </w:tc>
        <w:tc>
          <w:tcPr>
            <w:tcW w:w="69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7" w:type="dxa"/>
            <w:tcBorders/>
            <w:shd w:fill="CCEEFF" w:val="clear"/>
            <w:vAlign w:val="center"/>
          </w:tcPr>
          <w:p>
            <w:pPr>
              <w:pStyle w:val="TableContents"/>
              <w:spacing w:before="0" w:after="1"/>
              <w:ind w:left="0" w:right="0" w:hanging="0"/>
              <w:rPr/>
            </w:pPr>
            <w:r>
              <w:rPr/>
              <w:t>​</w:t>
            </w:r>
          </w:p>
        </w:tc>
        <w:tc>
          <w:tcPr>
            <w:tcW w:w="8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960</w:t>
            </w:r>
          </w:p>
        </w:tc>
      </w:tr>
      <w:tr>
        <w:trPr/>
        <w:tc>
          <w:tcPr>
            <w:tcW w:w="24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Non-competition agreements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2,476</w:t>
            </w:r>
          </w:p>
        </w:tc>
        <w:tc>
          <w:tcPr>
            <w:tcW w:w="326" w:type="dxa"/>
            <w:tcBorders/>
            <w:shd w:fill="auto" w:val="clear"/>
            <w:vAlign w:val="center"/>
          </w:tcPr>
          <w:p>
            <w:pPr>
              <w:pStyle w:val="TableContents"/>
              <w:spacing w:before="0" w:after="1"/>
              <w:ind w:left="0" w:right="0" w:hanging="0"/>
              <w:rPr/>
            </w:pPr>
            <w:r>
              <w:rPr/>
              <w:t>​</w:t>
            </w:r>
          </w:p>
        </w:tc>
        <w:tc>
          <w:tcPr>
            <w:tcW w:w="25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r>
      <w:tr>
        <w:trPr/>
        <w:tc>
          <w:tcPr>
            <w:tcW w:w="247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393,493</w:t>
            </w:r>
          </w:p>
        </w:tc>
        <w:tc>
          <w:tcPr>
            <w:tcW w:w="326" w:type="dxa"/>
            <w:tcBorders/>
            <w:shd w:fill="CCEEFF" w:val="clear"/>
            <w:vAlign w:val="center"/>
          </w:tcPr>
          <w:p>
            <w:pPr>
              <w:pStyle w:val="TableContents"/>
              <w:spacing w:before="0" w:after="1"/>
              <w:ind w:left="0" w:right="0" w:hanging="0"/>
              <w:rPr/>
            </w:pPr>
            <w:r>
              <w:rPr/>
              <w:t>​</w:t>
            </w:r>
          </w:p>
        </w:tc>
        <w:tc>
          <w:tcPr>
            <w:tcW w:w="25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1,389</w:t>
            </w:r>
          </w:p>
        </w:tc>
        <w:tc>
          <w:tcPr>
            <w:tcW w:w="326" w:type="dxa"/>
            <w:tcBorders/>
            <w:shd w:fill="CCEEFF" w:val="clear"/>
            <w:vAlign w:val="center"/>
          </w:tcPr>
          <w:p>
            <w:pPr>
              <w:pStyle w:val="TableContents"/>
              <w:spacing w:before="0" w:after="1"/>
              <w:ind w:left="0" w:right="0" w:hanging="0"/>
              <w:rPr/>
            </w:pPr>
            <w:r>
              <w:rPr/>
              <w:t>​</w:t>
            </w:r>
          </w:p>
        </w:tc>
        <w:tc>
          <w:tcPr>
            <w:tcW w:w="25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63,293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331,589</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Company recognized $7.2 million and $5.6 million of amortization expense related to intangible assets during the fiscal quarters ended April 2, 2022 and April 3, 2021, respectively.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403" w:right="0" w:hanging="0"/>
        <w:rPr>
          <w:rFonts w:ascii="Times New Roman;Times;serif" w:hAnsi="Times New Roman;Times;serif"/>
          <w:sz w:val="20"/>
        </w:rPr>
      </w:pPr>
      <w:bookmarkStart w:id="743" w:name="Tc_Ehz8p-AvbESyVtmWoPK_TQ_9_2"/>
      <w:bookmarkStart w:id="744" w:name="Tc_1_WLRqj12Uy6tc51tNTn7Q_8_0"/>
      <w:bookmarkStart w:id="745" w:name="Tc_PZJeGxrZa0Sv7LkZAnR-OA_7_0"/>
      <w:bookmarkStart w:id="746" w:name="Tc_xPrs_0S4OkW0LXLIT4-UQA_6_0"/>
      <w:bookmarkStart w:id="747" w:name="Tc_cJXS7fSXIUuh7MYXaYrIuA_5_0"/>
      <w:bookmarkStart w:id="748" w:name="Tc_YGT104FAwkuO_CStmIl6yQ_4_0"/>
      <w:bookmarkStart w:id="749" w:name="Tc_BDaZyDh5oUCTGW9RkHKv4w_3_2"/>
      <w:bookmarkStart w:id="750" w:name="Tc_hrdw1wlGOkmkJWkvPRVVnQ_3_0"/>
      <w:bookmarkStart w:id="751" w:name="Tc_pvUXi5OLFE-rMDChe_uBuw_2_2"/>
      <w:bookmarkStart w:id="752" w:name="Tc_T5Fz_w3xDEi9vSc39g_hpg_2_0"/>
      <w:bookmarkStart w:id="753" w:name="Tc_rEX7KELnb02zDFn848dnFg_1_2"/>
      <w:bookmarkStart w:id="754" w:name="_2807f0f8_609e_4fc4_acbd_9bb59bf3d865"/>
      <w:bookmarkStart w:id="755" w:name="Tc_ARzFHD6icUO429M3ZZeJ3w_13_11"/>
      <w:bookmarkStart w:id="756" w:name="Tc_C5bV0_a_IE6yoFFDJjHmlg_13_8"/>
      <w:bookmarkStart w:id="757" w:name="Tc_loRqTYq-AUug-1DZhjDvlg_13_5"/>
      <w:bookmarkStart w:id="758" w:name="Tc_mF3BPlE_TEubgKW5yZm3Pw_13_2"/>
      <w:bookmarkStart w:id="759" w:name="Tc_bbDCcoYbgkmGfZ3iUB6JsQ_12_6"/>
      <w:bookmarkStart w:id="760" w:name="Tc_ONSRjwgBBkC_ALDuoN2OhA_12_0"/>
      <w:bookmarkStart w:id="761" w:name="Tc_HBM9sV3QlU-uoczl4INreA_11_6"/>
      <w:bookmarkStart w:id="762" w:name="Tc_Cz9gZs3zTUyWL3T3Ta2YNw_11_0"/>
      <w:bookmarkStart w:id="763" w:name="Tc_xnkPhZk1vE-bXbSNK7Qxmw_10_0"/>
      <w:bookmarkStart w:id="764" w:name="Tc__KOMlk0I0kSJK2EJ9hjqdw_9_0"/>
      <w:bookmarkStart w:id="765" w:name="Tc_8v2vmM4zlku0sOI8m_Tl8g_8_0"/>
      <w:bookmarkStart w:id="766" w:name="Tc_8frFtojyekuXBAUJ1mOciw_7_6"/>
      <w:bookmarkStart w:id="767" w:name="Tc_lpGFOm6b3EKC6WyodL5pnw_7_0"/>
      <w:bookmarkStart w:id="768" w:name="Tc_3YATUa0WqkCEmdiPKAoaMg_6_0"/>
      <w:bookmarkStart w:id="769" w:name="Tc_hA3tSSq3yE2u30fhP4OcQA_5_11"/>
      <w:bookmarkStart w:id="770" w:name="Tc_KTdr2ufsMkaykU0wi2k7Ug_5_8"/>
      <w:bookmarkStart w:id="771" w:name="Tc_04baw_zGJkCtqgQ2fc-3Tw_5_5"/>
      <w:bookmarkStart w:id="772" w:name="Tc_7TnuREB9gUWYeoYK-UW2qA_5_2"/>
      <w:bookmarkStart w:id="773" w:name="Tc_YXw7LpliGUCJ4ZJ-5_c96Q_5_0"/>
      <w:bookmarkStart w:id="774" w:name="Tc_c-0Pf6vr2UCIgFjJJM2N1w_4_11"/>
      <w:bookmarkStart w:id="775" w:name="Tc_muOwwyxBDUawTeiDUGAT8g_4_8"/>
      <w:bookmarkStart w:id="776" w:name="Tc_s0W3uiCpAUahMQMCMSFksg_4_5"/>
      <w:bookmarkStart w:id="777" w:name="Tc_0tu-HrM6CUKkqR2SoRqzdg_4_2"/>
      <w:bookmarkStart w:id="778" w:name="Tc_1DeQ2Nb7GkynPiKpjhQo5A_3_11"/>
      <w:bookmarkStart w:id="779" w:name="Tc_4A1gtEx9pkOMqFVZ9zQXuQ_3_8"/>
      <w:bookmarkStart w:id="780" w:name="Tc_s--McUiY2EOD9DhhdJV2Xg_3_5"/>
      <w:bookmarkStart w:id="781" w:name="Tc__pxBTdygckupiPBwuoxvdA_3_2"/>
      <w:bookmarkStart w:id="782" w:name="Tc_ZgOy492LIEmNZu4P55Nklw_2_5"/>
      <w:bookmarkStart w:id="783" w:name="Tc_LP5pqLJ6BkuJJ15l0HCcww_2_2"/>
      <w:bookmarkStart w:id="784" w:name="Tc_363nbPxeykqDZre25OXJ4g_1_2"/>
      <w:bookmarkStart w:id="785" w:name="_08b7223a_9c56_4b24_b3fa_04a63da90f4b"/>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rPr>
          <w:rFonts w:ascii="Times New Roman;Times;serif" w:hAnsi="Times New Roman;Times;serif"/>
          <w:sz w:val="20"/>
        </w:rPr>
        <w:t>Intangible assets, net as of December 31, 2021 consisted of the following (in thousands):</w:t>
      </w:r>
    </w:p>
    <w:p>
      <w:pPr>
        <w:pStyle w:val="TextBody"/>
        <w:spacing w:before="0" w:after="240"/>
        <w:ind w:left="403" w:right="0" w:hanging="0"/>
        <w:rPr/>
      </w:pPr>
      <w:r>
        <w:rPr/>
        <w:t>​</w:t>
      </w:r>
    </w:p>
    <w:tbl>
      <w:tblPr>
        <w:tblW w:w="7908" w:type="dxa"/>
        <w:jc w:val="left"/>
        <w:tblInd w:w="0" w:type="dxa"/>
        <w:tblCellMar>
          <w:top w:w="0" w:type="dxa"/>
          <w:left w:w="0" w:type="dxa"/>
          <w:bottom w:w="0" w:type="dxa"/>
          <w:right w:w="0" w:type="dxa"/>
        </w:tblCellMar>
      </w:tblPr>
      <w:tblGrid>
        <w:gridCol w:w="2476"/>
        <w:gridCol w:w="326"/>
        <w:gridCol w:w="211"/>
        <w:gridCol w:w="781"/>
        <w:gridCol w:w="326"/>
        <w:gridCol w:w="313"/>
        <w:gridCol w:w="633"/>
        <w:gridCol w:w="326"/>
        <w:gridCol w:w="257"/>
        <w:gridCol w:w="824"/>
        <w:gridCol w:w="326"/>
        <w:gridCol w:w="211"/>
        <w:gridCol w:w="898"/>
      </w:tblGrid>
      <w:tr>
        <w:trPr/>
        <w:tc>
          <w:tcPr>
            <w:tcW w:w="2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95935" cy="175260"/>
                      <wp:effectExtent l="0" t="0" r="0" b="0"/>
                      <wp:wrapNone/>
                      <wp:docPr id="108" name="Frame10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98755" cy="175260"/>
                      <wp:effectExtent l="0" t="0" r="0" b="0"/>
                      <wp:wrapNone/>
                      <wp:docPr id="110" name="Frame110"/>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01955" cy="175260"/>
                      <wp:effectExtent l="0" t="0" r="0" b="0"/>
                      <wp:wrapNone/>
                      <wp:docPr id="111" name="Frame111"/>
                      <a:graphic xmlns:a="http://schemas.openxmlformats.org/drawingml/2006/main">
                        <a:graphicData uri="http://schemas.microsoft.com/office/word/2010/wordprocessingShape">
                          <wps:wsp>
                            <wps:cNvSpPr txBox="1"/>
                            <wps:spPr>
                              <a:xfrm>
                                <a:off x="0" y="0"/>
                                <a:ext cx="401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63195" cy="175260"/>
                      <wp:effectExtent l="0" t="0" r="0" b="0"/>
                      <wp:wrapNone/>
                      <wp:docPr id="113" name="Frame113"/>
                      <a:graphic xmlns:a="http://schemas.openxmlformats.org/drawingml/2006/main">
                        <a:graphicData uri="http://schemas.microsoft.com/office/word/2010/wordprocessingShape">
                          <wps:wsp>
                            <wps:cNvSpPr txBox="1"/>
                            <wps:spPr>
                              <a:xfrm>
                                <a:off x="0" y="0"/>
                                <a:ext cx="163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23240" cy="175260"/>
                      <wp:effectExtent l="0" t="0" r="0" b="0"/>
                      <wp:wrapNone/>
                      <wp:docPr id="114" name="Frame114"/>
                      <a:graphic xmlns:a="http://schemas.openxmlformats.org/drawingml/2006/main">
                        <a:graphicData uri="http://schemas.microsoft.com/office/word/2010/wordprocessingShape">
                          <wps:wsp>
                            <wps:cNvSpPr txBox="1"/>
                            <wps:spPr>
                              <a:xfrm>
                                <a:off x="0" y="0"/>
                                <a:ext cx="523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70230" cy="175260"/>
                      <wp:effectExtent l="0" t="0" r="0" b="0"/>
                      <wp:wrapNone/>
                      <wp:docPr id="117" name="Frame117"/>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06"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2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0"/>
              <w:ind w:left="0" w:right="0" w:hanging="0"/>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82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jc w:val="center"/>
              <w:rPr/>
            </w:pPr>
            <w:r>
              <w:rPr/>
              <w:t>​</w:t>
            </w:r>
          </w:p>
        </w:tc>
      </w:tr>
      <w:tr>
        <w:trPr/>
        <w:tc>
          <w:tcPr>
            <w:tcW w:w="2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shd w:fill="auto" w:val="clear"/>
            <w:vAlign w:val="center"/>
          </w:tcPr>
          <w:p>
            <w:pPr>
              <w:pStyle w:val="TableContents"/>
              <w:spacing w:before="0" w:after="0"/>
              <w:ind w:left="0" w:right="0" w:hanging="0"/>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26" w:type="dxa"/>
            <w:tcBorders/>
            <w:shd w:fill="auto" w:val="clear"/>
            <w:vAlign w:val="center"/>
          </w:tcPr>
          <w:p>
            <w:pPr>
              <w:pStyle w:val="TableContents"/>
              <w:spacing w:before="0" w:after="0"/>
              <w:ind w:left="0" w:right="0" w:hanging="0"/>
              <w:rPr/>
            </w:pPr>
            <w:r>
              <w:rPr/>
              <w:t>​</w:t>
            </w:r>
          </w:p>
        </w:tc>
        <w:tc>
          <w:tcPr>
            <w:tcW w:w="10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w:t>
            </w:r>
          </w:p>
        </w:tc>
        <w:tc>
          <w:tcPr>
            <w:tcW w:w="110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2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    </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shd w:fill="auto" w:val="clear"/>
            <w:vAlign w:val="center"/>
          </w:tcPr>
          <w:p>
            <w:pPr>
              <w:pStyle w:val="TableContents"/>
              <w:spacing w:before="0" w:after="0"/>
              <w:ind w:left="0" w:right="0" w:hanging="0"/>
              <w:rPr/>
            </w:pPr>
            <w:r>
              <w:rPr/>
              <w:t>    </w:t>
            </w:r>
          </w:p>
        </w:tc>
        <w:tc>
          <w:tcPr>
            <w:tcW w:w="10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0"/>
              <w:ind w:left="0" w:right="0" w:hanging="0"/>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Trade names and trademarks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148,100</w:t>
            </w:r>
          </w:p>
        </w:tc>
        <w:tc>
          <w:tcPr>
            <w:tcW w:w="326" w:type="dxa"/>
            <w:tcBorders/>
            <w:shd w:fill="CCEEFF" w:val="clear"/>
            <w:vAlign w:val="center"/>
          </w:tcPr>
          <w:p>
            <w:pPr>
              <w:pStyle w:val="TableContents"/>
              <w:spacing w:before="0" w:after="0"/>
              <w:ind w:left="0" w:right="0" w:hanging="0"/>
              <w:rPr/>
            </w:pPr>
            <w:r>
              <w:rPr/>
              <w:t>​</w:t>
            </w:r>
          </w:p>
        </w:tc>
        <w:tc>
          <w:tcPr>
            <w:tcW w:w="3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16,382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132,157</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Patented technology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16,126</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pPr>
            <w:r>
              <w:rPr/>
              <w:t> </w:t>
            </w:r>
          </w:p>
        </w:tc>
        <w:tc>
          <w:tcPr>
            <w:tcW w:w="6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 </w:t>
            </w:r>
          </w:p>
        </w:tc>
        <w:tc>
          <w:tcPr>
            <w:tcW w:w="8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5,205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10,986</w:t>
            </w:r>
          </w:p>
        </w:tc>
      </w:tr>
      <w:tr>
        <w:trPr/>
        <w:tc>
          <w:tcPr>
            <w:tcW w:w="2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13,000</w:t>
            </w:r>
          </w:p>
        </w:tc>
        <w:tc>
          <w:tcPr>
            <w:tcW w:w="326" w:type="dxa"/>
            <w:tcBorders/>
            <w:shd w:fill="CCEEFF" w:val="clear"/>
            <w:vAlign w:val="center"/>
          </w:tcPr>
          <w:p>
            <w:pPr>
              <w:pStyle w:val="TableContents"/>
              <w:spacing w:before="0" w:after="0"/>
              <w:ind w:left="0" w:right="0" w:hanging="0"/>
              <w:rPr/>
            </w:pPr>
            <w:r>
              <w:rPr/>
              <w:t>​</w:t>
            </w:r>
          </w:p>
        </w:tc>
        <w:tc>
          <w:tcPr>
            <w:tcW w:w="313" w:type="dxa"/>
            <w:tcBorders/>
            <w:shd w:fill="CCEEFF" w:val="clear"/>
            <w:vAlign w:val="center"/>
          </w:tcPr>
          <w:p>
            <w:pPr>
              <w:pStyle w:val="TableContents"/>
              <w:spacing w:before="0" w:after="0"/>
              <w:ind w:left="0" w:right="0" w:hanging="0"/>
              <w:rPr/>
            </w:pPr>
            <w:r>
              <w:rPr/>
              <w:t>​</w:t>
            </w:r>
          </w:p>
        </w:tc>
        <w:tc>
          <w:tcPr>
            <w:tcW w:w="63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8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12,928</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Pool designs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13,628</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pPr>
            <w:r>
              <w:rPr/>
              <w:t> </w:t>
            </w:r>
          </w:p>
        </w:tc>
        <w:tc>
          <w:tcPr>
            <w:tcW w:w="6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2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 </w:t>
            </w:r>
          </w:p>
        </w:tc>
        <w:tc>
          <w:tcPr>
            <w:tcW w:w="8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12,792</w:t>
            </w:r>
          </w:p>
        </w:tc>
      </w:tr>
      <w:tr>
        <w:trPr/>
        <w:tc>
          <w:tcPr>
            <w:tcW w:w="2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Franchise relationships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c>
          <w:tcPr>
            <w:tcW w:w="326" w:type="dxa"/>
            <w:tcBorders/>
            <w:shd w:fill="CCEEFF" w:val="clear"/>
            <w:vAlign w:val="center"/>
          </w:tcPr>
          <w:p>
            <w:pPr>
              <w:pStyle w:val="TableContents"/>
              <w:spacing w:before="0" w:after="0"/>
              <w:ind w:left="0" w:right="0" w:hanging="0"/>
              <w:rPr/>
            </w:pPr>
            <w:r>
              <w:rPr/>
              <w:t>​</w:t>
            </w:r>
          </w:p>
        </w:tc>
        <w:tc>
          <w:tcPr>
            <w:tcW w:w="313" w:type="dxa"/>
            <w:tcBorders/>
            <w:shd w:fill="CCEEFF" w:val="clear"/>
            <w:vAlign w:val="center"/>
          </w:tcPr>
          <w:p>
            <w:pPr>
              <w:pStyle w:val="TableContents"/>
              <w:spacing w:before="0" w:after="0"/>
              <w:ind w:left="0" w:right="0" w:hanging="0"/>
              <w:rPr/>
            </w:pPr>
            <w:r>
              <w:rPr/>
              <w:t> </w:t>
            </w:r>
          </w:p>
        </w:tc>
        <w:tc>
          <w:tcPr>
            <w:tcW w:w="6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 </w:t>
            </w:r>
          </w:p>
        </w:tc>
        <w:tc>
          <w:tcPr>
            <w:tcW w:w="8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Dealer relationships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197,376</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pPr>
            <w:r>
              <w:rPr/>
              <w:t> </w:t>
            </w:r>
          </w:p>
        </w:tc>
        <w:tc>
          <w:tcPr>
            <w:tcW w:w="6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 </w:t>
            </w:r>
          </w:p>
        </w:tc>
        <w:tc>
          <w:tcPr>
            <w:tcW w:w="8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30,838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166,560</w:t>
            </w:r>
          </w:p>
        </w:tc>
      </w:tr>
      <w:tr>
        <w:trPr/>
        <w:tc>
          <w:tcPr>
            <w:tcW w:w="2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Backlog</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CCEEFF" w:val="clear"/>
            <w:vAlign w:val="center"/>
          </w:tcPr>
          <w:p>
            <w:pPr>
              <w:pStyle w:val="TableContents"/>
              <w:spacing w:before="0" w:after="0"/>
              <w:ind w:left="0" w:right="0" w:hanging="0"/>
              <w:rPr/>
            </w:pPr>
            <w:r>
              <w:rPr/>
              <w:t>​</w:t>
            </w:r>
          </w:p>
        </w:tc>
        <w:tc>
          <w:tcPr>
            <w:tcW w:w="313" w:type="dxa"/>
            <w:tcBorders/>
            <w:shd w:fill="CCEEFF" w:val="clear"/>
            <w:vAlign w:val="center"/>
          </w:tcPr>
          <w:p>
            <w:pPr>
              <w:pStyle w:val="TableContents"/>
              <w:spacing w:before="0" w:after="0"/>
              <w:ind w:left="0" w:right="0" w:hanging="0"/>
              <w:rPr/>
            </w:pPr>
            <w:r>
              <w:rPr/>
              <w:t>​</w:t>
            </w:r>
          </w:p>
        </w:tc>
        <w:tc>
          <w:tcPr>
            <w:tcW w:w="63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8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Non-competition agreements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2,476</w:t>
            </w:r>
          </w:p>
        </w:tc>
        <w:tc>
          <w:tcPr>
            <w:tcW w:w="326" w:type="dxa"/>
            <w:tcBorders/>
            <w:shd w:fill="auto" w:val="clear"/>
            <w:vAlign w:val="center"/>
          </w:tcPr>
          <w:p>
            <w:pPr>
              <w:pStyle w:val="TableContents"/>
              <w:spacing w:before="0" w:after="0"/>
              <w:ind w:left="0" w:right="0" w:hanging="0"/>
              <w:rPr/>
            </w:pPr>
            <w:r>
              <w:rPr/>
              <w:t>​</w:t>
            </w:r>
          </w:p>
        </w:tc>
        <w:tc>
          <w:tcPr>
            <w:tcW w:w="31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2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r>
      <w:tr>
        <w:trPr/>
        <w:tc>
          <w:tcPr>
            <w:tcW w:w="247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393,493</w:t>
            </w:r>
          </w:p>
        </w:tc>
        <w:tc>
          <w:tcPr>
            <w:tcW w:w="326" w:type="dxa"/>
            <w:tcBorders/>
            <w:shd w:fill="CCEEFF" w:val="clear"/>
            <w:vAlign w:val="center"/>
          </w:tcPr>
          <w:p>
            <w:pPr>
              <w:pStyle w:val="TableContents"/>
              <w:spacing w:before="0" w:after="0"/>
              <w:ind w:left="0" w:right="0" w:hanging="0"/>
              <w:rPr/>
            </w:pPr>
            <w:r>
              <w:rPr/>
              <w:t>​</w:t>
            </w:r>
          </w:p>
        </w:tc>
        <w:tc>
          <w:tcPr>
            <w:tcW w:w="31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3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326" w:type="dxa"/>
            <w:tcBorders/>
            <w:shd w:fill="CCEEFF" w:val="clear"/>
            <w:vAlign w:val="center"/>
          </w:tcPr>
          <w:p>
            <w:pPr>
              <w:pStyle w:val="TableContents"/>
              <w:spacing w:before="0" w:after="0"/>
              <w:ind w:left="0" w:right="0" w:hanging="0"/>
              <w:rPr/>
            </w:pPr>
            <w:r>
              <w:rPr/>
              <w:t>​</w:t>
            </w:r>
          </w:p>
        </w:tc>
        <w:tc>
          <w:tcPr>
            <w:tcW w:w="2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56,028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338,310</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estimates that amortization expense related to definite-lived intangible assets will be as follows in each of the next five years and thereafter (in thousands):</w:t>
      </w:r>
    </w:p>
    <w:p>
      <w:pPr>
        <w:pStyle w:val="TextBody"/>
        <w:spacing w:before="0" w:after="240"/>
        <w:ind w:left="0" w:right="0" w:firstLine="360"/>
        <w:rPr/>
      </w:pPr>
      <w:r>
        <w:rPr/>
        <w:t>​</w:t>
      </w:r>
    </w:p>
    <w:tbl>
      <w:tblPr>
        <w:tblW w:w="4243" w:type="dxa"/>
        <w:jc w:val="left"/>
        <w:tblInd w:w="0" w:type="dxa"/>
        <w:tblCellMar>
          <w:top w:w="0" w:type="dxa"/>
          <w:left w:w="0" w:type="dxa"/>
          <w:bottom w:w="0" w:type="dxa"/>
          <w:right w:w="0" w:type="dxa"/>
        </w:tblCellMar>
      </w:tblPr>
      <w:tblGrid>
        <w:gridCol w:w="2161"/>
        <w:gridCol w:w="326"/>
        <w:gridCol w:w="334"/>
        <w:gridCol w:w="1422"/>
      </w:tblGrid>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2090" cy="175260"/>
                      <wp:effectExtent l="0" t="0" r="0" b="0"/>
                      <wp:wrapNone/>
                      <wp:docPr id="119" name="Frame119"/>
                      <a:graphic xmlns:a="http://schemas.openxmlformats.org/drawingml/2006/main">
                        <a:graphicData uri="http://schemas.microsoft.com/office/word/2010/wordprocessingShape">
                          <wps:wsp>
                            <wps:cNvSpPr txBox="1"/>
                            <wps:spPr>
                              <a:xfrm>
                                <a:off x="0" y="0"/>
                                <a:ext cx="2120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902970" cy="175260"/>
                      <wp:effectExtent l="0" t="0" r="0" b="0"/>
                      <wp:wrapNone/>
                      <wp:docPr id="120" name="Frame120"/>
                      <a:graphic xmlns:a="http://schemas.openxmlformats.org/drawingml/2006/main">
                        <a:graphicData uri="http://schemas.microsoft.com/office/word/2010/wordprocessingShape">
                          <wps:wsp>
                            <wps:cNvSpPr txBox="1"/>
                            <wps:spPr>
                              <a:xfrm>
                                <a:off x="0" y="0"/>
                                <a:ext cx="9029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5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Future </w:t>
            </w:r>
          </w:p>
        </w:tc>
      </w:tr>
      <w:tr>
        <w:trPr/>
        <w:tc>
          <w:tcPr>
            <w:tcW w:w="21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rPr/>
            </w:pPr>
            <w:r>
              <w:rPr/>
              <w:t>    </w:t>
            </w:r>
          </w:p>
        </w:tc>
        <w:tc>
          <w:tcPr>
            <w:tcW w:w="17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 Expense</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Remainder of fiscal 2022</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20,984</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w:t>
            </w:r>
          </w:p>
        </w:tc>
        <w:tc>
          <w:tcPr>
            <w:tcW w:w="334" w:type="dxa"/>
            <w:tcBorders/>
            <w:shd w:fill="auto" w:val="clear"/>
            <w:vAlign w:val="center"/>
          </w:tcPr>
          <w:p>
            <w:pPr>
              <w:pStyle w:val="TableContents"/>
              <w:spacing w:before="0" w:after="0"/>
              <w:ind w:left="0" w:right="0" w:hanging="0"/>
              <w:rPr/>
            </w:pPr>
            <w:r>
              <w:rPr/>
              <w:t> </w:t>
            </w:r>
          </w:p>
        </w:tc>
        <w:tc>
          <w:tcPr>
            <w:tcW w:w="142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26,528</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rPr/>
            </w:pPr>
            <w:r>
              <w:rPr/>
              <w:t> </w:t>
            </w:r>
          </w:p>
        </w:tc>
        <w:tc>
          <w:tcPr>
            <w:tcW w:w="14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25,708</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0"/>
              <w:ind w:left="0" w:right="0" w:hanging="0"/>
              <w:rPr/>
            </w:pPr>
            <w:r>
              <w:rPr/>
              <w:t>​</w:t>
            </w:r>
          </w:p>
        </w:tc>
        <w:tc>
          <w:tcPr>
            <w:tcW w:w="334" w:type="dxa"/>
            <w:tcBorders/>
            <w:shd w:fill="auto" w:val="clear"/>
            <w:vAlign w:val="center"/>
          </w:tcPr>
          <w:p>
            <w:pPr>
              <w:pStyle w:val="TableContents"/>
              <w:spacing w:before="0" w:after="0"/>
              <w:ind w:left="0" w:right="0" w:hanging="0"/>
              <w:rPr/>
            </w:pPr>
            <w:r>
              <w:rPr/>
              <w:t> </w:t>
            </w:r>
          </w:p>
        </w:tc>
        <w:tc>
          <w:tcPr>
            <w:tcW w:w="142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25,550</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0"/>
              <w:ind w:left="0" w:right="0" w:hanging="0"/>
              <w:rPr/>
            </w:pPr>
            <w:r>
              <w:rPr/>
              <w:t>​</w:t>
            </w:r>
          </w:p>
        </w:tc>
        <w:tc>
          <w:tcPr>
            <w:tcW w:w="334" w:type="dxa"/>
            <w:tcBorders/>
            <w:shd w:fill="CCEEFF" w:val="clear"/>
            <w:vAlign w:val="center"/>
          </w:tcPr>
          <w:p>
            <w:pPr>
              <w:pStyle w:val="TableContents"/>
              <w:spacing w:before="0" w:after="0"/>
              <w:ind w:left="0" w:right="0" w:hanging="0"/>
              <w:rPr/>
            </w:pPr>
            <w:r>
              <w:rPr/>
              <w:t> </w:t>
            </w:r>
          </w:p>
        </w:tc>
        <w:tc>
          <w:tcPr>
            <w:tcW w:w="14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25,550</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0"/>
              <w:ind w:left="0" w:right="0" w:hanging="0"/>
              <w:rPr/>
            </w:pPr>
            <w:r>
              <w:rPr/>
              <w:t>​</w:t>
            </w:r>
          </w:p>
        </w:tc>
        <w:tc>
          <w:tcPr>
            <w:tcW w:w="33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42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207,269</w:t>
            </w:r>
          </w:p>
        </w:tc>
      </w:tr>
      <w:tr>
        <w:trPr/>
        <w:tc>
          <w:tcPr>
            <w:tcW w:w="21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3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22"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331,589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786" w:name="Tc_Pl8zxRm8cUCh3WtBBSFimw_4_5"/>
      <w:bookmarkStart w:id="787" w:name="Tc_zqeBWSImZEWoCYvZObFrsg_4_2"/>
      <w:bookmarkStart w:id="788" w:name="Tc_EcW5orNfHUimWi2G-MpofQ_3_0"/>
      <w:bookmarkStart w:id="789" w:name="Tc_uNFzQZx9QEO33PWXyXVzig_2_5"/>
      <w:bookmarkStart w:id="790" w:name="Tc_zaWS31sDZ0WvijrsrXt05g_2_2"/>
      <w:bookmarkStart w:id="791" w:name="Tc_yK2_EoBOSk-p2huiGUakvg_2_0"/>
      <w:bookmarkStart w:id="792" w:name="Tc_mdIptHaYlk251cDCNaD3AQ_1_5"/>
      <w:bookmarkStart w:id="793" w:name="Tc_mISmkwglCUmLhsb7MV0bbA_1_2"/>
      <w:bookmarkStart w:id="794" w:name="_4825094f_36ec_4af9_a90d_760cc3b633e2"/>
      <w:bookmarkEnd w:id="786"/>
      <w:bookmarkEnd w:id="787"/>
      <w:bookmarkEnd w:id="788"/>
      <w:bookmarkEnd w:id="789"/>
      <w:bookmarkEnd w:id="790"/>
      <w:bookmarkEnd w:id="791"/>
      <w:bookmarkEnd w:id="792"/>
      <w:bookmarkEnd w:id="793"/>
      <w:bookmarkEnd w:id="794"/>
      <w:r>
        <w:rPr>
          <w:rFonts w:ascii="Times New Roman;Times;serif" w:hAnsi="Times New Roman;Times;serif"/>
          <w:b/>
          <w:sz w:val="20"/>
        </w:rPr>
        <w:t>6. INVENTORIES, NET</w:t>
      </w:r>
    </w:p>
    <w:p>
      <w:pPr>
        <w:pStyle w:val="TextBody"/>
        <w:spacing w:before="0" w:after="0"/>
        <w:ind w:left="403" w:right="0" w:hanging="0"/>
        <w:rPr>
          <w:rFonts w:ascii="Times New Roman;Times;serif" w:hAnsi="Times New Roman;Times;serif"/>
          <w:sz w:val="20"/>
        </w:rPr>
      </w:pPr>
      <w:r>
        <w:rPr>
          <w:rFonts w:ascii="Times New Roman;Times;serif" w:hAnsi="Times New Roman;Times;serif"/>
          <w:sz w:val="20"/>
        </w:rPr>
        <w:t>Inventories, net consisted of the following (in thousands):</w:t>
      </w:r>
    </w:p>
    <w:p>
      <w:pPr>
        <w:pStyle w:val="TextBody"/>
        <w:spacing w:before="0" w:after="240"/>
        <w:ind w:left="403" w:right="0" w:hanging="0"/>
        <w:rPr/>
      </w:pPr>
      <w:r>
        <w:rPr/>
        <w:t>​</w:t>
      </w:r>
    </w:p>
    <w:tbl>
      <w:tblPr>
        <w:tblW w:w="4737" w:type="dxa"/>
        <w:jc w:val="left"/>
        <w:tblInd w:w="0" w:type="dxa"/>
        <w:tblCellMar>
          <w:top w:w="0" w:type="dxa"/>
          <w:left w:w="0" w:type="dxa"/>
          <w:bottom w:w="0" w:type="dxa"/>
          <w:right w:w="0" w:type="dxa"/>
        </w:tblCellMar>
      </w:tblPr>
      <w:tblGrid>
        <w:gridCol w:w="1366"/>
        <w:gridCol w:w="326"/>
        <w:gridCol w:w="226"/>
        <w:gridCol w:w="839"/>
        <w:gridCol w:w="326"/>
        <w:gridCol w:w="319"/>
        <w:gridCol w:w="1181"/>
        <w:gridCol w:w="154"/>
      </w:tblGrid>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43510" cy="175260"/>
                      <wp:effectExtent l="0" t="0" r="0" b="0"/>
                      <wp:wrapNone/>
                      <wp:docPr id="122" name="Frame122"/>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32765" cy="175260"/>
                      <wp:effectExtent l="0" t="0" r="0" b="0"/>
                      <wp:wrapNone/>
                      <wp:docPr id="123" name="Frame123"/>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2565" cy="175260"/>
                      <wp:effectExtent l="0" t="0" r="0" b="0"/>
                      <wp:wrapNone/>
                      <wp:docPr id="125" name="Frame125"/>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49935" cy="175260"/>
                      <wp:effectExtent l="0" t="0" r="0" b="0"/>
                      <wp:wrapNone/>
                      <wp:docPr id="126" name="Frame126"/>
                      <a:graphic xmlns:a="http://schemas.openxmlformats.org/drawingml/2006/main">
                        <a:graphicData uri="http://schemas.microsoft.com/office/word/2010/wordprocessingShape">
                          <wps:wsp>
                            <wps:cNvSpPr txBox="1"/>
                            <wps:spPr>
                              <a:xfrm>
                                <a:off x="0" y="0"/>
                                <a:ext cx="749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97790" cy="175260"/>
                      <wp:effectExtent l="0" t="0" r="0" b="0"/>
                      <wp:wrapNone/>
                      <wp:docPr id="127" name="Frame127"/>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26" w:type="dxa"/>
            <w:tcBorders/>
            <w:shd w:fill="auto" w:val="clear"/>
            <w:vAlign w:val="center"/>
          </w:tcPr>
          <w:p>
            <w:pPr>
              <w:pStyle w:val="TableContents"/>
              <w:spacing w:before="0" w:after="0"/>
              <w:ind w:left="0" w:right="0" w:hanging="0"/>
              <w:rPr/>
            </w:pPr>
            <w:r>
              <w:rPr/>
              <w:t>    </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154" w:type="dxa"/>
            <w:tcBorders/>
            <w:shd w:fill="auto" w:val="clear"/>
            <w:vAlign w:val="center"/>
          </w:tcPr>
          <w:p>
            <w:pPr>
              <w:pStyle w:val="TableContents"/>
              <w:spacing w:before="0" w:after="0"/>
              <w:ind w:left="0" w:right="0" w:hanging="0"/>
              <w:rPr/>
            </w:pPr>
            <w:r>
              <w:rPr/>
              <w:t>​</w:t>
            </w:r>
          </w:p>
        </w:tc>
      </w:tr>
      <w:tr>
        <w:trPr/>
        <w:tc>
          <w:tcPr>
            <w:tcW w:w="13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92,333</w:t>
            </w:r>
          </w:p>
        </w:tc>
        <w:tc>
          <w:tcPr>
            <w:tcW w:w="326"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77,510</w:t>
            </w:r>
          </w:p>
        </w:tc>
        <w:tc>
          <w:tcPr>
            <w:tcW w:w="154" w:type="dxa"/>
            <w:tcBorders/>
            <w:shd w:fill="CCEEFF"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Finished goods</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47,734</w:t>
            </w:r>
          </w:p>
        </w:tc>
        <w:tc>
          <w:tcPr>
            <w:tcW w:w="326" w:type="dxa"/>
            <w:tcBorders/>
            <w:shd w:fill="auto" w:val="clear"/>
            <w:vAlign w:val="center"/>
          </w:tcPr>
          <w:p>
            <w:pPr>
              <w:pStyle w:val="TableContents"/>
              <w:spacing w:before="0" w:after="0"/>
              <w:ind w:left="0" w:right="0" w:hanging="0"/>
              <w:rPr/>
            </w:pPr>
            <w:r>
              <w:rPr/>
              <w:t>​</w:t>
            </w:r>
          </w:p>
        </w:tc>
        <w:tc>
          <w:tcPr>
            <w:tcW w:w="31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32,046</w:t>
            </w:r>
          </w:p>
        </w:tc>
        <w:tc>
          <w:tcPr>
            <w:tcW w:w="154" w:type="dxa"/>
            <w:tcBorders/>
            <w:shd w:fill="auto" w:val="clear"/>
            <w:vAlign w:val="center"/>
          </w:tcPr>
          <w:p>
            <w:pPr>
              <w:pStyle w:val="TableContents"/>
              <w:spacing w:before="0" w:after="0"/>
              <w:ind w:left="0" w:right="0" w:hanging="0"/>
              <w:rPr/>
            </w:pPr>
            <w:r>
              <w:rPr/>
              <w:t>​</w:t>
            </w:r>
          </w:p>
        </w:tc>
      </w:tr>
      <w:tr>
        <w:trPr/>
        <w:tc>
          <w:tcPr>
            <w:tcW w:w="13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140,067</w:t>
            </w:r>
          </w:p>
        </w:tc>
        <w:tc>
          <w:tcPr>
            <w:tcW w:w="326" w:type="dxa"/>
            <w:tcBorders/>
            <w:shd w:fill="CCEEFF" w:val="clear"/>
            <w:vAlign w:val="center"/>
          </w:tcPr>
          <w:p>
            <w:pPr>
              <w:pStyle w:val="TableContents"/>
              <w:spacing w:before="0" w:after="0"/>
              <w:ind w:left="0" w:right="0" w:hanging="0"/>
              <w:rPr/>
            </w:pPr>
            <w:r>
              <w:rPr/>
              <w:t>​</w:t>
            </w:r>
          </w:p>
        </w:tc>
        <w:tc>
          <w:tcPr>
            <w:tcW w:w="31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109,556</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795" w:name="Tc_7-QlNV66z0CinqXCroCrig_8_5"/>
      <w:bookmarkStart w:id="796" w:name="Tc_A1LiVGG6U0WOyIHskAyetw_8_2"/>
      <w:bookmarkStart w:id="797" w:name="Tc_I2F_y_XJLki5i2kH4zFPEQ_8_0"/>
      <w:bookmarkStart w:id="798" w:name="Tc_fyGzK7rx1U2KkKohEEuT0A_7_0"/>
      <w:bookmarkStart w:id="799" w:name="Tc_d_YVLLsvwkOAKXw2_sgdgQ_6_0"/>
      <w:bookmarkStart w:id="800" w:name="Tc_aznxw7GRvEW_OIzEQZkVGQ_5_0"/>
      <w:bookmarkStart w:id="801" w:name="Tc_ikSJvNq9IkOBKxjnUDnVOw_4_6"/>
      <w:bookmarkStart w:id="802" w:name="Tc_dbFFOMtsS0GwjvnREgZpfw_4_0"/>
      <w:bookmarkStart w:id="803" w:name="Tc_yFxuQvgftUOxLM1BF8uBCg_3_3"/>
      <w:bookmarkStart w:id="804" w:name="Tc_k8181DlH5kOldsAt6SnovQ_3_0"/>
      <w:bookmarkStart w:id="805" w:name="Tc_1YezQ60MLEmTnS9nxwkb1w_2_6"/>
      <w:bookmarkStart w:id="806" w:name="Tc_gqv5UkX4oEqviVoxSqpgLg_2_5"/>
      <w:bookmarkStart w:id="807" w:name="Tc_909GoXy2dEyFdluGyV3iCg_2_2"/>
      <w:bookmarkStart w:id="808" w:name="Tc_-jD6cvvVb0qt2DoFw_LM1Q_2_0"/>
      <w:bookmarkStart w:id="809" w:name="Tc_NioleLYF-0CStC6CAMBzug_1_5"/>
      <w:bookmarkStart w:id="810" w:name="Tc_fyU_UAnx5kKb9JWuT6HIOw_1_2"/>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r>
        <w:rPr>
          <w:rFonts w:ascii="Times New Roman;Times;serif" w:hAnsi="Times New Roman;Times;serif"/>
          <w:b/>
          <w:sz w:val="20"/>
        </w:rPr>
        <w:t>7. LONG-TERM DEBT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components of the Company’s outstanding debt obligations consisted of the following (in thousands):</w:t>
      </w:r>
    </w:p>
    <w:p>
      <w:pPr>
        <w:pStyle w:val="TextBody"/>
        <w:spacing w:before="0" w:after="240"/>
        <w:ind w:left="0" w:right="0" w:firstLine="360"/>
        <w:rPr/>
      </w:pPr>
      <w:r>
        <w:rPr/>
        <w:t>​</w:t>
      </w:r>
    </w:p>
    <w:tbl>
      <w:tblPr>
        <w:tblW w:w="7692" w:type="dxa"/>
        <w:jc w:val="left"/>
        <w:tblInd w:w="0" w:type="dxa"/>
        <w:tblCellMar>
          <w:top w:w="0" w:type="dxa"/>
          <w:left w:w="0" w:type="dxa"/>
          <w:bottom w:w="0" w:type="dxa"/>
          <w:right w:w="0" w:type="dxa"/>
        </w:tblCellMar>
      </w:tblPr>
      <w:tblGrid>
        <w:gridCol w:w="4321"/>
        <w:gridCol w:w="326"/>
        <w:gridCol w:w="223"/>
        <w:gridCol w:w="842"/>
        <w:gridCol w:w="326"/>
        <w:gridCol w:w="314"/>
        <w:gridCol w:w="1186"/>
        <w:gridCol w:w="154"/>
      </w:tblGrid>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41605" cy="175260"/>
                      <wp:effectExtent l="0" t="0" r="0" b="0"/>
                      <wp:wrapNone/>
                      <wp:docPr id="129" name="Frame129"/>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34670" cy="175260"/>
                      <wp:effectExtent l="0" t="0" r="0" b="0"/>
                      <wp:wrapNone/>
                      <wp:docPr id="130" name="Frame130"/>
                      <a:graphic xmlns:a="http://schemas.openxmlformats.org/drawingml/2006/main">
                        <a:graphicData uri="http://schemas.microsoft.com/office/word/2010/wordprocessingShape">
                          <wps:wsp>
                            <wps:cNvSpPr txBox="1"/>
                            <wps:spPr>
                              <a:xfrm>
                                <a:off x="0" y="0"/>
                                <a:ext cx="534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99390" cy="175260"/>
                      <wp:effectExtent l="0" t="0" r="0" b="0"/>
                      <wp:wrapNone/>
                      <wp:docPr id="132" name="Frame132"/>
                      <a:graphic xmlns:a="http://schemas.openxmlformats.org/drawingml/2006/main">
                        <a:graphicData uri="http://schemas.microsoft.com/office/word/2010/wordprocessingShape">
                          <wps:wsp>
                            <wps:cNvSpPr txBox="1"/>
                            <wps:spPr>
                              <a:xfrm>
                                <a:off x="0" y="0"/>
                                <a:ext cx="1993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53110" cy="175260"/>
                      <wp:effectExtent l="0" t="0" r="0" b="0"/>
                      <wp:wrapNone/>
                      <wp:docPr id="133" name="Frame133"/>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97790" cy="175260"/>
                      <wp:effectExtent l="0" t="0" r="0" b="0"/>
                      <wp:wrapNone/>
                      <wp:docPr id="134" name="Frame134"/>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26" w:type="dxa"/>
            <w:tcBorders/>
            <w:shd w:fill="auto" w:val="clear"/>
            <w:vAlign w:val="center"/>
          </w:tcPr>
          <w:p>
            <w:pPr>
              <w:pStyle w:val="TableContents"/>
              <w:spacing w:before="0" w:after="0"/>
              <w:ind w:left="0" w:right="0" w:hanging="0"/>
              <w:rPr/>
            </w:pPr>
            <w:r>
              <w:rPr/>
              <w:t>    </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154" w:type="dxa"/>
            <w:tcBorders/>
            <w:shd w:fill="auto" w:val="clear"/>
            <w:vAlign w:val="center"/>
          </w:tcPr>
          <w:p>
            <w:pPr>
              <w:pStyle w:val="TableContents"/>
              <w:spacing w:before="0" w:after="0"/>
              <w:ind w:left="0" w:right="0" w:hanging="0"/>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Term Loan</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325,000</w:t>
            </w:r>
          </w:p>
        </w:tc>
        <w:tc>
          <w:tcPr>
            <w:tcW w:w="32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Amended Term Loan</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84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284,009</w:t>
            </w:r>
          </w:p>
        </w:tc>
        <w:tc>
          <w:tcPr>
            <w:tcW w:w="154" w:type="dxa"/>
            <w:tcBorders/>
            <w:shd w:fill="auto" w:val="clear"/>
            <w:vAlign w:val="center"/>
          </w:tcPr>
          <w:p>
            <w:pPr>
              <w:pStyle w:val="TableContents"/>
              <w:spacing w:before="0" w:after="0"/>
              <w:ind w:left="0" w:right="0" w:hanging="0"/>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Revolving Credit Facility</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Unamortized discount and debt issuance costs</w:t>
            </w:r>
          </w:p>
        </w:tc>
        <w:tc>
          <w:tcPr>
            <w:tcW w:w="326" w:type="dxa"/>
            <w:tcBorders/>
            <w:shd w:fill="auto" w:val="clear"/>
            <w:vAlign w:val="center"/>
          </w:tcPr>
          <w:p>
            <w:pPr>
              <w:pStyle w:val="TableContents"/>
              <w:spacing w:before="0" w:after="0"/>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(10,859)</w:t>
            </w:r>
          </w:p>
        </w:tc>
        <w:tc>
          <w:tcPr>
            <w:tcW w:w="326" w:type="dxa"/>
            <w:tcBorders/>
            <w:shd w:fill="auto" w:val="clear"/>
            <w:vAlign w:val="center"/>
          </w:tcPr>
          <w:p>
            <w:pPr>
              <w:pStyle w:val="TableContents"/>
              <w:spacing w:before="0" w:after="0"/>
              <w:ind w:left="0" w:right="0" w:hanging="0"/>
              <w:rPr/>
            </w:pPr>
            <w:r>
              <w:rPr/>
              <w:t>​</w:t>
            </w:r>
          </w:p>
        </w:tc>
        <w:tc>
          <w:tcPr>
            <w:tcW w:w="31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(3,601)</w:t>
            </w:r>
          </w:p>
        </w:tc>
        <w:tc>
          <w:tcPr>
            <w:tcW w:w="154" w:type="dxa"/>
            <w:tcBorders/>
            <w:shd w:fill="auto" w:val="clear"/>
            <w:vAlign w:val="center"/>
          </w:tcPr>
          <w:p>
            <w:pPr>
              <w:pStyle w:val="TableContents"/>
              <w:spacing w:before="0" w:after="0"/>
              <w:ind w:left="0" w:right="0" w:hanging="0"/>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 </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324,141</w:t>
            </w:r>
          </w:p>
        </w:tc>
        <w:tc>
          <w:tcPr>
            <w:tcW w:w="32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280,408</w:t>
            </w:r>
          </w:p>
        </w:tc>
        <w:tc>
          <w:tcPr>
            <w:tcW w:w="154" w:type="dxa"/>
            <w:tcBorders/>
            <w:shd w:fill="CCEEFF" w:val="clear"/>
            <w:vAlign w:val="center"/>
          </w:tcPr>
          <w:p>
            <w:pPr>
              <w:pStyle w:val="TableContents"/>
              <w:spacing w:before="0" w:after="0"/>
              <w:ind w:left="0" w:right="0" w:hanging="0"/>
              <w:rPr/>
            </w:pPr>
            <w:r>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Current portion of long-term debt</w:t>
            </w:r>
          </w:p>
        </w:tc>
        <w:tc>
          <w:tcPr>
            <w:tcW w:w="326" w:type="dxa"/>
            <w:tcBorders/>
            <w:shd w:fill="auto" w:val="clear"/>
            <w:vAlign w:val="center"/>
          </w:tcPr>
          <w:p>
            <w:pPr>
              <w:pStyle w:val="TableContents"/>
              <w:spacing w:before="0" w:after="0"/>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26" w:type="dxa"/>
            <w:tcBorders/>
            <w:shd w:fill="auto" w:val="clear"/>
            <w:vAlign w:val="center"/>
          </w:tcPr>
          <w:p>
            <w:pPr>
              <w:pStyle w:val="TableContents"/>
              <w:spacing w:before="0" w:after="0"/>
              <w:ind w:left="0" w:right="0" w:hanging="0"/>
              <w:rPr/>
            </w:pPr>
            <w:r>
              <w:rPr/>
              <w:t>​</w:t>
            </w:r>
          </w:p>
        </w:tc>
        <w:tc>
          <w:tcPr>
            <w:tcW w:w="31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(17,220)</w:t>
            </w:r>
          </w:p>
        </w:tc>
        <w:tc>
          <w:tcPr>
            <w:tcW w:w="154" w:type="dxa"/>
            <w:tcBorders/>
            <w:shd w:fill="auto" w:val="clear"/>
            <w:vAlign w:val="center"/>
          </w:tcPr>
          <w:p>
            <w:pPr>
              <w:pStyle w:val="TableContents"/>
              <w:spacing w:before="0" w:after="0"/>
              <w:ind w:left="0" w:right="0" w:hanging="0"/>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long-term debt</w:t>
            </w:r>
          </w:p>
        </w:tc>
        <w:tc>
          <w:tcPr>
            <w:tcW w:w="326" w:type="dxa"/>
            <w:tcBorders/>
            <w:shd w:fill="CCEEFF" w:val="clear"/>
            <w:vAlign w:val="center"/>
          </w:tcPr>
          <w:p>
            <w:pPr>
              <w:pStyle w:val="TableContents"/>
              <w:spacing w:before="0" w:after="0"/>
              <w:ind w:left="0" w:right="0" w:hanging="0"/>
              <w:rPr/>
            </w:pPr>
            <w:r>
              <w:rPr/>
              <w:t>​</w:t>
            </w:r>
          </w:p>
        </w:tc>
        <w:tc>
          <w:tcPr>
            <w:tcW w:w="22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320,891</w:t>
            </w:r>
          </w:p>
        </w:tc>
        <w:tc>
          <w:tcPr>
            <w:tcW w:w="326" w:type="dxa"/>
            <w:tcBorders/>
            <w:shd w:fill="CCEEFF" w:val="clear"/>
            <w:vAlign w:val="center"/>
          </w:tcPr>
          <w:p>
            <w:pPr>
              <w:pStyle w:val="TableContents"/>
              <w:spacing w:before="0" w:after="0"/>
              <w:ind w:left="0" w:right="0" w:hanging="0"/>
              <w:rPr/>
            </w:pPr>
            <w:r>
              <w:rPr/>
              <w:t>​</w:t>
            </w:r>
          </w:p>
        </w:tc>
        <w:tc>
          <w:tcPr>
            <w:tcW w:w="31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263,188</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On February 23, 2022, Latham Pool Products entered into an agreement (the “New Credit Agreement”) with Barclays Bank PLC, which provides a senior secured multicurrency revolving line of credit (the “New Revolving Credit Facility”) in an initial principal amount of $75.0 million and a U.S. Dollar senior secured term loan facility (the “New Term Loan Facility”) in an initial principal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811" w:name="_Hlk102745951"/>
      <w:bookmarkEnd w:id="811"/>
      <w:r>
        <w:rPr>
          <w:rFonts w:ascii="Times New Roman;Times;serif" w:hAnsi="Times New Roman;Times;serif"/>
          <w:sz w:val="20"/>
        </w:rPr>
        <w:t>amount of $325.0 million (the “Refinancing”). On the closing date, proceeds under the agreement were used to repay $294.0 million and terminate the Credit Agreement (as defined below) and for general corporate purposes.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New Revolving Credit Facility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February 23, 2022, Latham Pool Products entered into the New Credit Agreement with Barclays Bank PLC, which provides a senior secured multicurrency revolving line of credit in an initial principal amount of $75.0 million. The New Revolving Credit Facility may be utilized to finance ongoing general corporate and working capital needs and permits Latham Pools Products to borrow loans in U.S. Dollars, Canadian Dollars, Euros and Australian Dollars. The New Revolving Credit Facility matures on February 23, 2027. Loans outstanding under the New Revolving Credit Facility denominated in U.S. Dollars and Canadian Dollars bear interest, at the borrower’s option, at a rate per annum based on Term SOFR or CDO (each, as defined in the New Credit Agreement), as applicable, plus a margin of 3.50%, or at a rate per annum based on the Base Rate or the Canadian Prime Rate (each, as defined in the New Credit Agreement), plus a margin of 2.50%. Loans outstanding under the New Revolving Credit Facility denominated in Euros or Australian Dollars bear interest based on EURIBOR or the AUD Rate (each, as defined in the New Credit Agreement), respectively, plus a margin of 3.50%. A commitment fee accrues on any unused portion of the commitments under the New Revolving Credit Facility. The commitment fee is due and payable quarterly in arrears and is, initially, 0.375% per annum and will, thereafter, accrue at a rate per annum ranging from 0.25% to 0.50%, depending on the First Lien Net Leverage Ratio. Borrowings under the New Revolving Credit Facility are due at maturity.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Company incurred debt issuance costs of $0.8 million related to the New Revolving Credit Facility. The debt issuance costs were recorded within other assets on the condensed consolidated balance and are being amortized over the life of the New Revolving Credit Facility.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make prepayments with respect to certain indebtedness and make restricted payments and other distributions.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April 2, 2022, there was $10.0 million outstanding on the New Revolving Credit Facility.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New Term Loan Facility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Pursuant to the New Credit Agreement, Latham Pool Products also borrowed $325.0 million in term loans. The New Term Loan Facility matures on February 23, 2029. Loans outstanding under the New Term Loan Facility bear interest, at the borrower’s option, at a rate per annum based on Term SOFR (as defined in the New Credit Agreement), plus a margin ranging from 3.75% to 4.00%, depending on the First Lien Net Leverage Ratio (as defined in the Credit Agreement, the “First Lien Net Leverage Ratio”), or based on the Base Rate (as defined in the Credit Agreement), plus a margin ranging from 2.75% to 3.00%, depending on the First Lien Net Leverage Ratio. Loans under the Term Loan Facility are subject to scheduled quarterly amortization payments equal to 0.25% of the initial principal amount of the Term Loan Facility. The New Credit Agreement contains customary mandatory prepayment provisions, including requirements to make mandatory prepayments with 50% of any excess cash flow and with 100% of the net cash proceeds from the incurrence of indebtedness not otherwise permitted to be incurred by the covenants, asset sales and casualty and condemnation events, in each case, subject to customary exceptions.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recorded $6.1 million of debt issuance costs and $4.9 million of debt discount related to the New Term Loan Facility as a direct reduction to the carrying amount of long-term debt on the condensed consolidated balance sheet.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Outstanding borrowings as of April 2, 2022 were $314.1 million, net of discount and debt issuance costs of $10.9 million. In connection with the New Term Loan, the Company is subject to various financial reporting, financial and other covenants, including maintaining specific liquidity measurements.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April 2, 2022, the unamortized debt issuance costs and discount on the New Term Loan were $6.0 million and $4.8 million, respectively. The effective interest rate was 4.96% at April 2, 2022.</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April 2, 2022, the Company was in compliance with all financial covenants under the New Credit Agreement.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812" w:name="Tc_f-aGOw914UCOmT6eFis3JQ_8_2"/>
      <w:bookmarkStart w:id="813" w:name="Tc_5ZI1SYnVAkC_I2DJWE-gRA_7_0"/>
      <w:bookmarkStart w:id="814" w:name="Tc_URKUa3k59E2V7_DEnr5cBw_6_0"/>
      <w:bookmarkStart w:id="815" w:name="Tc__tQa0YVb20W4eFMj0wrANQ_5_0"/>
      <w:bookmarkStart w:id="816" w:name="Tc_VpiDDy19_Uu9uWGfr2aoWg_4_0"/>
      <w:bookmarkStart w:id="817" w:name="Tc_s-WL3U6VPk-BmUUmnOouqQ_3_0"/>
      <w:bookmarkStart w:id="818" w:name="Tc_CmwPubWB0ECsXzlfGPivnA_2_2"/>
      <w:bookmarkStart w:id="819" w:name="Tc_uXQCnzcVFE2hVLLalT9jJQ_2_0"/>
      <w:bookmarkStart w:id="820" w:name="Tc_KIvNl3Ma9UK8DT_ufeXg6Q_1_2"/>
      <w:bookmarkStart w:id="821" w:name="Tc_HUDhryA3DU-wk2x7NUWARQ_1_0"/>
      <w:bookmarkEnd w:id="812"/>
      <w:bookmarkEnd w:id="813"/>
      <w:bookmarkEnd w:id="814"/>
      <w:bookmarkEnd w:id="815"/>
      <w:bookmarkEnd w:id="816"/>
      <w:bookmarkEnd w:id="817"/>
      <w:bookmarkEnd w:id="818"/>
      <w:bookmarkEnd w:id="819"/>
      <w:bookmarkEnd w:id="820"/>
      <w:bookmarkEnd w:id="821"/>
      <w:r>
        <w:rPr>
          <w:rFonts w:ascii="Times New Roman;Times;serif" w:hAnsi="Times New Roman;Times;serif"/>
          <w:b/>
          <w:i/>
          <w:sz w:val="20"/>
        </w:rPr>
        <w:t>Revolving Credit Facility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December 18, 2018, Latham Pool Products entered into an agreement (the “Credit Agreement”) with Nomura Corporate Funding Americas, LLC that included a revolving line of credit (the “Revolver”) and letters of credit (“Letters of Credit” or collectively with the Revolver, the “Revolving Credit Facility”), as well as a Term Loan (as described and defined below). The Revolving Credit Facility was utilized to finance ongoing general corporate and working capital needs with the Revolver of up to $30.0 million. The Revolving Credit Facility was terminated in connection with the Refinancing.</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Term Loan Facility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Pursuant to the Credit Agreement, Latham Pool Products also borrowed $215.0 million in term loans (the “Term Loan”). The Term Loan was amended on May 29, 2019, to provide additional borrowings of $23.0 million, which was accounted for as a modification to the Term Loan, to fund our acquisition of Narellan Group Pty Limited and its subsidiaries (the “Narellan Acquisition”) (the “First Amendment”). On October 14, 2020, we amended the First Amendment to provide additional borrowings of $20.0 million, which was accounted for as new debt (the “Second Amendment”). The Second Amendment was further amended on January 25, 2021, to provide an additional incremental term loan of $175.0 million (the “Third Amendment”). On January 25, 2021, Latham Pool Products borrowed the incremental term loan, and the proceeds were used on February 2, 2021 to purchase and retire equity interests and to pay a distribution. On March 31, 2021, we amended our Term Loan to revise the applicable reporting requirements (the “Fourth Amendment”). On November 24, 2021, we amended the Term Loan to provide additional borrowings of $50 million (the “Fifth Amendment”). The proceeds from this incremental term loan were used to finance the Radiant Acquisition in part. The Term Loan, collectively with the First Amendment, Second Amendment, Third Amendment, the Fourth Amendment and the Fifth Amendment, is referred to as the “Amended Term Loan.” The Amended Term Loan was repaid and terminated in connection with the Refinancing.</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Interest Rate Risk</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Interest rate risk associated with the New Credit Agreement is managed through an interest rate swap that the Company executed on April 30, 2020. The swap has an effective date of May 18, 2020 and a termination date of May 18, 2023. In February of 2022, the Company amended its interest rate swap to change the index rate from LIBOR to SOFR in connection with the entry into the New Credit Agreement. Under the terms of the amended swap, the Company fixed its SOFR borrowing rate at 0.496% on a notional amount of $200.0 million. The interest rate swap is not designated as a hedging instrument for accounting purposes (see Note 2 and Note 4). </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Debt Maturities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Principal payments due on the outstanding debt in the next five fiscal years, excluding any potential payments based on excess cash flow levels, are as follows (in thousands):</w:t>
      </w:r>
    </w:p>
    <w:p>
      <w:pPr>
        <w:pStyle w:val="TextBody"/>
        <w:spacing w:before="0" w:after="240"/>
        <w:ind w:left="0" w:right="0" w:firstLine="360"/>
        <w:rPr/>
      </w:pPr>
      <w:r>
        <w:rPr/>
        <w:t>​</w:t>
      </w:r>
    </w:p>
    <w:tbl>
      <w:tblPr>
        <w:tblW w:w="4048" w:type="dxa"/>
        <w:jc w:val="left"/>
        <w:tblInd w:w="0" w:type="dxa"/>
        <w:tblCellMar>
          <w:top w:w="0" w:type="dxa"/>
          <w:left w:w="0" w:type="dxa"/>
          <w:bottom w:w="0" w:type="dxa"/>
          <w:right w:w="0" w:type="dxa"/>
        </w:tblCellMar>
      </w:tblPr>
      <w:tblGrid>
        <w:gridCol w:w="2161"/>
        <w:gridCol w:w="326"/>
        <w:gridCol w:w="296"/>
        <w:gridCol w:w="1265"/>
      </w:tblGrid>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87960" cy="175260"/>
                      <wp:effectExtent l="0" t="0" r="0" b="0"/>
                      <wp:wrapNone/>
                      <wp:docPr id="136" name="Frame136"/>
                      <a:graphic xmlns:a="http://schemas.openxmlformats.org/drawingml/2006/main">
                        <a:graphicData uri="http://schemas.microsoft.com/office/word/2010/wordprocessingShape">
                          <wps:wsp>
                            <wps:cNvSpPr txBox="1"/>
                            <wps:spPr>
                              <a:xfrm>
                                <a:off x="0" y="0"/>
                                <a:ext cx="187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03275" cy="175260"/>
                      <wp:effectExtent l="0" t="0" r="0" b="0"/>
                      <wp:wrapNone/>
                      <wp:docPr id="137" name="Frame137"/>
                      <a:graphic xmlns:a="http://schemas.openxmlformats.org/drawingml/2006/main">
                        <a:graphicData uri="http://schemas.microsoft.com/office/word/2010/wordprocessingShape">
                          <wps:wsp>
                            <wps:cNvSpPr txBox="1"/>
                            <wps:spPr>
                              <a:xfrm>
                                <a:off x="0" y="0"/>
                                <a:ext cx="803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rPr/>
            </w:pPr>
            <w:r>
              <w:rPr/>
              <w:t>    </w:t>
            </w:r>
          </w:p>
        </w:tc>
        <w:tc>
          <w:tcPr>
            <w:tcW w:w="15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Term Loan Facility</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Remainder of fiscal 2022</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2,438</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 </w:t>
            </w:r>
          </w:p>
        </w:tc>
        <w:tc>
          <w:tcPr>
            <w:tcW w:w="12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 </w:t>
            </w:r>
          </w:p>
        </w:tc>
        <w:tc>
          <w:tcPr>
            <w:tcW w:w="12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0"/>
              <w:ind w:left="0" w:right="0" w:hanging="0"/>
              <w:rPr/>
            </w:pPr>
            <w:r>
              <w:rPr/>
              <w:t>​</w:t>
            </w:r>
          </w:p>
        </w:tc>
        <w:tc>
          <w:tcPr>
            <w:tcW w:w="296" w:type="dxa"/>
            <w:tcBorders/>
            <w:shd w:fill="auto" w:val="clear"/>
            <w:vAlign w:val="center"/>
          </w:tcPr>
          <w:p>
            <w:pPr>
              <w:pStyle w:val="TableContents"/>
              <w:spacing w:before="0" w:after="0"/>
              <w:ind w:left="0" w:right="0" w:hanging="0"/>
              <w:rPr/>
            </w:pPr>
            <w:r>
              <w:rPr/>
              <w:t> </w:t>
            </w:r>
          </w:p>
        </w:tc>
        <w:tc>
          <w:tcPr>
            <w:tcW w:w="12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0"/>
              <w:ind w:left="0" w:right="0" w:hanging="0"/>
              <w:rPr/>
            </w:pPr>
            <w:r>
              <w:rPr/>
              <w:t>​</w:t>
            </w:r>
          </w:p>
        </w:tc>
        <w:tc>
          <w:tcPr>
            <w:tcW w:w="296" w:type="dxa"/>
            <w:tcBorders/>
            <w:shd w:fill="CCEEFF" w:val="clear"/>
            <w:vAlign w:val="center"/>
          </w:tcPr>
          <w:p>
            <w:pPr>
              <w:pStyle w:val="TableContents"/>
              <w:spacing w:before="0" w:after="0"/>
              <w:ind w:left="0" w:right="0" w:hanging="0"/>
              <w:rPr/>
            </w:pPr>
            <w:r>
              <w:rPr/>
              <w:t>​</w:t>
            </w:r>
          </w:p>
        </w:tc>
        <w:tc>
          <w:tcPr>
            <w:tcW w:w="12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0"/>
              <w:ind w:left="0" w:right="0" w:hanging="0"/>
              <w:rPr/>
            </w:pPr>
            <w:r>
              <w:rPr/>
              <w:t>​</w:t>
            </w:r>
          </w:p>
        </w:tc>
        <w:tc>
          <w:tcPr>
            <w:tcW w:w="2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6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319,562</w:t>
            </w:r>
          </w:p>
        </w:tc>
      </w:tr>
      <w:tr>
        <w:trPr/>
        <w:tc>
          <w:tcPr>
            <w:tcW w:w="21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5"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335,000</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obligations under the New Credit Agreement are guaranteed by certain wholly owned subsidiaries (the “Guarantors”) of the Company as defined in the security agreement. The obligations under the New Credit Agreement are secured by substantially all of the Guarantors’ tangible and intangible assets, including their accounts receivables, equipment, intellectual property, inventory, cash and cash equivalents, deposit accounts and security accounts. The New Credit Agreement also restricts payments and other distributions unless certain conditions are met, which could restrict the Company’s ability to pay dividends.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822" w:name="Tc__mrjvdSFEkKlQAnpBJ0MWw_6_5"/>
      <w:bookmarkStart w:id="823" w:name="Tc_MqTof0qfyUS4SWQHWL9heQ_6_2"/>
      <w:bookmarkStart w:id="824" w:name="Tc_DwjICRZ7i0mskXM37wM6jw_6_0"/>
      <w:bookmarkStart w:id="825" w:name="Tc_MxVy8DSSTkqlAVjEZAx9-Q_5_0"/>
      <w:bookmarkStart w:id="826" w:name="Tc_STIiDrsuTUCka2Yo6BVEGw_4_0"/>
      <w:bookmarkStart w:id="827" w:name="Tc_2CABqXje9Em1R2uzOf6ZiA_3_5"/>
      <w:bookmarkStart w:id="828" w:name="Tc_ikWTBoMb0kulCxR23FV6sg_3_2"/>
      <w:bookmarkStart w:id="829" w:name="Tc_EEX4hZEMdkKr9O1t9AkLuw_3_0"/>
      <w:bookmarkStart w:id="830" w:name="Tc_QlCQoPhdh0SoR3p7PTQmjA_2_5"/>
      <w:bookmarkStart w:id="831" w:name="Tc_FI79-lNe4EG8Rruoal7xeg_2_2"/>
      <w:bookmarkStart w:id="832" w:name="Tc_vxhHEjaIUUe-unVQ2dKuzA_1_2"/>
      <w:bookmarkStart w:id="833" w:name="_dfcf3c17_46d7_40f1_a5d8_df63e29ed093"/>
      <w:bookmarkEnd w:id="822"/>
      <w:bookmarkEnd w:id="823"/>
      <w:bookmarkEnd w:id="824"/>
      <w:bookmarkEnd w:id="825"/>
      <w:bookmarkEnd w:id="826"/>
      <w:bookmarkEnd w:id="827"/>
      <w:bookmarkEnd w:id="828"/>
      <w:bookmarkEnd w:id="829"/>
      <w:bookmarkEnd w:id="830"/>
      <w:bookmarkEnd w:id="831"/>
      <w:bookmarkEnd w:id="832"/>
      <w:bookmarkEnd w:id="833"/>
      <w:r>
        <w:rPr>
          <w:rFonts w:ascii="Times New Roman;Times;serif" w:hAnsi="Times New Roman;Times;serif"/>
          <w:b/>
          <w:sz w:val="20"/>
        </w:rPr>
        <w:t>8. PRODUCT WARRANTIES</w:t>
      </w:r>
    </w:p>
    <w:p>
      <w:pPr>
        <w:pStyle w:val="TextBody"/>
        <w:spacing w:before="0" w:after="0"/>
        <w:ind w:left="403" w:right="0" w:hanging="0"/>
        <w:rPr>
          <w:rFonts w:ascii="Times New Roman;Times;serif" w:hAnsi="Times New Roman;Times;serif"/>
          <w:sz w:val="20"/>
        </w:rPr>
      </w:pPr>
      <w:r>
        <w:rPr>
          <w:rFonts w:ascii="Times New Roman;Times;serif" w:hAnsi="Times New Roman;Times;serif"/>
          <w:sz w:val="20"/>
        </w:rPr>
        <w:t>The warranty reserve activity consisted of the following (in thousands):</w:t>
      </w:r>
    </w:p>
    <w:p>
      <w:pPr>
        <w:pStyle w:val="TextBody"/>
        <w:spacing w:before="0" w:after="240"/>
        <w:ind w:left="403" w:right="0" w:hanging="0"/>
        <w:rPr/>
      </w:pPr>
      <w:r>
        <w:rPr/>
        <w:t>​</w:t>
      </w:r>
    </w:p>
    <w:tbl>
      <w:tblPr>
        <w:tblW w:w="6522" w:type="dxa"/>
        <w:jc w:val="left"/>
        <w:tblInd w:w="0" w:type="dxa"/>
        <w:tblCellMar>
          <w:top w:w="0" w:type="dxa"/>
          <w:left w:w="0" w:type="dxa"/>
          <w:bottom w:w="0" w:type="dxa"/>
          <w:right w:w="0" w:type="dxa"/>
        </w:tblCellMar>
      </w:tblPr>
      <w:tblGrid>
        <w:gridCol w:w="3586"/>
        <w:gridCol w:w="326"/>
        <w:gridCol w:w="249"/>
        <w:gridCol w:w="816"/>
        <w:gridCol w:w="326"/>
        <w:gridCol w:w="249"/>
        <w:gridCol w:w="816"/>
        <w:gridCol w:w="154"/>
      </w:tblGrid>
      <w:tr>
        <w:trPr/>
        <w:tc>
          <w:tcPr>
            <w:tcW w:w="3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58115" cy="175260"/>
                      <wp:effectExtent l="0" t="0" r="0" b="0"/>
                      <wp:wrapNone/>
                      <wp:docPr id="139" name="Frame139"/>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18160" cy="175260"/>
                      <wp:effectExtent l="0" t="0" r="0" b="0"/>
                      <wp:wrapNone/>
                      <wp:docPr id="140" name="Frame140"/>
                      <a:graphic xmlns:a="http://schemas.openxmlformats.org/drawingml/2006/main">
                        <a:graphicData uri="http://schemas.microsoft.com/office/word/2010/wordprocessingShape">
                          <wps:wsp>
                            <wps:cNvSpPr txBox="1"/>
                            <wps:spPr>
                              <a:xfrm>
                                <a:off x="0" y="0"/>
                                <a:ext cx="518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58115" cy="175260"/>
                      <wp:effectExtent l="0" t="0" r="0" b="0"/>
                      <wp:wrapNone/>
                      <wp:docPr id="142" name="Frame142"/>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18160" cy="175260"/>
                      <wp:effectExtent l="0" t="0" r="0" b="0"/>
                      <wp:wrapNone/>
                      <wp:docPr id="143" name="Frame143"/>
                      <a:graphic xmlns:a="http://schemas.openxmlformats.org/drawingml/2006/main">
                        <a:graphicData uri="http://schemas.microsoft.com/office/word/2010/wordprocessingShape">
                          <wps:wsp>
                            <wps:cNvSpPr txBox="1"/>
                            <wps:spPr>
                              <a:xfrm>
                                <a:off x="0" y="0"/>
                                <a:ext cx="518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7790" cy="175260"/>
                      <wp:effectExtent l="0" t="0" r="0" b="0"/>
                      <wp:wrapNone/>
                      <wp:docPr id="144" name="Frame144"/>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5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54" w:type="dxa"/>
            <w:tcBorders/>
            <w:shd w:fill="auto" w:val="clear"/>
            <w:vAlign w:val="center"/>
          </w:tcPr>
          <w:p>
            <w:pPr>
              <w:pStyle w:val="TableContents"/>
              <w:spacing w:before="0" w:after="0"/>
              <w:ind w:left="0" w:right="0" w:hanging="0"/>
              <w:rPr/>
            </w:pPr>
            <w:r>
              <w:rPr/>
              <w:t>​</w:t>
            </w:r>
          </w:p>
        </w:tc>
      </w:tr>
      <w:tr>
        <w:trPr/>
        <w:tc>
          <w:tcPr>
            <w:tcW w:w="3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2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 2021</w:t>
            </w:r>
          </w:p>
        </w:tc>
        <w:tc>
          <w:tcPr>
            <w:tcW w:w="154" w:type="dxa"/>
            <w:tcBorders/>
            <w:shd w:fill="auto" w:val="clear"/>
            <w:vAlign w:val="center"/>
          </w:tcPr>
          <w:p>
            <w:pPr>
              <w:pStyle w:val="TableContents"/>
              <w:spacing w:before="0" w:after="0"/>
              <w:ind w:left="0" w:right="0" w:hanging="0"/>
              <w:rPr/>
            </w:pPr>
            <w:r>
              <w:rPr/>
              <w:t>​</w:t>
            </w:r>
          </w:p>
        </w:tc>
      </w:tr>
      <w:tr>
        <w:trPr/>
        <w:tc>
          <w:tcPr>
            <w:tcW w:w="35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the beginning of the year</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4,909</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2,882</w:t>
            </w:r>
          </w:p>
        </w:tc>
        <w:tc>
          <w:tcPr>
            <w:tcW w:w="154" w:type="dxa"/>
            <w:tcBorders/>
            <w:shd w:fill="CCEEFF" w:val="clear"/>
            <w:vAlign w:val="center"/>
          </w:tcPr>
          <w:p>
            <w:pPr>
              <w:pStyle w:val="TableContents"/>
              <w:spacing w:before="0" w:after="0"/>
              <w:ind w:left="0" w:right="0" w:hanging="0"/>
              <w:rPr/>
            </w:pPr>
            <w:r>
              <w:rPr/>
              <w:t>​</w:t>
            </w:r>
          </w:p>
        </w:tc>
      </w:tr>
      <w:tr>
        <w:trPr/>
        <w:tc>
          <w:tcPr>
            <w:tcW w:w="35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Accruals for warranties issued</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 </w:t>
            </w:r>
          </w:p>
        </w:tc>
        <w:tc>
          <w:tcPr>
            <w:tcW w:w="8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 </w:t>
            </w:r>
          </w:p>
        </w:tc>
        <w:tc>
          <w:tcPr>
            <w:tcW w:w="8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1,706</w:t>
            </w:r>
          </w:p>
        </w:tc>
        <w:tc>
          <w:tcPr>
            <w:tcW w:w="154" w:type="dxa"/>
            <w:tcBorders/>
            <w:shd w:fill="auto" w:val="clear"/>
            <w:vAlign w:val="center"/>
          </w:tcPr>
          <w:p>
            <w:pPr>
              <w:pStyle w:val="TableContents"/>
              <w:spacing w:before="0" w:after="0"/>
              <w:ind w:left="0" w:right="0" w:hanging="0"/>
              <w:rPr/>
            </w:pPr>
            <w:r>
              <w:rPr/>
              <w:t>​</w:t>
            </w:r>
          </w:p>
        </w:tc>
      </w:tr>
      <w:tr>
        <w:trPr/>
        <w:tc>
          <w:tcPr>
            <w:tcW w:w="35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Settlements made (in cash or in kind)</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(1,077)</w:t>
            </w:r>
          </w:p>
        </w:tc>
        <w:tc>
          <w:tcPr>
            <w:tcW w:w="154" w:type="dxa"/>
            <w:tcBorders/>
            <w:shd w:fill="CCEEFF" w:val="clear"/>
            <w:vAlign w:val="center"/>
          </w:tcPr>
          <w:p>
            <w:pPr>
              <w:pStyle w:val="TableContents"/>
              <w:spacing w:before="0" w:after="0"/>
              <w:ind w:left="0" w:right="0" w:hanging="0"/>
              <w:rPr/>
            </w:pPr>
            <w:r>
              <w:rPr/>
              <w:t>​</w:t>
            </w:r>
          </w:p>
        </w:tc>
      </w:tr>
      <w:tr>
        <w:trPr/>
        <w:tc>
          <w:tcPr>
            <w:tcW w:w="35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the end of the year</w:t>
            </w:r>
          </w:p>
        </w:tc>
        <w:tc>
          <w:tcPr>
            <w:tcW w:w="326" w:type="dxa"/>
            <w:tcBorders/>
            <w:shd w:fill="auto" w:val="clear"/>
            <w:vAlign w:val="center"/>
          </w:tcPr>
          <w:p>
            <w:pPr>
              <w:pStyle w:val="TableContents"/>
              <w:spacing w:before="0" w:after="0"/>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5,135</w:t>
            </w:r>
          </w:p>
        </w:tc>
        <w:tc>
          <w:tcPr>
            <w:tcW w:w="326" w:type="dxa"/>
            <w:tcBorders/>
            <w:shd w:fill="auto" w:val="clear"/>
            <w:vAlign w:val="center"/>
          </w:tcPr>
          <w:p>
            <w:pPr>
              <w:pStyle w:val="TableContents"/>
              <w:spacing w:before="0" w:after="0"/>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3,511</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834" w:name="Tc_AvMoPccH-0-RV9Pg4xuEPw_5_4"/>
      <w:bookmarkStart w:id="835" w:name="Tc_C3BQKGGxXEyVPtYBmyNIzg_5_0"/>
      <w:bookmarkStart w:id="836" w:name="Tc_AJCualXpDU2IHeIvMiLkqQ_4_0"/>
      <w:bookmarkStart w:id="837" w:name="Tc_O4Z2ISsQOUGN68cFrZYFVQ_3_0"/>
      <w:bookmarkStart w:id="838" w:name="Tc_S7okHaI8dkeqIc_OvCqXAQ_2_0"/>
      <w:bookmarkStart w:id="839" w:name="Tc_aoecsFhSmkCoc1VnW2l8lw_1_2"/>
      <w:bookmarkStart w:id="840" w:name="_287c2824_3a29_4d4e_a373_2bed7ddeb363"/>
      <w:bookmarkStart w:id="841" w:name="Tc_he4R8o4VMEG-suFioNpiZA_6_2"/>
      <w:bookmarkStart w:id="842" w:name="Tc_gDjzbakITkC1nBPRP05LPg_6_0"/>
      <w:bookmarkStart w:id="843" w:name="Tc_ysfxO0cI9EeAFH2SGS15nw_5_0"/>
      <w:bookmarkStart w:id="844" w:name="Tc_qToT76OHOE-fGnC-RDXBzQ_4_0"/>
      <w:bookmarkStart w:id="845" w:name="Tc_fHSXhdRVWkGN6UbI4YXBoQ_3_2"/>
      <w:bookmarkStart w:id="846" w:name="Tc_dVpbt6M_gkiLRGLxowumpw_3_0"/>
      <w:bookmarkStart w:id="847" w:name="Tc_SC1OlnTndEqcIPdmAvoiCw_2_2"/>
      <w:bookmarkStart w:id="848" w:name="Tc_z1Z55yvYrkqbqCAY9tMbGg_1_2"/>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r>
        <w:rPr>
          <w:rFonts w:ascii="Times New Roman;Times;serif" w:hAnsi="Times New Roman;Times;serif"/>
          <w:b/>
          <w:sz w:val="20"/>
        </w:rPr>
        <w:t>9. LEASES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January 1, 2022, the Company adopted ASU 2016-02, "Leases (Topic 842)," and the related amendments (collectively "ASC 842"). The optional transition method of adoption was used, in which the cumulative effect of initially applying the new standard to existing leases was $0.3 million to record the operating lease right-of-use assets and the related liabilities as of January 1, 2022. Under this method of adoption, the comparative information has not been revised and continues to be reported under the previously applicable lease accounting guidance (ASC 840).</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has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leases vehicles, manufacturing facilities, office space, land, and equipment under operating leases. The Company determines if an arrangement is a lease at inception. A contract is or contains a lease if the contract conveys the right to control the use of an identified asset for a period of time in exchange for consideration. The Company does not have material finance leases.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components of lease expense for the fiscal quarter ended April 2, 2022 were as follows (in thousands):</w:t>
      </w:r>
    </w:p>
    <w:p>
      <w:pPr>
        <w:pStyle w:val="TextBody"/>
        <w:spacing w:before="0" w:after="240"/>
        <w:ind w:left="0" w:right="0" w:firstLine="360"/>
        <w:rPr/>
      </w:pPr>
      <w:r>
        <w:rPr/>
        <w:t>​</w:t>
      </w:r>
    </w:p>
    <w:tbl>
      <w:tblPr>
        <w:tblW w:w="4493" w:type="dxa"/>
        <w:jc w:val="left"/>
        <w:tblInd w:w="0" w:type="dxa"/>
        <w:tblCellMar>
          <w:top w:w="0" w:type="dxa"/>
          <w:left w:w="0" w:type="dxa"/>
          <w:bottom w:w="0" w:type="dxa"/>
          <w:right w:w="0" w:type="dxa"/>
        </w:tblCellMar>
      </w:tblPr>
      <w:tblGrid>
        <w:gridCol w:w="2131"/>
        <w:gridCol w:w="326"/>
        <w:gridCol w:w="449"/>
        <w:gridCol w:w="1216"/>
        <w:gridCol w:w="371"/>
      </w:tblGrid>
      <w:tr>
        <w:trPr/>
        <w:tc>
          <w:tcPr>
            <w:tcW w:w="21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85115" cy="175260"/>
                      <wp:effectExtent l="0" t="0" r="0" b="0"/>
                      <wp:wrapNone/>
                      <wp:docPr id="146" name="Frame146"/>
                      <a:graphic xmlns:a="http://schemas.openxmlformats.org/drawingml/2006/main">
                        <a:graphicData uri="http://schemas.microsoft.com/office/word/2010/wordprocessingShape">
                          <wps:wsp>
                            <wps:cNvSpPr txBox="1"/>
                            <wps:spPr>
                              <a:xfrm>
                                <a:off x="0" y="0"/>
                                <a:ext cx="2851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772160" cy="175260"/>
                      <wp:effectExtent l="0" t="0" r="0" b="0"/>
                      <wp:wrapNone/>
                      <wp:docPr id="147" name="Frame147"/>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35585" cy="175260"/>
                      <wp:effectExtent l="0" t="0" r="0" b="0"/>
                      <wp:wrapNone/>
                      <wp:docPr id="148" name="Frame148"/>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371" w:type="dxa"/>
            <w:tcBorders/>
            <w:shd w:fill="auto" w:val="clear"/>
            <w:vAlign w:val="center"/>
          </w:tcPr>
          <w:p>
            <w:pPr>
              <w:pStyle w:val="TableContents"/>
              <w:spacing w:before="0" w:after="1"/>
              <w:ind w:left="0" w:right="0" w:hanging="0"/>
              <w:rPr/>
            </w:pPr>
            <w:r>
              <w:rPr/>
              <w:t>​</w:t>
            </w:r>
          </w:p>
        </w:tc>
      </w:tr>
      <w:tr>
        <w:trPr/>
        <w:tc>
          <w:tcPr>
            <w:tcW w:w="21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6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71" w:type="dxa"/>
            <w:tcBorders/>
            <w:shd w:fill="auto" w:val="clear"/>
            <w:vAlign w:val="center"/>
          </w:tcPr>
          <w:p>
            <w:pPr>
              <w:pStyle w:val="TableContents"/>
              <w:spacing w:before="0" w:after="1"/>
              <w:ind w:left="0" w:right="0" w:hanging="0"/>
              <w:rPr/>
            </w:pPr>
            <w:r>
              <w:rPr/>
              <w:t>    </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expense</w:t>
            </w:r>
          </w:p>
        </w:tc>
        <w:tc>
          <w:tcPr>
            <w:tcW w:w="326" w:type="dxa"/>
            <w:tcBorders/>
            <w:shd w:fill="CCEEFF" w:val="clear"/>
            <w:vAlign w:val="center"/>
          </w:tcPr>
          <w:p>
            <w:pPr>
              <w:pStyle w:val="TableContents"/>
              <w:spacing w:before="0" w:after="1"/>
              <w:ind w:left="0" w:right="0" w:hanging="0"/>
              <w:rPr/>
            </w:pPr>
            <w:r>
              <w:rPr/>
              <w:t>​</w:t>
            </w:r>
          </w:p>
        </w:tc>
        <w:tc>
          <w:tcPr>
            <w:tcW w:w="44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2,138</w:t>
            </w:r>
          </w:p>
        </w:tc>
        <w:tc>
          <w:tcPr>
            <w:tcW w:w="371" w:type="dxa"/>
            <w:tcBorders/>
            <w:shd w:fill="CCEEFF" w:val="clear"/>
            <w:vAlign w:val="center"/>
          </w:tcPr>
          <w:p>
            <w:pPr>
              <w:pStyle w:val="TableContents"/>
              <w:spacing w:before="0" w:after="1"/>
              <w:ind w:left="0" w:right="0" w:hanging="0"/>
              <w:rPr/>
            </w:pPr>
            <w:r>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Short-term lease expense</w:t>
            </w:r>
          </w:p>
        </w:tc>
        <w:tc>
          <w:tcPr>
            <w:tcW w:w="326" w:type="dxa"/>
            <w:tcBorders/>
            <w:shd w:fill="auto" w:val="clear"/>
            <w:vAlign w:val="center"/>
          </w:tcPr>
          <w:p>
            <w:pPr>
              <w:pStyle w:val="TableContents"/>
              <w:spacing w:before="0" w:after="1"/>
              <w:ind w:left="0" w:right="0" w:hanging="0"/>
              <w:rPr/>
            </w:pPr>
            <w:r>
              <w:rPr/>
              <w:t>​</w:t>
            </w:r>
          </w:p>
        </w:tc>
        <w:tc>
          <w:tcPr>
            <w:tcW w:w="449"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71" w:type="dxa"/>
            <w:tcBorders/>
            <w:shd w:fill="auto" w:val="clear"/>
            <w:vAlign w:val="center"/>
          </w:tcPr>
          <w:p>
            <w:pPr>
              <w:pStyle w:val="TableContents"/>
              <w:spacing w:before="0" w:after="1"/>
              <w:ind w:left="0" w:right="0" w:hanging="0"/>
              <w:rPr/>
            </w:pPr>
            <w:r>
              <w:rPr/>
              <w:t>​</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Variable lease expense</w:t>
            </w:r>
          </w:p>
        </w:tc>
        <w:tc>
          <w:tcPr>
            <w:tcW w:w="326" w:type="dxa"/>
            <w:tcBorders/>
            <w:shd w:fill="CCEEFF" w:val="clear"/>
            <w:vAlign w:val="center"/>
          </w:tcPr>
          <w:p>
            <w:pPr>
              <w:pStyle w:val="TableContents"/>
              <w:spacing w:before="0" w:after="1"/>
              <w:ind w:left="0" w:right="0" w:hanging="0"/>
              <w:rPr/>
            </w:pPr>
            <w:r>
              <w:rPr/>
              <w:t>​</w:t>
            </w:r>
          </w:p>
        </w:tc>
        <w:tc>
          <w:tcPr>
            <w:tcW w:w="449"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371" w:type="dxa"/>
            <w:tcBorders/>
            <w:shd w:fill="CCEEFF" w:val="clear"/>
            <w:vAlign w:val="center"/>
          </w:tcPr>
          <w:p>
            <w:pPr>
              <w:pStyle w:val="TableContents"/>
              <w:spacing w:before="0" w:after="1"/>
              <w:ind w:left="0" w:right="0" w:hanging="0"/>
              <w:rPr/>
            </w:pPr>
            <w:r>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expense</w:t>
            </w:r>
          </w:p>
        </w:tc>
        <w:tc>
          <w:tcPr>
            <w:tcW w:w="326" w:type="dxa"/>
            <w:tcBorders/>
            <w:shd w:fill="auto" w:val="clear"/>
            <w:vAlign w:val="center"/>
          </w:tcPr>
          <w:p>
            <w:pPr>
              <w:pStyle w:val="TableContents"/>
              <w:spacing w:before="0" w:after="1"/>
              <w:ind w:left="0" w:right="0" w:hanging="0"/>
              <w:rPr/>
            </w:pPr>
            <w:r>
              <w:rPr/>
              <w:t>​</w:t>
            </w:r>
          </w:p>
        </w:tc>
        <w:tc>
          <w:tcPr>
            <w:tcW w:w="44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2,336</w:t>
            </w:r>
          </w:p>
        </w:tc>
        <w:tc>
          <w:tcPr>
            <w:tcW w:w="371"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table below presents supplemental information related to leases as of April 2, 2022:</w:t>
      </w:r>
    </w:p>
    <w:p>
      <w:pPr>
        <w:pStyle w:val="TextBody"/>
        <w:spacing w:before="0" w:after="240"/>
        <w:ind w:left="0" w:right="0" w:firstLine="360"/>
        <w:rPr>
          <w:highlight w:val="yellow"/>
        </w:rPr>
      </w:pPr>
      <w:r>
        <w:rPr>
          <w:highlight w:val="yellow"/>
        </w:rPr>
        <w:t>​</w:t>
      </w:r>
    </w:p>
    <w:tbl>
      <w:tblPr>
        <w:tblW w:w="5352" w:type="dxa"/>
        <w:jc w:val="left"/>
        <w:tblInd w:w="0" w:type="dxa"/>
        <w:tblCellMar>
          <w:top w:w="0" w:type="dxa"/>
          <w:left w:w="0" w:type="dxa"/>
          <w:bottom w:w="0" w:type="dxa"/>
          <w:right w:w="0" w:type="dxa"/>
        </w:tblCellMar>
      </w:tblPr>
      <w:tblGrid>
        <w:gridCol w:w="3916"/>
        <w:gridCol w:w="326"/>
        <w:gridCol w:w="154"/>
        <w:gridCol w:w="510"/>
        <w:gridCol w:w="446"/>
      </w:tblGrid>
      <w:tr>
        <w:trPr/>
        <w:tc>
          <w:tcPr>
            <w:tcW w:w="3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97790" cy="175260"/>
                      <wp:effectExtent l="0" t="0" r="0" b="0"/>
                      <wp:wrapNone/>
                      <wp:docPr id="150" name="Frame150"/>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23850" cy="175260"/>
                      <wp:effectExtent l="0" t="0" r="0" b="0"/>
                      <wp:wrapNone/>
                      <wp:docPr id="151" name="Frame151"/>
                      <a:graphic xmlns:a="http://schemas.openxmlformats.org/drawingml/2006/main">
                        <a:graphicData uri="http://schemas.microsoft.com/office/word/2010/wordprocessingShape">
                          <wps:wsp>
                            <wps:cNvSpPr txBox="1"/>
                            <wps:spPr>
                              <a:xfrm>
                                <a:off x="0" y="0"/>
                                <a:ext cx="3238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83210" cy="175260"/>
                      <wp:effectExtent l="0" t="0" r="0" b="0"/>
                      <wp:wrapNone/>
                      <wp:docPr id="152" name="Frame152"/>
                      <a:graphic xmlns:a="http://schemas.openxmlformats.org/drawingml/2006/main">
                        <a:graphicData uri="http://schemas.microsoft.com/office/word/2010/wordprocessingShape">
                          <wps:wsp>
                            <wps:cNvSpPr txBox="1"/>
                            <wps:spPr>
                              <a:xfrm>
                                <a:off x="0" y="0"/>
                                <a:ext cx="283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10"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2022</w:t>
            </w:r>
          </w:p>
        </w:tc>
      </w:tr>
      <w:tr>
        <w:trPr/>
        <w:tc>
          <w:tcPr>
            <w:tcW w:w="39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remaining lease term (years)</w:t>
            </w:r>
          </w:p>
        </w:tc>
        <w:tc>
          <w:tcPr>
            <w:tcW w:w="326" w:type="dxa"/>
            <w:tcBorders/>
            <w:shd w:fill="CCEEFF" w:val="clear"/>
            <w:vAlign w:val="center"/>
          </w:tcPr>
          <w:p>
            <w:pPr>
              <w:pStyle w:val="TableContents"/>
              <w:spacing w:before="0" w:after="1"/>
              <w:ind w:left="0" w:right="0" w:hanging="0"/>
              <w:rPr/>
            </w:pPr>
            <w:r>
              <w:rPr/>
              <w:t>​</w:t>
            </w:r>
          </w:p>
        </w:tc>
        <w:tc>
          <w:tcPr>
            <w:tcW w:w="154" w:type="dxa"/>
            <w:tcBorders/>
            <w:shd w:fill="CCEEFF" w:val="clear"/>
            <w:vAlign w:val="center"/>
          </w:tcPr>
          <w:p>
            <w:pPr>
              <w:pStyle w:val="TableContents"/>
              <w:spacing w:before="0" w:after="1"/>
              <w:ind w:left="0" w:right="0" w:hanging="0"/>
              <w:rPr/>
            </w:pPr>
            <w:r>
              <w:rPr/>
              <w:t>​</w:t>
            </w:r>
          </w:p>
        </w:tc>
        <w:tc>
          <w:tcPr>
            <w:tcW w:w="510" w:type="dxa"/>
            <w:tcBorders/>
            <w:shd w:fill="CCEEFF" w:val="clear"/>
            <w:vAlign w:val="center"/>
          </w:tcPr>
          <w:p>
            <w:pPr>
              <w:pStyle w:val="TableContents"/>
              <w:spacing w:before="0" w:after="1"/>
              <w:ind w:left="0" w:right="0" w:hanging="0"/>
              <w:jc w:val="right"/>
              <w:rPr/>
            </w:pPr>
            <w:r>
              <w:rPr/>
              <w:t>​</w:t>
            </w:r>
          </w:p>
        </w:tc>
        <w:tc>
          <w:tcPr>
            <w:tcW w:w="446" w:type="dxa"/>
            <w:tcBorders/>
            <w:shd w:fill="CCEEFF" w:val="clear"/>
            <w:vAlign w:val="center"/>
          </w:tcPr>
          <w:p>
            <w:pPr>
              <w:pStyle w:val="TableContents"/>
              <w:spacing w:before="0" w:after="1"/>
              <w:ind w:left="0" w:right="0" w:hanging="0"/>
              <w:rPr/>
            </w:pPr>
            <w:r>
              <w:rPr/>
              <w:t>​</w:t>
            </w:r>
          </w:p>
        </w:tc>
      </w:tr>
      <w:tr>
        <w:trPr/>
        <w:tc>
          <w:tcPr>
            <w:tcW w:w="39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leases</w:t>
            </w:r>
          </w:p>
        </w:tc>
        <w:tc>
          <w:tcPr>
            <w:tcW w:w="326" w:type="dxa"/>
            <w:tcBorders/>
            <w:shd w:fill="auto" w:val="clear"/>
            <w:vAlign w:val="center"/>
          </w:tcPr>
          <w:p>
            <w:pPr>
              <w:pStyle w:val="TableContents"/>
              <w:spacing w:before="0" w:after="1"/>
              <w:ind w:left="0" w:right="0" w:hanging="0"/>
              <w:rPr/>
            </w:pPr>
            <w:r>
              <w:rPr/>
              <w:t>​</w:t>
            </w:r>
          </w:p>
        </w:tc>
        <w:tc>
          <w:tcPr>
            <w:tcW w:w="154" w:type="dxa"/>
            <w:tcBorders/>
            <w:shd w:fill="auto" w:val="clear"/>
            <w:vAlign w:val="center"/>
          </w:tcPr>
          <w:p>
            <w:pPr>
              <w:pStyle w:val="TableContents"/>
              <w:spacing w:before="0" w:after="1"/>
              <w:ind w:left="0" w:right="0" w:hanging="0"/>
              <w:rPr/>
            </w:pPr>
            <w:r>
              <w:rPr/>
              <w:t>​</w:t>
            </w:r>
          </w:p>
        </w:tc>
        <w:tc>
          <w:tcPr>
            <w:tcW w:w="51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446" w:type="dxa"/>
            <w:tcBorders/>
            <w:shd w:fill="auto" w:val="clear"/>
            <w:vAlign w:val="center"/>
          </w:tcPr>
          <w:p>
            <w:pPr>
              <w:pStyle w:val="TableContents"/>
              <w:spacing w:before="0" w:after="1"/>
              <w:ind w:left="0" w:right="0" w:hanging="0"/>
              <w:rPr/>
            </w:pPr>
            <w:r>
              <w:rPr/>
              <w:t>​</w:t>
            </w:r>
          </w:p>
        </w:tc>
      </w:tr>
      <w:tr>
        <w:trPr/>
        <w:tc>
          <w:tcPr>
            <w:tcW w:w="39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CCEEFF" w:val="clear"/>
            <w:vAlign w:val="center"/>
          </w:tcPr>
          <w:p>
            <w:pPr>
              <w:pStyle w:val="TableContents"/>
              <w:spacing w:before="0" w:after="1"/>
              <w:ind w:left="0" w:right="0" w:hanging="0"/>
              <w:rPr/>
            </w:pPr>
            <w:r>
              <w:rPr/>
              <w:t>​</w:t>
            </w:r>
          </w:p>
        </w:tc>
        <w:tc>
          <w:tcPr>
            <w:tcW w:w="154" w:type="dxa"/>
            <w:tcBorders/>
            <w:shd w:fill="CCEEFF" w:val="clear"/>
            <w:vAlign w:val="center"/>
          </w:tcPr>
          <w:p>
            <w:pPr>
              <w:pStyle w:val="TableContents"/>
              <w:spacing w:before="0" w:after="1"/>
              <w:ind w:left="0" w:right="0" w:hanging="0"/>
              <w:rPr/>
            </w:pPr>
            <w:r>
              <w:rPr/>
              <w:t>​</w:t>
            </w:r>
          </w:p>
        </w:tc>
        <w:tc>
          <w:tcPr>
            <w:tcW w:w="510" w:type="dxa"/>
            <w:tcBorders/>
            <w:shd w:fill="CCEEFF" w:val="clear"/>
            <w:vAlign w:val="center"/>
          </w:tcPr>
          <w:p>
            <w:pPr>
              <w:pStyle w:val="TableContents"/>
              <w:spacing w:before="0" w:after="1"/>
              <w:ind w:left="0" w:right="0" w:hanging="0"/>
              <w:jc w:val="right"/>
              <w:rPr/>
            </w:pPr>
            <w:r>
              <w:rPr/>
              <w:t>​</w:t>
            </w:r>
          </w:p>
        </w:tc>
        <w:tc>
          <w:tcPr>
            <w:tcW w:w="446" w:type="dxa"/>
            <w:tcBorders/>
            <w:shd w:fill="CCEEFF" w:val="clear"/>
            <w:vAlign w:val="center"/>
          </w:tcPr>
          <w:p>
            <w:pPr>
              <w:pStyle w:val="TableContents"/>
              <w:spacing w:before="0" w:after="1"/>
              <w:ind w:left="0" w:right="0" w:hanging="0"/>
              <w:rPr/>
            </w:pPr>
            <w:r>
              <w:rPr/>
              <w:t>​</w:t>
            </w:r>
          </w:p>
        </w:tc>
      </w:tr>
      <w:tr>
        <w:trPr/>
        <w:tc>
          <w:tcPr>
            <w:tcW w:w="39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leases</w:t>
            </w:r>
          </w:p>
        </w:tc>
        <w:tc>
          <w:tcPr>
            <w:tcW w:w="326" w:type="dxa"/>
            <w:tcBorders/>
            <w:shd w:fill="auto" w:val="clear"/>
            <w:vAlign w:val="center"/>
          </w:tcPr>
          <w:p>
            <w:pPr>
              <w:pStyle w:val="TableContents"/>
              <w:spacing w:before="0" w:after="1"/>
              <w:ind w:left="0" w:right="0" w:hanging="0"/>
              <w:rPr/>
            </w:pPr>
            <w:r>
              <w:rPr/>
              <w:t>​</w:t>
            </w:r>
          </w:p>
        </w:tc>
        <w:tc>
          <w:tcPr>
            <w:tcW w:w="154" w:type="dxa"/>
            <w:tcBorders/>
            <w:shd w:fill="auto" w:val="clear"/>
            <w:vAlign w:val="center"/>
          </w:tcPr>
          <w:p>
            <w:pPr>
              <w:pStyle w:val="TableContents"/>
              <w:spacing w:before="0" w:after="1"/>
              <w:ind w:left="0" w:right="0" w:hanging="0"/>
              <w:rPr/>
            </w:pPr>
            <w:r>
              <w:rPr/>
              <w:t>​</w:t>
            </w:r>
          </w:p>
        </w:tc>
        <w:tc>
          <w:tcPr>
            <w:tcW w:w="51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4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firstLine="360"/>
        <w:rPr>
          <w:highlight w:val="yellow"/>
        </w:rPr>
      </w:pPr>
      <w:r>
        <w:rPr>
          <w:highlight w:val="yellow"/>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bookmarkStart w:id="849" w:name="Tc_0AC63kQTr0WDzD02v9OWIA_10_2"/>
      <w:bookmarkStart w:id="850" w:name="Tc_RKJ3mBCBhkahaMZ5Z6Pl1g_10_0"/>
      <w:bookmarkStart w:id="851" w:name="Tc_pDyUp8tgB0Cd1SvNVJZ3pg_9_0"/>
      <w:bookmarkStart w:id="852" w:name="Tc_xz-WR20zWES9b2aqD1I03Q_8_0"/>
      <w:bookmarkStart w:id="853" w:name="Tc_1rfLGrZqzkeNNt5IVO2CNQ_7_0"/>
      <w:bookmarkStart w:id="854" w:name="Tc_6Y1Qa-n1hUip20WGrXG3rw_6_0"/>
      <w:bookmarkStart w:id="855" w:name="Tc_LnNhMFdz_0W8X603G8fVnQ_5_0"/>
      <w:bookmarkStart w:id="856" w:name="Tc_tocAduhLe0qNBd0sYq-fFw_4_0"/>
      <w:bookmarkStart w:id="857" w:name="Tc_Iw7pdOZpIEWqbkrUWJ-BjA_3_0"/>
      <w:bookmarkStart w:id="858" w:name="Tc_t9GvC2XymUSx0CGYnDARig_2_2"/>
      <w:bookmarkStart w:id="859" w:name="Tc_MS1jbVidDUSLLJNY0JmxkQ_2_0"/>
      <w:bookmarkStart w:id="860" w:name="Tc_1XNmzY6u6E6AdIfRxWUJEA_1_2"/>
      <w:bookmarkStart w:id="861" w:name="Tc_joGb5v19l06oUEPgsMWFQw_4_2"/>
      <w:bookmarkStart w:id="862" w:name="Tc_CyZ3btdWtk-93GXChfxmKw_4_0"/>
      <w:bookmarkStart w:id="863" w:name="Tc_fny5FgDd-0eknX4eDjA_BA_3_0"/>
      <w:bookmarkStart w:id="864" w:name="Tc_sAkyPfSikEu20VREuCZLXQ_2_2"/>
      <w:bookmarkStart w:id="865" w:name="Tc_yDNHNfglOEm_BViY9gLuNQ_1_2"/>
      <w:bookmarkStart w:id="866" w:name="_9b3dacf1_da90_4578_824c_27a041c4d2a9"/>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Pr>
          <w:rFonts w:ascii="Times New Roman;Times;serif" w:hAnsi="Times New Roman;Times;serif"/>
          <w:sz w:val="20"/>
        </w:rPr>
        <w:t>The table below presents supplemental information related to the cash flows for operating leases recorded on the condensed consolidated statements of cash flows (in thousands):</w:t>
      </w:r>
    </w:p>
    <w:p>
      <w:pPr>
        <w:pStyle w:val="TextBody"/>
        <w:spacing w:before="0" w:after="240"/>
        <w:ind w:left="0" w:right="0" w:firstLine="360"/>
        <w:rPr/>
      </w:pPr>
      <w:r>
        <w:rPr/>
        <w:t>​</w:t>
      </w:r>
    </w:p>
    <w:tbl>
      <w:tblPr>
        <w:tblW w:w="8228" w:type="dxa"/>
        <w:jc w:val="left"/>
        <w:tblInd w:w="0" w:type="dxa"/>
        <w:tblCellMar>
          <w:top w:w="0" w:type="dxa"/>
          <w:left w:w="0" w:type="dxa"/>
          <w:bottom w:w="0" w:type="dxa"/>
          <w:right w:w="0" w:type="dxa"/>
        </w:tblCellMar>
      </w:tblPr>
      <w:tblGrid>
        <w:gridCol w:w="5866"/>
        <w:gridCol w:w="326"/>
        <w:gridCol w:w="449"/>
        <w:gridCol w:w="1216"/>
        <w:gridCol w:w="371"/>
      </w:tblGrid>
      <w:tr>
        <w:trPr/>
        <w:tc>
          <w:tcPr>
            <w:tcW w:w="58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85115" cy="175260"/>
                      <wp:effectExtent l="0" t="0" r="0" b="0"/>
                      <wp:wrapNone/>
                      <wp:docPr id="154" name="Frame154"/>
                      <a:graphic xmlns:a="http://schemas.openxmlformats.org/drawingml/2006/main">
                        <a:graphicData uri="http://schemas.microsoft.com/office/word/2010/wordprocessingShape">
                          <wps:wsp>
                            <wps:cNvSpPr txBox="1"/>
                            <wps:spPr>
                              <a:xfrm>
                                <a:off x="0" y="0"/>
                                <a:ext cx="2851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772160" cy="175260"/>
                      <wp:effectExtent l="0" t="0" r="0" b="0"/>
                      <wp:wrapNone/>
                      <wp:docPr id="155" name="Frame155"/>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35585" cy="175260"/>
                      <wp:effectExtent l="0" t="0" r="0" b="0"/>
                      <wp:wrapNone/>
                      <wp:docPr id="156" name="Frame156"/>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8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371" w:type="dxa"/>
            <w:tcBorders/>
            <w:shd w:fill="auto" w:val="clear"/>
            <w:vAlign w:val="center"/>
          </w:tcPr>
          <w:p>
            <w:pPr>
              <w:pStyle w:val="TableContents"/>
              <w:spacing w:before="0" w:after="1"/>
              <w:ind w:left="0" w:right="0" w:hanging="0"/>
              <w:rPr/>
            </w:pPr>
            <w:r>
              <w:rPr/>
              <w:t>​</w:t>
            </w:r>
          </w:p>
        </w:tc>
      </w:tr>
      <w:tr>
        <w:trPr/>
        <w:tc>
          <w:tcPr>
            <w:tcW w:w="58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6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71" w:type="dxa"/>
            <w:tcBorders/>
            <w:shd w:fill="auto" w:val="clear"/>
            <w:vAlign w:val="center"/>
          </w:tcPr>
          <w:p>
            <w:pPr>
              <w:pStyle w:val="TableContents"/>
              <w:spacing w:before="0" w:after="1"/>
              <w:ind w:left="0" w:right="0" w:hanging="0"/>
              <w:rPr/>
            </w:pPr>
            <w:r>
              <w:rPr/>
              <w:t>    </w:t>
            </w:r>
          </w:p>
        </w:tc>
      </w:tr>
      <w:tr>
        <w:trPr/>
        <w:tc>
          <w:tcPr>
            <w:tcW w:w="58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spacing w:before="0" w:after="1"/>
              <w:ind w:left="0" w:right="0" w:hanging="0"/>
              <w:rPr/>
            </w:pPr>
            <w:r>
              <w:rPr/>
              <w:t>​</w:t>
            </w:r>
          </w:p>
        </w:tc>
        <w:tc>
          <w:tcPr>
            <w:tcW w:w="449" w:type="dxa"/>
            <w:tcBorders/>
            <w:shd w:fill="CCEEFF" w:val="clear"/>
            <w:vAlign w:val="center"/>
          </w:tcPr>
          <w:p>
            <w:pPr>
              <w:pStyle w:val="TableContents"/>
              <w:spacing w:before="0" w:after="1"/>
              <w:ind w:left="0" w:right="0" w:hanging="0"/>
              <w:rPr/>
            </w:pPr>
            <w:r>
              <w:rPr/>
              <w:t>​</w:t>
            </w:r>
          </w:p>
        </w:tc>
        <w:tc>
          <w:tcPr>
            <w:tcW w:w="1216" w:type="dxa"/>
            <w:tcBorders/>
            <w:shd w:fill="CCEEFF" w:val="clear"/>
            <w:vAlign w:val="center"/>
          </w:tcPr>
          <w:p>
            <w:pPr>
              <w:pStyle w:val="TableContents"/>
              <w:spacing w:before="0" w:after="1"/>
              <w:ind w:left="0" w:right="0" w:hanging="0"/>
              <w:jc w:val="right"/>
              <w:rPr/>
            </w:pPr>
            <w:r>
              <w:rPr/>
              <w:t>​</w:t>
            </w:r>
          </w:p>
        </w:tc>
        <w:tc>
          <w:tcPr>
            <w:tcW w:w="371" w:type="dxa"/>
            <w:tcBorders/>
            <w:shd w:fill="CCEEFF" w:val="clear"/>
            <w:vAlign w:val="center"/>
          </w:tcPr>
          <w:p>
            <w:pPr>
              <w:pStyle w:val="TableContents"/>
              <w:spacing w:before="0" w:after="1"/>
              <w:ind w:left="0" w:right="0" w:hanging="0"/>
              <w:rPr/>
            </w:pPr>
            <w:r>
              <w:rPr/>
              <w:t>​</w:t>
            </w:r>
          </w:p>
        </w:tc>
      </w:tr>
      <w:tr>
        <w:trPr/>
        <w:tc>
          <w:tcPr>
            <w:tcW w:w="58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shd w:fill="auto" w:val="clear"/>
            <w:vAlign w:val="center"/>
          </w:tcPr>
          <w:p>
            <w:pPr>
              <w:pStyle w:val="TableContents"/>
              <w:spacing w:before="0" w:after="1"/>
              <w:ind w:left="0" w:right="0" w:hanging="0"/>
              <w:rPr/>
            </w:pPr>
            <w:r>
              <w:rPr/>
              <w:t>​</w:t>
            </w:r>
          </w:p>
        </w:tc>
        <w:tc>
          <w:tcPr>
            <w:tcW w:w="44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1,785</w:t>
            </w:r>
          </w:p>
        </w:tc>
        <w:tc>
          <w:tcPr>
            <w:tcW w:w="371"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summarizes maturities of operating lease liabilities as of April 2, 2022 (in thousands):</w:t>
      </w:r>
    </w:p>
    <w:p>
      <w:pPr>
        <w:pStyle w:val="TextBody"/>
        <w:spacing w:before="0" w:after="240"/>
        <w:ind w:left="0" w:right="0" w:firstLine="360"/>
        <w:rPr>
          <w:highlight w:val="yellow"/>
        </w:rPr>
      </w:pPr>
      <w:r>
        <w:rPr>
          <w:highlight w:val="yellow"/>
        </w:rPr>
        <w:t>​</w:t>
      </w:r>
    </w:p>
    <w:tbl>
      <w:tblPr>
        <w:tblW w:w="4411" w:type="dxa"/>
        <w:jc w:val="left"/>
        <w:tblInd w:w="0" w:type="dxa"/>
        <w:tblCellMar>
          <w:top w:w="0" w:type="dxa"/>
          <w:left w:w="0" w:type="dxa"/>
          <w:bottom w:w="0" w:type="dxa"/>
          <w:right w:w="0" w:type="dxa"/>
        </w:tblCellMar>
      </w:tblPr>
      <w:tblGrid>
        <w:gridCol w:w="2566"/>
        <w:gridCol w:w="326"/>
        <w:gridCol w:w="319"/>
        <w:gridCol w:w="1046"/>
        <w:gridCol w:w="154"/>
      </w:tblGrid>
      <w:tr>
        <w:trPr/>
        <w:tc>
          <w:tcPr>
            <w:tcW w:w="25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2565" cy="175260"/>
                      <wp:effectExtent l="0" t="0" r="0" b="0"/>
                      <wp:wrapNone/>
                      <wp:docPr id="158" name="Frame158"/>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64210" cy="175260"/>
                      <wp:effectExtent l="0" t="0" r="0" b="0"/>
                      <wp:wrapNone/>
                      <wp:docPr id="159" name="Frame159"/>
                      <a:graphic xmlns:a="http://schemas.openxmlformats.org/drawingml/2006/main">
                        <a:graphicData uri="http://schemas.microsoft.com/office/word/2010/wordprocessingShape">
                          <wps:wsp>
                            <wps:cNvSpPr txBox="1"/>
                            <wps:spPr>
                              <a:xfrm>
                                <a:off x="0" y="0"/>
                                <a:ext cx="664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97790" cy="175260"/>
                      <wp:effectExtent l="0" t="0" r="0" b="0"/>
                      <wp:wrapNone/>
                      <wp:docPr id="160" name="Frame160"/>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3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154" w:type="dxa"/>
            <w:tcBorders/>
            <w:shd w:fill="auto" w:val="clear"/>
            <w:vAlign w:val="center"/>
          </w:tcPr>
          <w:p>
            <w:pPr>
              <w:pStyle w:val="TableContents"/>
              <w:spacing w:before="0" w:after="1"/>
              <w:ind w:left="0" w:right="0" w:hanging="0"/>
              <w:rPr/>
            </w:pPr>
            <w:r>
              <w:rPr/>
              <w:t>​</w:t>
            </w:r>
          </w:p>
        </w:tc>
      </w:tr>
      <w:tr>
        <w:trPr/>
        <w:tc>
          <w:tcPr>
            <w:tcW w:w="25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Remainder of fiscal 2022</w:t>
            </w:r>
          </w:p>
        </w:tc>
        <w:tc>
          <w:tcPr>
            <w:tcW w:w="326"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6,534</w:t>
            </w:r>
          </w:p>
        </w:tc>
        <w:tc>
          <w:tcPr>
            <w:tcW w:w="154" w:type="dxa"/>
            <w:tcBorders/>
            <w:shd w:fill="CCEEFF" w:val="clear"/>
            <w:vAlign w:val="center"/>
          </w:tcPr>
          <w:p>
            <w:pPr>
              <w:pStyle w:val="TableContents"/>
              <w:spacing w:before="0" w:after="1"/>
              <w:ind w:left="0" w:right="0" w:hanging="0"/>
              <w:rPr/>
            </w:pPr>
            <w:r>
              <w:rPr/>
              <w:t>​</w:t>
            </w:r>
          </w:p>
        </w:tc>
      </w:tr>
      <w:tr>
        <w:trPr/>
        <w:tc>
          <w:tcPr>
            <w:tcW w:w="25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1"/>
              <w:ind w:left="0" w:right="0" w:hanging="0"/>
              <w:rPr/>
            </w:pPr>
            <w:r>
              <w:rPr/>
              <w:t>​</w:t>
            </w:r>
          </w:p>
        </w:tc>
        <w:tc>
          <w:tcPr>
            <w:tcW w:w="319" w:type="dxa"/>
            <w:tcBorders/>
            <w:shd w:fill="auto" w:val="clear"/>
            <w:vAlign w:val="center"/>
          </w:tcPr>
          <w:p>
            <w:pPr>
              <w:pStyle w:val="TableContents"/>
              <w:spacing w:before="0" w:after="1"/>
              <w:ind w:left="0" w:right="0" w:hanging="0"/>
              <w:rPr/>
            </w:pPr>
            <w:r>
              <w:rPr/>
              <w:t>​</w:t>
            </w:r>
          </w:p>
        </w:tc>
        <w:tc>
          <w:tcPr>
            <w:tcW w:w="10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6,753</w:t>
            </w:r>
          </w:p>
        </w:tc>
        <w:tc>
          <w:tcPr>
            <w:tcW w:w="154" w:type="dxa"/>
            <w:tcBorders/>
            <w:shd w:fill="auto" w:val="clear"/>
            <w:vAlign w:val="center"/>
          </w:tcPr>
          <w:p>
            <w:pPr>
              <w:pStyle w:val="TableContents"/>
              <w:spacing w:before="0" w:after="1"/>
              <w:ind w:left="0" w:right="0" w:hanging="0"/>
              <w:rPr/>
            </w:pPr>
            <w:r>
              <w:rPr/>
              <w:t>​</w:t>
            </w:r>
          </w:p>
        </w:tc>
      </w:tr>
      <w:tr>
        <w:trPr/>
        <w:tc>
          <w:tcPr>
            <w:tcW w:w="25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pPr>
            <w:r>
              <w:rPr/>
              <w:t>​</w:t>
            </w:r>
          </w:p>
        </w:tc>
        <w:tc>
          <w:tcPr>
            <w:tcW w:w="10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6,155</w:t>
            </w:r>
          </w:p>
        </w:tc>
        <w:tc>
          <w:tcPr>
            <w:tcW w:w="154" w:type="dxa"/>
            <w:tcBorders/>
            <w:shd w:fill="CCEEFF" w:val="clear"/>
            <w:vAlign w:val="center"/>
          </w:tcPr>
          <w:p>
            <w:pPr>
              <w:pStyle w:val="TableContents"/>
              <w:spacing w:before="0" w:after="1"/>
              <w:ind w:left="0" w:right="0" w:hanging="0"/>
              <w:rPr/>
            </w:pPr>
            <w:r>
              <w:rPr/>
              <w:t>​</w:t>
            </w:r>
          </w:p>
        </w:tc>
      </w:tr>
      <w:tr>
        <w:trPr/>
        <w:tc>
          <w:tcPr>
            <w:tcW w:w="25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1"/>
              <w:ind w:left="0" w:right="0" w:hanging="0"/>
              <w:rPr/>
            </w:pPr>
            <w:r>
              <w:rPr/>
              <w:t>​</w:t>
            </w:r>
          </w:p>
        </w:tc>
        <w:tc>
          <w:tcPr>
            <w:tcW w:w="319" w:type="dxa"/>
            <w:tcBorders/>
            <w:shd w:fill="auto" w:val="clear"/>
            <w:vAlign w:val="center"/>
          </w:tcPr>
          <w:p>
            <w:pPr>
              <w:pStyle w:val="TableContents"/>
              <w:spacing w:before="0" w:after="1"/>
              <w:ind w:left="0" w:right="0" w:hanging="0"/>
              <w:rPr/>
            </w:pPr>
            <w:r>
              <w:rPr/>
              <w:t>​</w:t>
            </w:r>
          </w:p>
        </w:tc>
        <w:tc>
          <w:tcPr>
            <w:tcW w:w="10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5,508</w:t>
            </w:r>
          </w:p>
        </w:tc>
        <w:tc>
          <w:tcPr>
            <w:tcW w:w="154" w:type="dxa"/>
            <w:tcBorders/>
            <w:shd w:fill="auto" w:val="clear"/>
            <w:vAlign w:val="center"/>
          </w:tcPr>
          <w:p>
            <w:pPr>
              <w:pStyle w:val="TableContents"/>
              <w:spacing w:before="0" w:after="1"/>
              <w:ind w:left="0" w:right="0" w:hanging="0"/>
              <w:rPr/>
            </w:pPr>
            <w:r>
              <w:rPr/>
              <w:t>​</w:t>
            </w:r>
          </w:p>
        </w:tc>
      </w:tr>
      <w:tr>
        <w:trPr/>
        <w:tc>
          <w:tcPr>
            <w:tcW w:w="25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pPr>
            <w:r>
              <w:rPr/>
              <w:t>​</w:t>
            </w:r>
          </w:p>
        </w:tc>
        <w:tc>
          <w:tcPr>
            <w:tcW w:w="10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4,416</w:t>
            </w:r>
          </w:p>
        </w:tc>
        <w:tc>
          <w:tcPr>
            <w:tcW w:w="154" w:type="dxa"/>
            <w:tcBorders/>
            <w:shd w:fill="CCEEFF" w:val="clear"/>
            <w:vAlign w:val="center"/>
          </w:tcPr>
          <w:p>
            <w:pPr>
              <w:pStyle w:val="TableContents"/>
              <w:spacing w:before="0" w:after="1"/>
              <w:ind w:left="0" w:right="0" w:hanging="0"/>
              <w:rPr/>
            </w:pPr>
            <w:r>
              <w:rPr/>
              <w:t>​</w:t>
            </w:r>
          </w:p>
        </w:tc>
      </w:tr>
      <w:tr>
        <w:trPr/>
        <w:tc>
          <w:tcPr>
            <w:tcW w:w="25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w:t>
            </w:r>
          </w:p>
        </w:tc>
        <w:tc>
          <w:tcPr>
            <w:tcW w:w="31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10,386</w:t>
            </w:r>
          </w:p>
        </w:tc>
        <w:tc>
          <w:tcPr>
            <w:tcW w:w="154" w:type="dxa"/>
            <w:tcBorders/>
            <w:shd w:fill="auto" w:val="clear"/>
            <w:vAlign w:val="center"/>
          </w:tcPr>
          <w:p>
            <w:pPr>
              <w:pStyle w:val="TableContents"/>
              <w:spacing w:before="0" w:after="1"/>
              <w:ind w:left="0" w:right="0" w:hanging="0"/>
              <w:rPr/>
            </w:pPr>
            <w:r>
              <w:rPr/>
              <w:t>​</w:t>
            </w:r>
          </w:p>
        </w:tc>
      </w:tr>
      <w:tr>
        <w:trPr/>
        <w:tc>
          <w:tcPr>
            <w:tcW w:w="25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pPr>
            <w:r>
              <w:rPr/>
              <w:t>​</w:t>
            </w:r>
          </w:p>
        </w:tc>
        <w:tc>
          <w:tcPr>
            <w:tcW w:w="10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39,752</w:t>
            </w:r>
          </w:p>
        </w:tc>
        <w:tc>
          <w:tcPr>
            <w:tcW w:w="154" w:type="dxa"/>
            <w:tcBorders/>
            <w:shd w:fill="CCEEFF" w:val="clear"/>
            <w:vAlign w:val="center"/>
          </w:tcPr>
          <w:p>
            <w:pPr>
              <w:pStyle w:val="TableContents"/>
              <w:spacing w:before="0" w:after="1"/>
              <w:ind w:left="0" w:right="0" w:hanging="0"/>
              <w:rPr/>
            </w:pPr>
            <w:r>
              <w:rPr/>
              <w:t>​</w:t>
            </w:r>
          </w:p>
        </w:tc>
      </w:tr>
      <w:tr>
        <w:trPr/>
        <w:tc>
          <w:tcPr>
            <w:tcW w:w="25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Interest</w:t>
            </w:r>
          </w:p>
        </w:tc>
        <w:tc>
          <w:tcPr>
            <w:tcW w:w="326" w:type="dxa"/>
            <w:tcBorders/>
            <w:shd w:fill="auto" w:val="clear"/>
            <w:vAlign w:val="center"/>
          </w:tcPr>
          <w:p>
            <w:pPr>
              <w:pStyle w:val="TableContents"/>
              <w:spacing w:before="0" w:after="1"/>
              <w:ind w:left="0" w:right="0" w:hanging="0"/>
              <w:rPr/>
            </w:pPr>
            <w:r>
              <w:rPr/>
              <w:t>​</w:t>
            </w:r>
          </w:p>
        </w:tc>
        <w:tc>
          <w:tcPr>
            <w:tcW w:w="31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(5,937)</w:t>
            </w:r>
          </w:p>
        </w:tc>
        <w:tc>
          <w:tcPr>
            <w:tcW w:w="154" w:type="dxa"/>
            <w:tcBorders/>
            <w:shd w:fill="auto" w:val="clear"/>
            <w:vAlign w:val="center"/>
          </w:tcPr>
          <w:p>
            <w:pPr>
              <w:pStyle w:val="TableContents"/>
              <w:spacing w:before="0" w:after="1"/>
              <w:ind w:left="0" w:right="0" w:hanging="0"/>
              <w:rPr/>
            </w:pPr>
            <w:r>
              <w:rPr/>
              <w:t>​</w:t>
            </w:r>
          </w:p>
        </w:tc>
      </w:tr>
      <w:tr>
        <w:trPr/>
        <w:tc>
          <w:tcPr>
            <w:tcW w:w="25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Present value of lease liability</w:t>
            </w:r>
          </w:p>
        </w:tc>
        <w:tc>
          <w:tcPr>
            <w:tcW w:w="326" w:type="dxa"/>
            <w:tcBorders/>
            <w:shd w:fill="CCEEFF" w:val="clear"/>
            <w:vAlign w:val="center"/>
          </w:tcPr>
          <w:p>
            <w:pPr>
              <w:pStyle w:val="TableContents"/>
              <w:spacing w:before="0" w:after="1"/>
              <w:ind w:left="0" w:right="0" w:hanging="0"/>
              <w:rPr/>
            </w:pPr>
            <w:r>
              <w:rPr/>
              <w:t>​</w:t>
            </w:r>
          </w:p>
        </w:tc>
        <w:tc>
          <w:tcPr>
            <w:tcW w:w="31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33,815</w:t>
            </w:r>
          </w:p>
        </w:tc>
        <w:tc>
          <w:tcPr>
            <w:tcW w:w="154"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rPr>
          <w:highlight w:val="yellow"/>
        </w:rPr>
      </w:pPr>
      <w:r>
        <w:rPr>
          <w:highlight w:val="yellow"/>
        </w:rPr>
        <w:t>​</w:t>
      </w:r>
    </w:p>
    <w:p>
      <w:pPr>
        <w:pStyle w:val="TextBody"/>
        <w:spacing w:before="0" w:after="240"/>
        <w:ind w:left="0" w:right="0" w:firstLine="360"/>
        <w:rPr>
          <w:highlight w:val="yellow"/>
        </w:rPr>
      </w:pPr>
      <w:r>
        <w:rPr>
          <w:highlight w:val="yellow"/>
        </w:rPr>
        <w:t>​</w:t>
      </w:r>
    </w:p>
    <w:p>
      <w:pPr>
        <w:pStyle w:val="TextBody"/>
        <w:spacing w:before="0" w:after="240"/>
        <w:ind w:left="0" w:right="0" w:hanging="0"/>
        <w:rPr>
          <w:rFonts w:ascii="Times New Roman;Times;serif" w:hAnsi="Times New Roman;Times;serif"/>
          <w:b/>
          <w:sz w:val="20"/>
        </w:rPr>
      </w:pPr>
      <w:bookmarkStart w:id="867" w:name="Tc_NPpwYW7vHkOO6no8EoUK3A_6_5"/>
      <w:bookmarkStart w:id="868" w:name="Tc_BsSRWn2RgE2phb-PWLLARQ_6_2"/>
      <w:bookmarkStart w:id="869" w:name="Tc_3SLysEB4N06IfYY3kNOZwQ_5_0"/>
      <w:bookmarkStart w:id="870" w:name="Tc_QYycpG0g4UODHoQxRqswJg_4_0"/>
      <w:bookmarkStart w:id="871" w:name="Tc_OG-JwCyyFkqBPB7VAHqgNg_3_5"/>
      <w:bookmarkStart w:id="872" w:name="Tc_ofmEQVo6okyBgPh5H22Nig_3_2"/>
      <w:bookmarkStart w:id="873" w:name="Tc_IbXrpSI7UkG2nM8igSjngw_3_0"/>
      <w:bookmarkStart w:id="874" w:name="Tc_yar4RSvi40KZMkjRZ1tbAg_2_5"/>
      <w:bookmarkStart w:id="875" w:name="Tc_f0afz0q3aEWpg0XSNhfmDQ_2_2"/>
      <w:bookmarkStart w:id="876" w:name="Tc_PhsA0JA68U-0ZhGRKcDqSg_1_2"/>
      <w:bookmarkStart w:id="877" w:name="_ade3beae_a49c_494f_96bb_7a99869258c1"/>
      <w:bookmarkEnd w:id="867"/>
      <w:bookmarkEnd w:id="868"/>
      <w:bookmarkEnd w:id="869"/>
      <w:bookmarkEnd w:id="870"/>
      <w:bookmarkEnd w:id="871"/>
      <w:bookmarkEnd w:id="872"/>
      <w:bookmarkEnd w:id="873"/>
      <w:bookmarkEnd w:id="874"/>
      <w:bookmarkEnd w:id="875"/>
      <w:bookmarkEnd w:id="876"/>
      <w:bookmarkEnd w:id="877"/>
      <w:r>
        <w:rPr>
          <w:rFonts w:ascii="Times New Roman;Times;serif" w:hAnsi="Times New Roman;Times;serif"/>
          <w:b/>
          <w:sz w:val="20"/>
        </w:rPr>
        <w:t>10. NET SALES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sets forth the Company’s disaggregation of net sales by product line (in thousands):</w:t>
      </w:r>
    </w:p>
    <w:p>
      <w:pPr>
        <w:pStyle w:val="TextBody"/>
        <w:spacing w:before="0" w:after="240"/>
        <w:ind w:left="0" w:right="0" w:firstLine="360"/>
        <w:rPr/>
      </w:pPr>
      <w:r>
        <w:rPr/>
        <w:t>​</w:t>
      </w:r>
    </w:p>
    <w:tbl>
      <w:tblPr>
        <w:tblW w:w="5060" w:type="dxa"/>
        <w:jc w:val="left"/>
        <w:tblInd w:w="0" w:type="dxa"/>
        <w:tblCellMar>
          <w:top w:w="0" w:type="dxa"/>
          <w:left w:w="0" w:type="dxa"/>
          <w:bottom w:w="0" w:type="dxa"/>
          <w:right w:w="0" w:type="dxa"/>
        </w:tblCellMar>
      </w:tblPr>
      <w:tblGrid>
        <w:gridCol w:w="2341"/>
        <w:gridCol w:w="109"/>
        <w:gridCol w:w="226"/>
        <w:gridCol w:w="839"/>
        <w:gridCol w:w="326"/>
        <w:gridCol w:w="226"/>
        <w:gridCol w:w="839"/>
        <w:gridCol w:w="154"/>
      </w:tblGrid>
      <w:tr>
        <w:trPr/>
        <w:tc>
          <w:tcPr>
            <w:tcW w:w="23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43510" cy="175260"/>
                      <wp:effectExtent l="0" t="0" r="0" b="0"/>
                      <wp:wrapNone/>
                      <wp:docPr id="162" name="Frame162"/>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32765" cy="175260"/>
                      <wp:effectExtent l="0" t="0" r="0" b="0"/>
                      <wp:wrapNone/>
                      <wp:docPr id="163" name="Frame163"/>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43510" cy="175260"/>
                      <wp:effectExtent l="0" t="0" r="0" b="0"/>
                      <wp:wrapNone/>
                      <wp:docPr id="165" name="Frame165"/>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32765" cy="175260"/>
                      <wp:effectExtent l="0" t="0" r="0" b="0"/>
                      <wp:wrapNone/>
                      <wp:docPr id="166" name="Frame166"/>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97790" cy="175260"/>
                      <wp:effectExtent l="0" t="0" r="0" b="0"/>
                      <wp:wrapNone/>
                      <wp:docPr id="167" name="Frame167"/>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5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54" w:type="dxa"/>
            <w:tcBorders/>
            <w:shd w:fill="auto" w:val="clear"/>
            <w:vAlign w:val="center"/>
          </w:tcPr>
          <w:p>
            <w:pPr>
              <w:pStyle w:val="TableContents"/>
              <w:spacing w:before="0" w:after="0"/>
              <w:ind w:left="0" w:right="0" w:hanging="0"/>
              <w:rPr/>
            </w:pPr>
            <w:r>
              <w:rPr/>
              <w:t>​</w:t>
            </w:r>
          </w:p>
        </w:tc>
      </w:tr>
      <w:tr>
        <w:trPr/>
        <w:tc>
          <w:tcPr>
            <w:tcW w:w="23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2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 2021</w:t>
            </w:r>
          </w:p>
        </w:tc>
        <w:tc>
          <w:tcPr>
            <w:tcW w:w="154" w:type="dxa"/>
            <w:tcBorders/>
            <w:shd w:fill="auto" w:val="clear"/>
            <w:vAlign w:val="center"/>
          </w:tcPr>
          <w:p>
            <w:pPr>
              <w:pStyle w:val="TableContents"/>
              <w:spacing w:before="0" w:after="0"/>
              <w:ind w:left="0" w:right="0" w:hanging="0"/>
              <w:rPr/>
            </w:pPr>
            <w:r>
              <w:rPr/>
              <w:t>​</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In-ground Swimming Pools</w:t>
            </w:r>
          </w:p>
        </w:tc>
        <w:tc>
          <w:tcPr>
            <w:tcW w:w="109"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111,803</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93,643</w:t>
            </w:r>
          </w:p>
        </w:tc>
        <w:tc>
          <w:tcPr>
            <w:tcW w:w="154" w:type="dxa"/>
            <w:tcBorders/>
            <w:shd w:fill="CCEEFF" w:val="clear"/>
            <w:vAlign w:val="center"/>
          </w:tcPr>
          <w:p>
            <w:pPr>
              <w:pStyle w:val="TableContents"/>
              <w:spacing w:before="0" w:after="0"/>
              <w:ind w:left="0" w:right="0" w:hanging="0"/>
              <w:rPr/>
            </w:pPr>
            <w:r>
              <w:rPr/>
              <w:t>​</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Covers</w:t>
            </w:r>
          </w:p>
        </w:tc>
        <w:tc>
          <w:tcPr>
            <w:tcW w:w="109"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32,525</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24,006</w:t>
            </w:r>
          </w:p>
        </w:tc>
        <w:tc>
          <w:tcPr>
            <w:tcW w:w="154" w:type="dxa"/>
            <w:tcBorders/>
            <w:shd w:fill="auto" w:val="clear"/>
            <w:vAlign w:val="center"/>
          </w:tcPr>
          <w:p>
            <w:pPr>
              <w:pStyle w:val="TableContents"/>
              <w:spacing w:before="0" w:after="0"/>
              <w:ind w:left="0" w:right="0" w:hanging="0"/>
              <w:rPr/>
            </w:pPr>
            <w:r>
              <w:rPr/>
              <w:t>​</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Liners</w:t>
            </w:r>
          </w:p>
        </w:tc>
        <w:tc>
          <w:tcPr>
            <w:tcW w:w="109"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47,286</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31,097</w:t>
            </w:r>
          </w:p>
        </w:tc>
        <w:tc>
          <w:tcPr>
            <w:tcW w:w="154" w:type="dxa"/>
            <w:tcBorders/>
            <w:shd w:fill="CCEEFF" w:val="clear"/>
            <w:vAlign w:val="center"/>
          </w:tcPr>
          <w:p>
            <w:pPr>
              <w:pStyle w:val="TableContents"/>
              <w:spacing w:before="0" w:after="0"/>
              <w:ind w:left="0" w:right="0" w:hanging="0"/>
              <w:rPr/>
            </w:pPr>
            <w:r>
              <w:rPr/>
              <w:t>​</w:t>
            </w:r>
          </w:p>
        </w:tc>
      </w:tr>
      <w:tr>
        <w:trPr/>
        <w:tc>
          <w:tcPr>
            <w:tcW w:w="23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191,614</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148,746</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firstLine="720"/>
        <w:rPr/>
      </w:pPr>
      <w:r>
        <w:rPr/>
        <w:t>​</w:t>
      </w:r>
    </w:p>
    <w:p>
      <w:pPr>
        <w:pStyle w:val="TextBody"/>
        <w:spacing w:before="0" w:after="0"/>
        <w:ind w:left="0" w:right="0" w:firstLine="720"/>
        <w:rPr/>
      </w:pPr>
      <w:r>
        <w:rPr/>
        <w:t>​</w:t>
      </w:r>
    </w:p>
    <w:p>
      <w:pPr>
        <w:pStyle w:val="TextBody"/>
        <w:spacing w:before="0" w:after="0"/>
        <w:ind w:left="0" w:right="0" w:firstLine="720"/>
        <w:rPr/>
      </w:pPr>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11. INCOME TAXES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effective income tax rate for the fiscal quarter ended April 2, 2022 was 215.1%, compared to 25.3% for the fiscal quarter ended April 3, 2021. The difference between the U.S. federal statutory income tax rate and the Company’s effective income tax rate for the fiscal quarter ended April 2, 2022 was primarily attributable to the discrete impact of stock compensation expense for which there is no associated tax benefit. The difference between the U.S. federal statutory income tax rate and the Company’s effective income tax rate for the fiscal quarter ended April 3, 2021 was impacted by a variety of factors, primarily the impact of state taxes.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12. STOCK-BASED COMPENSATION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April 12, 2021, the Company’s stockholders approved the 2021 Omnibus Incentive Plan (the “Omnibus Incentive Plan”), which became effective on April 22, 2021, upon pricing of the IPO. The Omnibus Incentive Plan provides for the issuance of incentive stock options, non-qualified stock options, stock appreciation rights, restricted stock, restricted stock units and other stock-based and cash-based awards. The maximum aggregate number of shares reserved for issuance under the Omnibus Incentive Plan is 13,170,212 shares. The maximum grant date fair value of cash and equity awards that may be awarded to a non-employee director under the Omnibus Incentive Plan during any one fiscal year, together with any cash fees paid to such non-employee director during such fiscal year, is $750,000.</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Stock-based compensation expense for the fiscal quarters ended April 2, 2022 and April 3, 2021 was $16.9 million and $1.5 million, respectively. Stock-based compensation expense of $1.2 million and $15.7 was recorded in cost of sales and selling, general and administrative expense, respectively, for the fiscal quarter ended April 2, 2022. Stock-based compensation expense for the fiscal quarter ended April 3, 2021 was recorded in selling, general and administrative expense on the condensed consolidated statements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878" w:name="Tc_St8IIJsPR0W66v2_ykdCXg_8_4"/>
      <w:bookmarkStart w:id="879" w:name="Tc_cpcZtxeFyk60-N1i-9vN_A_8_0"/>
      <w:bookmarkStart w:id="880" w:name="Tc_9fZFMBibvE61Z32d6EVOSA_7_0"/>
      <w:bookmarkStart w:id="881" w:name="Tc_IgtgHCKNNkOnN3mBy45VSg_6_0"/>
      <w:bookmarkStart w:id="882" w:name="Tc_gMDz5l6uMky0siV9it-U4A_5_0"/>
      <w:bookmarkStart w:id="883" w:name="Tc_RgdD5I3wm0ifOX4DwjZYLg_4_4"/>
      <w:bookmarkStart w:id="884" w:name="Tc_NJRmdEZozkynNTYLXvvnvQ_4_0"/>
      <w:bookmarkStart w:id="885" w:name="Tc_RRejVW6LwEeIQ_EfH1fPAA_3_4"/>
      <w:bookmarkStart w:id="886" w:name="Tc_3FDDgf-w6UiiQRCQdCCpSg_3_2"/>
      <w:bookmarkStart w:id="887" w:name="Tc_gZicirT8d0-n7DznnohIsA_2_4"/>
      <w:bookmarkStart w:id="888" w:name="Tc_FkHUCo4FTE60NDRCc-q9_g_1_4"/>
      <w:bookmarkStart w:id="889" w:name="_4b0d2638_3068_4f4e_9b45_b62cce3d4cb0"/>
      <w:bookmarkStart w:id="890" w:name="Tc_6nMEioVXKkCovuvTOmZgqw_8_4"/>
      <w:bookmarkStart w:id="891" w:name="Tc_gOf-I1wCX0epYHaoHDDAkQ_8_0"/>
      <w:bookmarkStart w:id="892" w:name="Tc_oWmb_AXIzUGiFQkahvgksg_7_0"/>
      <w:bookmarkStart w:id="893" w:name="Tc_fk6JvElZ00-8BvLh8eFMGw_6_0"/>
      <w:bookmarkStart w:id="894" w:name="Tc_VMA68wrhgkOluvDf62k-WQ_5_0"/>
      <w:bookmarkStart w:id="895" w:name="Tc_svCoIb5vSUaR5QqYi4O9WQ_4_4"/>
      <w:bookmarkStart w:id="896" w:name="Tc_a8Qt5QwaV0a4W6zxwfPvfA_4_0"/>
      <w:bookmarkStart w:id="897" w:name="Tc_AqEAnKdT50aqdJv1W5nhUw_3_4"/>
      <w:bookmarkStart w:id="898" w:name="Tc_TQsKDdSfnUKuO8-Y9o6TvA_3_2"/>
      <w:bookmarkStart w:id="899" w:name="Tc_OVYOHI9lYUWpKr7D5ZE4Xw_2_4"/>
      <w:bookmarkStart w:id="900" w:name="Tc_M1yXFr-q70qM6MbXN4FeRw_1_4"/>
      <w:bookmarkStart w:id="901" w:name="_99138d50_82ad_466a_b926_b1a238ff273a"/>
      <w:bookmarkStart w:id="902" w:name="Tc_9rsSF7cJvEOG_kT6d93D-w_6_3"/>
      <w:bookmarkStart w:id="903" w:name="Tc_CxFZJRWUSUKde0tIDt-Jfg_6_0"/>
      <w:bookmarkStart w:id="904" w:name="Tc_jYclqCMSnUavzPw2l20g0g_5_0"/>
      <w:bookmarkStart w:id="905" w:name="Tc_8_7iT9DmYky8tgMIuPKWsg_4_3"/>
      <w:bookmarkStart w:id="906" w:name="Tc_6eACJKKc9kuMinhEAE93fg_4_0"/>
      <w:bookmarkStart w:id="907" w:name="Tc_kA9xvMktd0yTmVBF2PFR8w_3_3"/>
      <w:bookmarkStart w:id="908" w:name="Tc_y0-jiU4u8Eqg71e5qlYp8Q_3_0"/>
      <w:bookmarkStart w:id="909" w:name="Tc_mGSwqUzk_UmvBDCn_vJzYw_2_2"/>
      <w:bookmarkStart w:id="910" w:name="Tc_A59qTIxzpkuY4jC9GxxXww_1_2"/>
      <w:bookmarkStart w:id="911" w:name="_a0392439_e79c_48f4_b4c9_83e71f7a6e1e"/>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r>
        <w:rPr>
          <w:rFonts w:ascii="Times New Roman;Times;serif" w:hAnsi="Times New Roman;Times;serif"/>
          <w:sz w:val="20"/>
        </w:rPr>
        <w:t>operations. As of April 2, 2022, total unrecognized stock-based compensation expense related to all unvested stock-based awards was $64.1 million, which is expected to be recognized over a weighted-average period of 1.45 years.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sets forth the significant assumptions used in the Black-Scholes option-pricing model on a weighted-average basis to determine the fair value of option awards granted:</w:t>
      </w:r>
    </w:p>
    <w:p>
      <w:pPr>
        <w:pStyle w:val="TextBody"/>
        <w:spacing w:before="0" w:after="240"/>
        <w:ind w:left="0" w:right="0" w:firstLine="360"/>
        <w:rPr/>
      </w:pPr>
      <w:r>
        <w:rPr/>
        <w:t>​</w:t>
      </w:r>
    </w:p>
    <w:tbl>
      <w:tblPr>
        <w:tblW w:w="4259" w:type="dxa"/>
        <w:jc w:val="left"/>
        <w:tblInd w:w="0" w:type="dxa"/>
        <w:tblCellMar>
          <w:top w:w="0" w:type="dxa"/>
          <w:left w:w="0" w:type="dxa"/>
          <w:bottom w:w="0" w:type="dxa"/>
          <w:right w:w="0" w:type="dxa"/>
        </w:tblCellMar>
      </w:tblPr>
      <w:tblGrid>
        <w:gridCol w:w="2131"/>
        <w:gridCol w:w="146"/>
        <w:gridCol w:w="1666"/>
        <w:gridCol w:w="316"/>
      </w:tblGrid>
      <w:tr>
        <w:trPr/>
        <w:tc>
          <w:tcPr>
            <w:tcW w:w="2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53185" cy="175260"/>
                      <wp:effectExtent l="0" t="0" r="0" b="0"/>
                      <wp:wrapNone/>
                      <wp:docPr id="168" name="Frame168"/>
                      <a:graphic xmlns:a="http://schemas.openxmlformats.org/drawingml/2006/main">
                        <a:graphicData uri="http://schemas.microsoft.com/office/word/2010/wordprocessingShape">
                          <wps:wsp>
                            <wps:cNvSpPr txBox="1"/>
                            <wps:spPr>
                              <a:xfrm>
                                <a:off x="0" y="0"/>
                                <a:ext cx="1353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92710" cy="175260"/>
                      <wp:effectExtent l="0" t="0" r="0" b="0"/>
                      <wp:wrapNone/>
                      <wp:docPr id="169" name="Frame16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057910" cy="175260"/>
                      <wp:effectExtent l="0" t="0" r="0" b="0"/>
                      <wp:wrapNone/>
                      <wp:docPr id="170" name="Frame170"/>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0660" cy="175260"/>
                      <wp:effectExtent l="0" t="0" r="0" b="0"/>
                      <wp:wrapNone/>
                      <wp:docPr id="171" name="Frame171"/>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31"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16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316" w:type="dxa"/>
            <w:tcBorders/>
            <w:shd w:fill="auto" w:val="clear"/>
            <w:vAlign w:val="center"/>
          </w:tcPr>
          <w:p>
            <w:pPr>
              <w:pStyle w:val="TableContents"/>
              <w:spacing w:before="0" w:after="1"/>
              <w:ind w:left="0" w:right="0" w:hanging="0"/>
              <w:jc w:val="center"/>
              <w:rPr/>
            </w:pPr>
            <w:r>
              <w:rPr/>
              <w:t>​</w:t>
            </w:r>
          </w:p>
        </w:tc>
      </w:tr>
      <w:tr>
        <w:trPr/>
        <w:tc>
          <w:tcPr>
            <w:tcW w:w="2131"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16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16" w:type="dxa"/>
            <w:tcBorders/>
            <w:shd w:fill="auto" w:val="clear"/>
            <w:vAlign w:val="center"/>
          </w:tcPr>
          <w:p>
            <w:pPr>
              <w:pStyle w:val="TableContents"/>
              <w:spacing w:before="0" w:after="1"/>
              <w:ind w:left="0" w:right="0" w:hanging="0"/>
              <w:jc w:val="center"/>
              <w:rPr/>
            </w:pPr>
            <w:r>
              <w:rPr/>
              <w:t> </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interest rate</w:t>
            </w:r>
          </w:p>
        </w:tc>
        <w:tc>
          <w:tcPr>
            <w:tcW w:w="146" w:type="dxa"/>
            <w:tcBorders/>
            <w:shd w:fill="CCEEFF" w:val="clear"/>
            <w:vAlign w:val="center"/>
          </w:tcPr>
          <w:p>
            <w:pPr>
              <w:pStyle w:val="TableContents"/>
              <w:spacing w:before="0" w:after="1"/>
              <w:ind w:left="0" w:right="0" w:hanging="0"/>
              <w:rPr/>
            </w:pPr>
            <w:r>
              <w:rPr/>
              <w:t> </w:t>
            </w:r>
          </w:p>
        </w:tc>
        <w:tc>
          <w:tcPr>
            <w:tcW w:w="16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volatility</w:t>
            </w:r>
          </w:p>
        </w:tc>
        <w:tc>
          <w:tcPr>
            <w:tcW w:w="146" w:type="dxa"/>
            <w:tcBorders/>
            <w:shd w:fill="auto" w:val="clear"/>
            <w:vAlign w:val="center"/>
          </w:tcPr>
          <w:p>
            <w:pPr>
              <w:pStyle w:val="TableContents"/>
              <w:spacing w:before="0" w:after="1"/>
              <w:ind w:left="0" w:right="0" w:hanging="0"/>
              <w:rPr/>
            </w:pPr>
            <w:r>
              <w:rPr/>
              <w:t> </w:t>
            </w:r>
          </w:p>
        </w:tc>
        <w:tc>
          <w:tcPr>
            <w:tcW w:w="16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39.80</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 (in years)</w:t>
            </w:r>
          </w:p>
        </w:tc>
        <w:tc>
          <w:tcPr>
            <w:tcW w:w="146" w:type="dxa"/>
            <w:tcBorders/>
            <w:shd w:fill="CCEEFF" w:val="clear"/>
            <w:vAlign w:val="center"/>
          </w:tcPr>
          <w:p>
            <w:pPr>
              <w:pStyle w:val="TableContents"/>
              <w:spacing w:before="0" w:after="1"/>
              <w:ind w:left="0" w:right="0" w:hanging="0"/>
              <w:rPr/>
            </w:pPr>
            <w:r>
              <w:rPr/>
              <w:t> </w:t>
            </w:r>
          </w:p>
        </w:tc>
        <w:tc>
          <w:tcPr>
            <w:tcW w:w="16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c>
          <w:tcPr>
            <w:tcW w:w="316" w:type="dxa"/>
            <w:tcBorders/>
            <w:shd w:fill="CCEEFF" w:val="clear"/>
            <w:vAlign w:val="center"/>
          </w:tcPr>
          <w:p>
            <w:pPr>
              <w:pStyle w:val="TableContents"/>
              <w:spacing w:before="0" w:after="1"/>
              <w:ind w:left="0" w:right="0" w:hanging="0"/>
              <w:rPr/>
            </w:pPr>
            <w:r>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146" w:type="dxa"/>
            <w:tcBorders/>
            <w:shd w:fill="auto" w:val="clear"/>
            <w:vAlign w:val="center"/>
          </w:tcPr>
          <w:p>
            <w:pPr>
              <w:pStyle w:val="TableContents"/>
              <w:spacing w:before="0" w:after="1"/>
              <w:ind w:left="0" w:right="0" w:hanging="0"/>
              <w:rPr/>
            </w:pPr>
            <w:r>
              <w:rPr/>
              <w:t> </w:t>
            </w:r>
          </w:p>
        </w:tc>
        <w:tc>
          <w:tcPr>
            <w:tcW w:w="16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Restricted Stock Awards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represents the Company’s restricted stock awards activity during the fiscal quarter ended April 2, 2022:</w:t>
      </w:r>
    </w:p>
    <w:p>
      <w:pPr>
        <w:pStyle w:val="TextBody"/>
        <w:spacing w:before="0" w:after="240"/>
        <w:ind w:left="0" w:right="0" w:firstLine="360"/>
        <w:rPr/>
      </w:pPr>
      <w:r>
        <w:rPr/>
        <w:t>​</w:t>
      </w:r>
    </w:p>
    <w:tbl>
      <w:tblPr>
        <w:tblW w:w="5560" w:type="dxa"/>
        <w:jc w:val="left"/>
        <w:tblInd w:w="0" w:type="dxa"/>
        <w:tblCellMar>
          <w:top w:w="0" w:type="dxa"/>
          <w:left w:w="0" w:type="dxa"/>
          <w:bottom w:w="0" w:type="dxa"/>
          <w:right w:w="0" w:type="dxa"/>
        </w:tblCellMar>
      </w:tblPr>
      <w:tblGrid>
        <w:gridCol w:w="2656"/>
        <w:gridCol w:w="326"/>
        <w:gridCol w:w="931"/>
        <w:gridCol w:w="326"/>
        <w:gridCol w:w="309"/>
        <w:gridCol w:w="1012"/>
      </w:tblGrid>
      <w:tr>
        <w:trPr/>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686560" cy="175260"/>
                      <wp:effectExtent l="0" t="0" r="0" b="0"/>
                      <wp:wrapNone/>
                      <wp:docPr id="172" name="Frame172"/>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91185" cy="175260"/>
                      <wp:effectExtent l="0" t="0" r="0" b="0"/>
                      <wp:wrapNone/>
                      <wp:docPr id="174" name="Frame17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96215" cy="175260"/>
                      <wp:effectExtent l="0" t="0" r="0" b="0"/>
                      <wp:wrapNone/>
                      <wp:docPr id="176" name="Frame176"/>
                      <a:graphic xmlns:a="http://schemas.openxmlformats.org/drawingml/2006/main">
                        <a:graphicData uri="http://schemas.microsoft.com/office/word/2010/wordprocessingShape">
                          <wps:wsp>
                            <wps:cNvSpPr txBox="1"/>
                            <wps:spPr>
                              <a:xfrm>
                                <a:off x="0" y="0"/>
                                <a:ext cx="196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2620" cy="175260"/>
                      <wp:effectExtent l="0" t="0" r="0" b="0"/>
                      <wp:wrapNone/>
                      <wp:docPr id="177" name="Frame177"/>
                      <a:graphic xmlns:a="http://schemas.openxmlformats.org/drawingml/2006/main">
                        <a:graphicData uri="http://schemas.microsoft.com/office/word/2010/wordprocessingShape">
                          <wps:wsp>
                            <wps:cNvSpPr txBox="1"/>
                            <wps:spPr>
                              <a:xfrm>
                                <a:off x="0" y="0"/>
                                <a:ext cx="6426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3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3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2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    </w:t>
            </w:r>
          </w:p>
        </w:tc>
        <w:tc>
          <w:tcPr>
            <w:tcW w:w="13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January 1, 2022</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5,803,124</w:t>
            </w:r>
          </w:p>
        </w:tc>
        <w:tc>
          <w:tcPr>
            <w:tcW w:w="326" w:type="dxa"/>
            <w:tcBorders/>
            <w:shd w:fill="CCEEFF" w:val="clear"/>
            <w:vAlign w:val="center"/>
          </w:tcPr>
          <w:p>
            <w:pPr>
              <w:pStyle w:val="TableContents"/>
              <w:spacing w:before="0" w:after="1"/>
              <w:ind w:left="0" w:right="0" w:hanging="0"/>
              <w:rPr/>
            </w:pPr>
            <w:r>
              <w:rPr/>
              <w:t>​</w:t>
            </w:r>
          </w:p>
        </w:tc>
        <w:tc>
          <w:tcPr>
            <w:tcW w:w="3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19.00</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auto" w:val="clear"/>
            <w:vAlign w:val="center"/>
          </w:tcPr>
          <w:p>
            <w:pPr>
              <w:pStyle w:val="TableContents"/>
              <w:spacing w:before="0" w:after="1"/>
              <w:ind w:left="0" w:right="0" w:hanging="0"/>
              <w:rPr/>
            </w:pPr>
            <w:r>
              <w:rPr/>
              <w:t>​</w:t>
            </w:r>
          </w:p>
        </w:tc>
        <w:tc>
          <w:tcPr>
            <w:tcW w:w="309" w:type="dxa"/>
            <w:tcBorders/>
            <w:shd w:fill="auto" w:val="clear"/>
            <w:vAlign w:val="center"/>
          </w:tcPr>
          <w:p>
            <w:pPr>
              <w:pStyle w:val="TableContents"/>
              <w:spacing w:before="0" w:after="1"/>
              <w:ind w:left="0" w:right="0" w:hanging="0"/>
              <w:rPr/>
            </w:pPr>
            <w:r>
              <w:rPr/>
              <w:t> </w:t>
            </w:r>
          </w:p>
        </w:tc>
        <w:tc>
          <w:tcPr>
            <w:tcW w:w="1012"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spacing w:before="0" w:after="1"/>
              <w:ind w:left="0" w:right="0" w:hanging="0"/>
              <w:rPr/>
            </w:pPr>
            <w:r>
              <w:rPr/>
              <w:t>​</w:t>
            </w:r>
          </w:p>
        </w:tc>
        <w:tc>
          <w:tcPr>
            <w:tcW w:w="309" w:type="dxa"/>
            <w:tcBorders/>
            <w:shd w:fill="CCEEFF" w:val="clear"/>
            <w:vAlign w:val="center"/>
          </w:tcPr>
          <w:p>
            <w:pPr>
              <w:pStyle w:val="TableContents"/>
              <w:spacing w:before="0" w:after="1"/>
              <w:ind w:left="0" w:right="0" w:hanging="0"/>
              <w:rPr/>
            </w:pPr>
            <w:r>
              <w:rPr/>
              <w:t> </w:t>
            </w:r>
          </w:p>
        </w:tc>
        <w:tc>
          <w:tcPr>
            <w:tcW w:w="1012"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(53,961)</w:t>
            </w:r>
          </w:p>
        </w:tc>
        <w:tc>
          <w:tcPr>
            <w:tcW w:w="326" w:type="dxa"/>
            <w:tcBorders/>
            <w:shd w:fill="auto" w:val="clear"/>
            <w:vAlign w:val="center"/>
          </w:tcPr>
          <w:p>
            <w:pPr>
              <w:pStyle w:val="TableContents"/>
              <w:spacing w:before="0" w:after="1"/>
              <w:ind w:left="0" w:right="0" w:hanging="0"/>
              <w:rPr/>
            </w:pPr>
            <w:r>
              <w:rPr/>
              <w:t>​</w:t>
            </w:r>
          </w:p>
        </w:tc>
        <w:tc>
          <w:tcPr>
            <w:tcW w:w="30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1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19.00</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April 2, 2022</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5,749,163</w:t>
            </w:r>
          </w:p>
        </w:tc>
        <w:tc>
          <w:tcPr>
            <w:tcW w:w="326" w:type="dxa"/>
            <w:tcBorders/>
            <w:shd w:fill="CCEEFF" w:val="clear"/>
            <w:vAlign w:val="center"/>
          </w:tcPr>
          <w:p>
            <w:pPr>
              <w:pStyle w:val="TableContents"/>
              <w:spacing w:before="0" w:after="1"/>
              <w:ind w:left="0" w:right="0" w:hanging="0"/>
              <w:rPr/>
            </w:pPr>
            <w:r>
              <w:rPr/>
              <w:t>​</w:t>
            </w:r>
          </w:p>
        </w:tc>
        <w:tc>
          <w:tcPr>
            <w:tcW w:w="30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19.00</w:t>
            </w:r>
          </w:p>
        </w:tc>
      </w:tr>
    </w:tbl>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Restricted Stock Units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represents the Company’s restricted stock units activity during the fiscal quarter ended April 2, 2022:</w:t>
      </w:r>
    </w:p>
    <w:p>
      <w:pPr>
        <w:pStyle w:val="TextBody"/>
        <w:spacing w:before="0" w:after="240"/>
        <w:ind w:left="0" w:right="0" w:firstLine="360"/>
        <w:rPr/>
      </w:pPr>
      <w:r>
        <w:rPr/>
        <w:t>​</w:t>
      </w:r>
    </w:p>
    <w:tbl>
      <w:tblPr>
        <w:tblW w:w="5425" w:type="dxa"/>
        <w:jc w:val="left"/>
        <w:tblInd w:w="0" w:type="dxa"/>
        <w:tblCellMar>
          <w:top w:w="0" w:type="dxa"/>
          <w:left w:w="0" w:type="dxa"/>
          <w:bottom w:w="0" w:type="dxa"/>
          <w:right w:w="0" w:type="dxa"/>
        </w:tblCellMar>
      </w:tblPr>
      <w:tblGrid>
        <w:gridCol w:w="2656"/>
        <w:gridCol w:w="326"/>
        <w:gridCol w:w="796"/>
        <w:gridCol w:w="326"/>
        <w:gridCol w:w="309"/>
        <w:gridCol w:w="1012"/>
      </w:tblGrid>
      <w:tr>
        <w:trPr/>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686560" cy="175260"/>
                      <wp:effectExtent l="0" t="0" r="0" b="0"/>
                      <wp:wrapNone/>
                      <wp:docPr id="178" name="Frame178"/>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05460" cy="175260"/>
                      <wp:effectExtent l="0" t="0" r="0" b="0"/>
                      <wp:wrapNone/>
                      <wp:docPr id="180" name="Frame180"/>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96215" cy="175260"/>
                      <wp:effectExtent l="0" t="0" r="0" b="0"/>
                      <wp:wrapNone/>
                      <wp:docPr id="182" name="Frame182"/>
                      <a:graphic xmlns:a="http://schemas.openxmlformats.org/drawingml/2006/main">
                        <a:graphicData uri="http://schemas.microsoft.com/office/word/2010/wordprocessingShape">
                          <wps:wsp>
                            <wps:cNvSpPr txBox="1"/>
                            <wps:spPr>
                              <a:xfrm>
                                <a:off x="0" y="0"/>
                                <a:ext cx="196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2620" cy="175260"/>
                      <wp:effectExtent l="0" t="0" r="0" b="0"/>
                      <wp:wrapNone/>
                      <wp:docPr id="183" name="Frame183"/>
                      <a:graphic xmlns:a="http://schemas.openxmlformats.org/drawingml/2006/main">
                        <a:graphicData uri="http://schemas.microsoft.com/office/word/2010/wordprocessingShape">
                          <wps:wsp>
                            <wps:cNvSpPr txBox="1"/>
                            <wps:spPr>
                              <a:xfrm>
                                <a:off x="0" y="0"/>
                                <a:ext cx="6426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3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3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2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w:t>
            </w:r>
          </w:p>
        </w:tc>
        <w:tc>
          <w:tcPr>
            <w:tcW w:w="13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January 1, 2022</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278,591</w:t>
            </w:r>
          </w:p>
        </w:tc>
        <w:tc>
          <w:tcPr>
            <w:tcW w:w="326" w:type="dxa"/>
            <w:tcBorders/>
            <w:shd w:fill="CCEEFF" w:val="clear"/>
            <w:vAlign w:val="center"/>
          </w:tcPr>
          <w:p>
            <w:pPr>
              <w:pStyle w:val="TableContents"/>
              <w:spacing w:before="0" w:after="1"/>
              <w:ind w:left="0" w:right="0" w:hanging="0"/>
              <w:rPr/>
            </w:pPr>
            <w:r>
              <w:rPr/>
              <w:t>​</w:t>
            </w:r>
          </w:p>
        </w:tc>
        <w:tc>
          <w:tcPr>
            <w:tcW w:w="3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19.08</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73,556</w:t>
            </w:r>
          </w:p>
        </w:tc>
        <w:tc>
          <w:tcPr>
            <w:tcW w:w="326" w:type="dxa"/>
            <w:tcBorders/>
            <w:shd w:fill="auto" w:val="clear"/>
            <w:vAlign w:val="center"/>
          </w:tcPr>
          <w:p>
            <w:pPr>
              <w:pStyle w:val="TableContents"/>
              <w:spacing w:before="0" w:after="1"/>
              <w:ind w:left="0" w:right="0" w:hanging="0"/>
              <w:rPr/>
            </w:pPr>
            <w:r>
              <w:rPr/>
              <w:t>​</w:t>
            </w:r>
          </w:p>
        </w:tc>
        <w:tc>
          <w:tcPr>
            <w:tcW w:w="309" w:type="dxa"/>
            <w:tcBorders/>
            <w:shd w:fill="auto" w:val="clear"/>
            <w:vAlign w:val="center"/>
          </w:tcPr>
          <w:p>
            <w:pPr>
              <w:pStyle w:val="TableContents"/>
              <w:spacing w:before="0" w:after="1"/>
              <w:ind w:left="0" w:right="0" w:hanging="0"/>
              <w:rPr/>
            </w:pPr>
            <w:r>
              <w:rPr/>
              <w:t> </w:t>
            </w:r>
          </w:p>
        </w:tc>
        <w:tc>
          <w:tcPr>
            <w:tcW w:w="101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16.66</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(78,341)</w:t>
            </w:r>
          </w:p>
        </w:tc>
        <w:tc>
          <w:tcPr>
            <w:tcW w:w="326" w:type="dxa"/>
            <w:tcBorders/>
            <w:shd w:fill="CCEEFF" w:val="clear"/>
            <w:vAlign w:val="center"/>
          </w:tcPr>
          <w:p>
            <w:pPr>
              <w:pStyle w:val="TableContents"/>
              <w:spacing w:before="0" w:after="1"/>
              <w:ind w:left="0" w:right="0" w:hanging="0"/>
              <w:rPr/>
            </w:pPr>
            <w:r>
              <w:rPr/>
              <w:t>​</w:t>
            </w:r>
          </w:p>
        </w:tc>
        <w:tc>
          <w:tcPr>
            <w:tcW w:w="309" w:type="dxa"/>
            <w:tcBorders/>
            <w:shd w:fill="CCEEFF" w:val="clear"/>
            <w:vAlign w:val="center"/>
          </w:tcPr>
          <w:p>
            <w:pPr>
              <w:pStyle w:val="TableContents"/>
              <w:spacing w:before="0" w:after="1"/>
              <w:ind w:left="0" w:right="0" w:hanging="0"/>
              <w:rPr/>
            </w:pPr>
            <w:r>
              <w:rPr/>
              <w:t> </w:t>
            </w:r>
          </w:p>
        </w:tc>
        <w:tc>
          <w:tcPr>
            <w:tcW w:w="101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19.00</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(2,806)</w:t>
            </w:r>
          </w:p>
        </w:tc>
        <w:tc>
          <w:tcPr>
            <w:tcW w:w="326" w:type="dxa"/>
            <w:tcBorders/>
            <w:shd w:fill="auto" w:val="clear"/>
            <w:vAlign w:val="center"/>
          </w:tcPr>
          <w:p>
            <w:pPr>
              <w:pStyle w:val="TableContents"/>
              <w:spacing w:before="0" w:after="1"/>
              <w:ind w:left="0" w:right="0" w:hanging="0"/>
              <w:rPr/>
            </w:pPr>
            <w:r>
              <w:rPr/>
              <w:t>​</w:t>
            </w:r>
          </w:p>
        </w:tc>
        <w:tc>
          <w:tcPr>
            <w:tcW w:w="30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1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19.00</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April 2, 2022</w:t>
            </w:r>
          </w:p>
        </w:tc>
        <w:tc>
          <w:tcPr>
            <w:tcW w:w="326" w:type="dxa"/>
            <w:tcBorders/>
            <w:shd w:fill="CCEEFF" w:val="clear"/>
            <w:vAlign w:val="center"/>
          </w:tcPr>
          <w:p>
            <w:pPr>
              <w:pStyle w:val="TableContents"/>
              <w:spacing w:before="0" w:after="1"/>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271,000</w:t>
            </w:r>
          </w:p>
        </w:tc>
        <w:tc>
          <w:tcPr>
            <w:tcW w:w="326" w:type="dxa"/>
            <w:tcBorders/>
            <w:shd w:fill="CCEEFF" w:val="clear"/>
            <w:vAlign w:val="center"/>
          </w:tcPr>
          <w:p>
            <w:pPr>
              <w:pStyle w:val="TableContents"/>
              <w:spacing w:before="0" w:after="1"/>
              <w:ind w:left="0" w:right="0" w:hanging="0"/>
              <w:rPr/>
            </w:pPr>
            <w:r>
              <w:rPr/>
              <w:t>​</w:t>
            </w:r>
          </w:p>
        </w:tc>
        <w:tc>
          <w:tcPr>
            <w:tcW w:w="30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18.45</w:t>
            </w:r>
          </w:p>
        </w:tc>
      </w:tr>
    </w:tbl>
    <w:p>
      <w:pPr>
        <w:pStyle w:val="TextBody"/>
        <w:spacing w:before="0" w:after="240"/>
        <w:ind w:left="0" w:right="0" w:firstLine="36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912" w:name="Tc_bVaLwUWAEE6DkkmsxGSW9w_12_0"/>
      <w:bookmarkStart w:id="913" w:name="Tc_1Ru6OsBKnEiim6K-qAsuQw_11_10"/>
      <w:bookmarkStart w:id="914" w:name="Tc_UhTxdAHDKkyH0CjBA_cOlQ_11_9"/>
      <w:bookmarkStart w:id="915" w:name="Tc_jTzzfEHniE-fanXvYwYq8A_11_4"/>
      <w:bookmarkStart w:id="916" w:name="Tc_3wvLIl3iwUuUTfl67OwRFw_11_0"/>
      <w:bookmarkStart w:id="917" w:name="Tc_BXhBS24QvEmZsQKTAmSnbg_10_10"/>
      <w:bookmarkStart w:id="918" w:name="Tc_L8a15HRHmE6s8t2JufVHJg_10_9"/>
      <w:bookmarkStart w:id="919" w:name="Tc_2gQA3TSFakiOXp2D3zJJyw_10_4"/>
      <w:bookmarkStart w:id="920" w:name="Tc_Bi3Xdnjwh0eqwE0jdvgdAg_10_0"/>
      <w:bookmarkStart w:id="921" w:name="Tc_VVkR3H1Z60qTgpLuQrVI2w_9_0"/>
      <w:bookmarkStart w:id="922" w:name="Tc_IkwIOPzMBEi1WXuDVFxFKA_8_5"/>
      <w:bookmarkStart w:id="923" w:name="Tc_ev9P4l976kG_ZeV-L5tJhw_8_2"/>
      <w:bookmarkStart w:id="924" w:name="Tc_JfIIQ3SqXUGXpupWwyN-DQ_8_0"/>
      <w:bookmarkStart w:id="925" w:name="Tc_6Y16PujWYkOl3fcQG4r96Q_7_0"/>
      <w:bookmarkStart w:id="926" w:name="Tc_gDr0X2MI9EGiY2A1uJeQ5Q_6_4"/>
      <w:bookmarkStart w:id="927" w:name="Tc_258P7iGD90-E9cyXBHT_sw_6_0"/>
      <w:bookmarkStart w:id="928" w:name="Tc_-tnv0xNZoEyAXKRT0xgxXw_5_9"/>
      <w:bookmarkStart w:id="929" w:name="Tc_0tXt-uzHlkqrrQQBXiDEpw_5_7"/>
      <w:bookmarkStart w:id="930" w:name="Tc_KvXq1_THP0yezHbgICG_Rg_4_9"/>
      <w:bookmarkStart w:id="931" w:name="Tc_ciQuMGLXjkaRwuPBMooVpw_4_7"/>
      <w:bookmarkStart w:id="932" w:name="Tc_CyPYFBQSb02ILPmWflIf2w_4_4"/>
      <w:bookmarkStart w:id="933" w:name="Tc_O8TPIQb1t0ygjazrDmHYzg_4_2"/>
      <w:bookmarkStart w:id="934" w:name="Tc_9VrBqmoL3ESvkdKq4Unlsg_3_9"/>
      <w:bookmarkStart w:id="935" w:name="Tc_ApXqZUDMdE200KbfX6_MTw_3_7"/>
      <w:bookmarkStart w:id="936" w:name="Tc_qR7VrpN-_EeggjsxKN0j_g_3_4"/>
      <w:bookmarkStart w:id="937" w:name="Tc_Edz-lht74Emj1jO8v7FoDQ_2_7"/>
      <w:bookmarkStart w:id="938" w:name="Tc_u-Yvr2geEkWceFs_8LMT3A_2_5"/>
      <w:bookmarkStart w:id="939" w:name="Tc_YbyxmwQc6UWk0Al6qNKJcg_1_7"/>
      <w:bookmarkStart w:id="940" w:name="Tc_4kjWqHN1W0a9CGN7gB62-w_1_5"/>
      <w:bookmarkStart w:id="941" w:name="_8305e173_5336_402d_9460_9896424ee2ee"/>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Pr>
          <w:rFonts w:ascii="Times New Roman;Times;serif" w:hAnsi="Times New Roman;Times;serif"/>
          <w:b/>
          <w:i/>
          <w:sz w:val="20"/>
        </w:rPr>
        <w:t>Stock Options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represents the Company’s stock option activity during the fiscal quarter ended April 2, 2022:</w:t>
      </w:r>
    </w:p>
    <w:p>
      <w:pPr>
        <w:pStyle w:val="TextBody"/>
        <w:spacing w:before="0" w:after="240"/>
        <w:ind w:left="0" w:right="0" w:firstLine="360"/>
        <w:rPr/>
      </w:pPr>
      <w:r>
        <w:rPr/>
        <w:t>​</w:t>
      </w:r>
    </w:p>
    <w:tbl>
      <w:tblPr>
        <w:tblW w:w="9484" w:type="dxa"/>
        <w:jc w:val="left"/>
        <w:tblInd w:w="0" w:type="dxa"/>
        <w:tblCellMar>
          <w:top w:w="0" w:type="dxa"/>
          <w:left w:w="0" w:type="dxa"/>
          <w:bottom w:w="0" w:type="dxa"/>
          <w:right w:w="0" w:type="dxa"/>
        </w:tblCellMar>
      </w:tblPr>
      <w:tblGrid>
        <w:gridCol w:w="3706"/>
        <w:gridCol w:w="326"/>
        <w:gridCol w:w="931"/>
        <w:gridCol w:w="326"/>
        <w:gridCol w:w="235"/>
        <w:gridCol w:w="891"/>
        <w:gridCol w:w="326"/>
        <w:gridCol w:w="1201"/>
        <w:gridCol w:w="326"/>
        <w:gridCol w:w="379"/>
        <w:gridCol w:w="837"/>
      </w:tblGrid>
      <w:tr>
        <w:trPr/>
        <w:tc>
          <w:tcPr>
            <w:tcW w:w="3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353310" cy="175260"/>
                      <wp:effectExtent l="0" t="0" r="0" b="0"/>
                      <wp:wrapNone/>
                      <wp:docPr id="184" name="Frame184"/>
                      <a:graphic xmlns:a="http://schemas.openxmlformats.org/drawingml/2006/main">
                        <a:graphicData uri="http://schemas.microsoft.com/office/word/2010/wordprocessingShape">
                          <wps:wsp>
                            <wps:cNvSpPr txBox="1"/>
                            <wps:spPr>
                              <a:xfrm>
                                <a:off x="0" y="0"/>
                                <a:ext cx="2353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91185" cy="175260"/>
                      <wp:effectExtent l="0" t="0" r="0" b="0"/>
                      <wp:wrapNone/>
                      <wp:docPr id="186" name="Frame18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9225" cy="175260"/>
                      <wp:effectExtent l="0" t="0" r="0" b="0"/>
                      <wp:wrapNone/>
                      <wp:docPr id="188" name="Frame188"/>
                      <a:graphic xmlns:a="http://schemas.openxmlformats.org/drawingml/2006/main">
                        <a:graphicData uri="http://schemas.microsoft.com/office/word/2010/wordprocessingShape">
                          <wps:wsp>
                            <wps:cNvSpPr txBox="1"/>
                            <wps:spPr>
                              <a:xfrm>
                                <a:off x="0" y="0"/>
                                <a:ext cx="1492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65785" cy="175260"/>
                      <wp:effectExtent l="0" t="0" r="0" b="0"/>
                      <wp:wrapNone/>
                      <wp:docPr id="189" name="Frame189"/>
                      <a:graphic xmlns:a="http://schemas.openxmlformats.org/drawingml/2006/main">
                        <a:graphicData uri="http://schemas.microsoft.com/office/word/2010/wordprocessingShape">
                          <wps:wsp>
                            <wps:cNvSpPr txBox="1"/>
                            <wps:spPr>
                              <a:xfrm>
                                <a:off x="0" y="0"/>
                                <a:ext cx="565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62635" cy="175260"/>
                      <wp:effectExtent l="0" t="0" r="0" b="0"/>
                      <wp:wrapNone/>
                      <wp:docPr id="191" name="Frame191"/>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40665" cy="175260"/>
                      <wp:effectExtent l="0" t="0" r="0" b="0"/>
                      <wp:wrapNone/>
                      <wp:docPr id="193" name="Frame193"/>
                      <a:graphic xmlns:a="http://schemas.openxmlformats.org/drawingml/2006/main">
                        <a:graphicData uri="http://schemas.microsoft.com/office/word/2010/wordprocessingShape">
                          <wps:wsp>
                            <wps:cNvSpPr txBox="1"/>
                            <wps:spPr>
                              <a:xfrm>
                                <a:off x="0" y="0"/>
                                <a:ext cx="240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31495" cy="175260"/>
                      <wp:effectExtent l="0" t="0" r="0" b="0"/>
                      <wp:wrapNone/>
                      <wp:docPr id="194" name="Frame194"/>
                      <a:graphic xmlns:a="http://schemas.openxmlformats.org/drawingml/2006/main">
                        <a:graphicData uri="http://schemas.microsoft.com/office/word/2010/wordprocessingShape">
                          <wps:wsp>
                            <wps:cNvSpPr txBox="1"/>
                            <wps:spPr>
                              <a:xfrm>
                                <a:off x="0" y="0"/>
                                <a:ext cx="5314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235" w:type="dxa"/>
            <w:tcBorders/>
            <w:shd w:fill="auto" w:val="clear"/>
            <w:vAlign w:val="center"/>
          </w:tcPr>
          <w:p>
            <w:pPr>
              <w:pStyle w:val="TableContents"/>
              <w:spacing w:before="0" w:after="1"/>
              <w:ind w:left="0" w:right="0" w:hanging="0"/>
              <w:jc w:val="center"/>
              <w:rPr/>
            </w:pPr>
            <w:r>
              <w:rPr/>
              <w:t>​</w:t>
            </w:r>
          </w:p>
        </w:tc>
        <w:tc>
          <w:tcPr>
            <w:tcW w:w="8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rPr/>
            </w:pPr>
            <w:r>
              <w:rPr/>
              <w:t>    </w:t>
            </w:r>
          </w:p>
        </w:tc>
        <w:tc>
          <w:tcPr>
            <w:tcW w:w="12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rPr/>
            </w:pPr>
            <w:r>
              <w:rPr/>
              <w:t>    </w:t>
            </w:r>
          </w:p>
        </w:tc>
        <w:tc>
          <w:tcPr>
            <w:tcW w:w="379" w:type="dxa"/>
            <w:tcBorders/>
            <w:shd w:fill="auto" w:val="clear"/>
            <w:vAlign w:val="center"/>
          </w:tcPr>
          <w:p>
            <w:pPr>
              <w:pStyle w:val="TableContents"/>
              <w:spacing w:before="0" w:after="1"/>
              <w:ind w:left="0" w:right="0" w:hanging="0"/>
              <w:rPr/>
            </w:pPr>
            <w:r>
              <w:rPr/>
              <w:t>​</w:t>
            </w:r>
          </w:p>
        </w:tc>
        <w:tc>
          <w:tcPr>
            <w:tcW w:w="837" w:type="dxa"/>
            <w:tcBorders/>
            <w:shd w:fill="auto" w:val="clear"/>
            <w:vAlign w:val="center"/>
          </w:tcPr>
          <w:p>
            <w:pPr>
              <w:pStyle w:val="TableContents"/>
              <w:spacing w:before="0" w:after="1"/>
              <w:ind w:left="0" w:right="0" w:hanging="0"/>
              <w:jc w:val="center"/>
              <w:rPr/>
            </w:pPr>
            <w:r>
              <w:rPr/>
              <w:t>​</w:t>
            </w:r>
          </w:p>
        </w:tc>
      </w:tr>
      <w:tr>
        <w:trPr/>
        <w:tc>
          <w:tcPr>
            <w:tcW w:w="3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jc w:val="center"/>
              <w:rPr/>
            </w:pPr>
            <w:r>
              <w:rPr/>
              <w:t>​</w:t>
            </w:r>
          </w:p>
        </w:tc>
        <w:tc>
          <w:tcPr>
            <w:tcW w:w="8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26" w:type="dxa"/>
            <w:tcBorders/>
            <w:shd w:fill="auto" w:val="clear"/>
            <w:vAlign w:val="center"/>
          </w:tcPr>
          <w:p>
            <w:pPr>
              <w:pStyle w:val="TableContents"/>
              <w:spacing w:before="0" w:after="1"/>
              <w:ind w:left="0" w:right="0" w:hanging="0"/>
              <w:rPr/>
            </w:pPr>
            <w:r>
              <w:rPr/>
              <w:t>​</w:t>
            </w:r>
          </w:p>
        </w:tc>
        <w:tc>
          <w:tcPr>
            <w:tcW w:w="12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26"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rPr/>
            </w:pPr>
            <w:r>
              <w:rPr/>
              <w:t>​</w:t>
            </w:r>
          </w:p>
        </w:tc>
        <w:tc>
          <w:tcPr>
            <w:tcW w:w="837" w:type="dxa"/>
            <w:tcBorders/>
            <w:shd w:fill="auto" w:val="clear"/>
            <w:vAlign w:val="center"/>
          </w:tcPr>
          <w:p>
            <w:pPr>
              <w:pStyle w:val="TableContents"/>
              <w:spacing w:before="0" w:after="1"/>
              <w:ind w:left="0" w:right="0" w:hanging="0"/>
              <w:jc w:val="center"/>
              <w:rPr/>
            </w:pPr>
            <w:r>
              <w:rPr/>
              <w:t>​</w:t>
            </w:r>
          </w:p>
        </w:tc>
      </w:tr>
      <w:tr>
        <w:trPr/>
        <w:tc>
          <w:tcPr>
            <w:tcW w:w="3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shd w:fill="auto" w:val="clear"/>
            <w:vAlign w:val="center"/>
          </w:tcPr>
          <w:p>
            <w:pPr>
              <w:pStyle w:val="TableContents"/>
              <w:spacing w:before="0" w:after="1"/>
              <w:ind w:left="0" w:right="0" w:hanging="0"/>
              <w:rPr/>
            </w:pPr>
            <w:r>
              <w:rPr/>
              <w:t>​</w:t>
            </w:r>
          </w:p>
        </w:tc>
        <w:tc>
          <w:tcPr>
            <w:tcW w:w="12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w:t>
            </w:r>
          </w:p>
        </w:tc>
        <w:tc>
          <w:tcPr>
            <w:tcW w:w="326" w:type="dxa"/>
            <w:tcBorders/>
            <w:shd w:fill="auto" w:val="clear"/>
            <w:vAlign w:val="center"/>
          </w:tcPr>
          <w:p>
            <w:pPr>
              <w:pStyle w:val="TableContents"/>
              <w:spacing w:before="0" w:after="1"/>
              <w:ind w:left="0" w:right="0" w:hanging="0"/>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 </w:t>
            </w:r>
          </w:p>
        </w:tc>
      </w:tr>
      <w:tr>
        <w:trPr/>
        <w:tc>
          <w:tcPr>
            <w:tcW w:w="3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    </w:t>
            </w:r>
          </w:p>
        </w:tc>
        <w:tc>
          <w:tcPr>
            <w:tcW w:w="11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per Share</w:t>
            </w:r>
          </w:p>
        </w:tc>
        <w:tc>
          <w:tcPr>
            <w:tcW w:w="326" w:type="dxa"/>
            <w:tcBorders/>
            <w:shd w:fill="auto" w:val="clear"/>
            <w:vAlign w:val="center"/>
          </w:tcPr>
          <w:p>
            <w:pPr>
              <w:pStyle w:val="TableContents"/>
              <w:spacing w:before="0" w:after="1"/>
              <w:ind w:left="0" w:right="0" w:hanging="0"/>
              <w:rPr/>
            </w:pPr>
            <w:r>
              <w:rPr/>
              <w:t>    </w:t>
            </w:r>
          </w:p>
        </w:tc>
        <w:tc>
          <w:tcPr>
            <w:tcW w:w="12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 Term</w:t>
            </w:r>
          </w:p>
        </w:tc>
        <w:tc>
          <w:tcPr>
            <w:tcW w:w="326" w:type="dxa"/>
            <w:tcBorders/>
            <w:shd w:fill="auto" w:val="clear"/>
            <w:vAlign w:val="center"/>
          </w:tcPr>
          <w:p>
            <w:pPr>
              <w:pStyle w:val="TableContents"/>
              <w:spacing w:before="0" w:after="1"/>
              <w:ind w:left="0" w:right="0" w:hanging="0"/>
              <w:rPr/>
            </w:pPr>
            <w:r>
              <w:rPr/>
              <w:t>    </w:t>
            </w:r>
          </w:p>
        </w:tc>
        <w:tc>
          <w:tcPr>
            <w:tcW w:w="12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3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35" w:type="dxa"/>
            <w:tcBorders/>
            <w:shd w:fill="auto" w:val="clear"/>
            <w:vAlign w:val="center"/>
          </w:tcPr>
          <w:p>
            <w:pPr>
              <w:pStyle w:val="TableContents"/>
              <w:spacing w:before="0" w:after="1"/>
              <w:ind w:left="0" w:right="0" w:hanging="0"/>
              <w:rPr/>
            </w:pPr>
            <w:r>
              <w:rPr/>
              <w:t>​</w:t>
            </w:r>
          </w:p>
        </w:tc>
        <w:tc>
          <w:tcPr>
            <w:tcW w:w="8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shd w:fill="auto" w:val="clear"/>
            <w:vAlign w:val="center"/>
          </w:tcPr>
          <w:p>
            <w:pPr>
              <w:pStyle w:val="TableContents"/>
              <w:spacing w:before="0" w:after="1"/>
              <w:ind w:left="0" w:right="0" w:hanging="0"/>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on January 1, 2022</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822,886</w:t>
            </w:r>
          </w:p>
        </w:tc>
        <w:tc>
          <w:tcPr>
            <w:tcW w:w="326" w:type="dxa"/>
            <w:tcBorders/>
            <w:shd w:fill="CCEEFF" w:val="clear"/>
            <w:vAlign w:val="center"/>
          </w:tcPr>
          <w:p>
            <w:pPr>
              <w:pStyle w:val="TableContents"/>
              <w:spacing w:before="0" w:after="1"/>
              <w:ind w:left="0" w:right="0" w:hanging="0"/>
              <w:rPr/>
            </w:pPr>
            <w:r>
              <w:rPr/>
              <w:t>​</w:t>
            </w:r>
          </w:p>
        </w:tc>
        <w:tc>
          <w:tcPr>
            <w:tcW w:w="2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19.08</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rPr/>
            </w:pPr>
            <w:r>
              <w:rPr/>
              <w:t>​</w:t>
            </w:r>
          </w:p>
        </w:tc>
        <w:tc>
          <w:tcPr>
            <w:tcW w:w="837" w:type="dxa"/>
            <w:tcBorders/>
            <w:shd w:fill="CCEEFF" w:val="clear"/>
            <w:vAlign w:val="center"/>
          </w:tcPr>
          <w:p>
            <w:pPr>
              <w:pStyle w:val="TableContents"/>
              <w:spacing w:before="0" w:after="1"/>
              <w:ind w:left="0" w:right="0" w:hanging="0"/>
              <w:jc w:val="right"/>
              <w:rPr/>
            </w:pPr>
            <w:r>
              <w:rPr/>
              <w:t>​</w:t>
            </w:r>
          </w:p>
        </w:tc>
      </w:tr>
      <w:tr>
        <w:trPr/>
        <w:tc>
          <w:tcPr>
            <w:tcW w:w="37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1,114,637</w:t>
            </w:r>
          </w:p>
        </w:tc>
        <w:tc>
          <w:tcPr>
            <w:tcW w:w="326"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rPr/>
            </w:pPr>
            <w:r>
              <w:rPr/>
              <w:t>​</w:t>
            </w:r>
          </w:p>
        </w:tc>
        <w:tc>
          <w:tcPr>
            <w:tcW w:w="8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15.65</w:t>
            </w:r>
          </w:p>
        </w:tc>
        <w:tc>
          <w:tcPr>
            <w:tcW w:w="326" w:type="dxa"/>
            <w:tcBorders/>
            <w:shd w:fill="auto" w:val="clear"/>
            <w:vAlign w:val="center"/>
          </w:tcPr>
          <w:p>
            <w:pPr>
              <w:pStyle w:val="TableContents"/>
              <w:spacing w:before="0" w:after="1"/>
              <w:ind w:left="0" w:right="0" w:hanging="0"/>
              <w:rPr/>
            </w:pPr>
            <w:r>
              <w:rPr/>
              <w:t> </w:t>
            </w:r>
          </w:p>
        </w:tc>
        <w:tc>
          <w:tcPr>
            <w:tcW w:w="120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rPr/>
            </w:pPr>
            <w:r>
              <w:rPr/>
              <w:t> </w:t>
            </w:r>
          </w:p>
        </w:tc>
        <w:tc>
          <w:tcPr>
            <w:tcW w:w="837" w:type="dxa"/>
            <w:tcBorders/>
            <w:shd w:fill="auto" w:val="clear"/>
            <w:vAlign w:val="center"/>
          </w:tcPr>
          <w:p>
            <w:pPr>
              <w:pStyle w:val="TableContents"/>
              <w:spacing w:before="0" w:after="1"/>
              <w:ind w:left="0" w:right="0" w:hanging="0"/>
              <w:jc w:val="right"/>
              <w:rPr/>
            </w:pPr>
            <w:r>
              <w:rPr/>
              <w:t>  </w:t>
            </w:r>
          </w:p>
        </w:tc>
      </w:tr>
      <w:tr>
        <w:trPr/>
        <w:tc>
          <w:tcPr>
            <w:tcW w:w="37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5" w:type="dxa"/>
            <w:tcBorders/>
            <w:shd w:fill="CCEEFF" w:val="clear"/>
            <w:vAlign w:val="center"/>
          </w:tcPr>
          <w:p>
            <w:pPr>
              <w:pStyle w:val="TableContents"/>
              <w:spacing w:before="0" w:after="1"/>
              <w:ind w:left="0" w:right="0" w:hanging="0"/>
              <w:rPr/>
            </w:pPr>
            <w:r>
              <w:rPr/>
              <w:t> </w:t>
            </w:r>
          </w:p>
        </w:tc>
        <w:tc>
          <w:tcPr>
            <w:tcW w:w="8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rPr/>
            </w:pPr>
            <w:r>
              <w:rPr/>
              <w:t> </w:t>
            </w:r>
          </w:p>
        </w:tc>
        <w:tc>
          <w:tcPr>
            <w:tcW w:w="837" w:type="dxa"/>
            <w:tcBorders/>
            <w:shd w:fill="CCEEFF" w:val="clear"/>
            <w:vAlign w:val="center"/>
          </w:tcPr>
          <w:p>
            <w:pPr>
              <w:pStyle w:val="TableContents"/>
              <w:spacing w:before="0" w:after="1"/>
              <w:ind w:left="0" w:right="0" w:hanging="0"/>
              <w:jc w:val="right"/>
              <w:rPr/>
            </w:pPr>
            <w:r>
              <w:rPr/>
              <w:t>  </w:t>
            </w:r>
          </w:p>
        </w:tc>
      </w:tr>
      <w:tr>
        <w:trPr/>
        <w:tc>
          <w:tcPr>
            <w:tcW w:w="37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(3,308)</w:t>
            </w:r>
          </w:p>
        </w:tc>
        <w:tc>
          <w:tcPr>
            <w:tcW w:w="326"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rPr/>
            </w:pPr>
            <w:r>
              <w:rPr/>
              <w:t> </w:t>
            </w:r>
          </w:p>
        </w:tc>
        <w:tc>
          <w:tcPr>
            <w:tcW w:w="8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19.00</w:t>
            </w:r>
          </w:p>
        </w:tc>
        <w:tc>
          <w:tcPr>
            <w:tcW w:w="326" w:type="dxa"/>
            <w:tcBorders/>
            <w:shd w:fill="auto" w:val="clear"/>
            <w:vAlign w:val="center"/>
          </w:tcPr>
          <w:p>
            <w:pPr>
              <w:pStyle w:val="TableContents"/>
              <w:spacing w:before="0" w:after="1"/>
              <w:ind w:left="0" w:right="0" w:hanging="0"/>
              <w:rPr/>
            </w:pPr>
            <w:r>
              <w:rPr/>
              <w:t> </w:t>
            </w:r>
          </w:p>
        </w:tc>
        <w:tc>
          <w:tcPr>
            <w:tcW w:w="120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rPr/>
            </w:pPr>
            <w:r>
              <w:rPr/>
              <w:t> </w:t>
            </w:r>
          </w:p>
        </w:tc>
        <w:tc>
          <w:tcPr>
            <w:tcW w:w="837" w:type="dxa"/>
            <w:tcBorders/>
            <w:shd w:fill="auto" w:val="clear"/>
            <w:vAlign w:val="center"/>
          </w:tcPr>
          <w:p>
            <w:pPr>
              <w:pStyle w:val="TableContents"/>
              <w:spacing w:before="0" w:after="1"/>
              <w:ind w:left="0" w:right="0" w:hanging="0"/>
              <w:jc w:val="right"/>
              <w:rPr/>
            </w:pPr>
            <w:r>
              <w:rPr/>
              <w:t>  </w:t>
            </w:r>
          </w:p>
        </w:tc>
      </w:tr>
      <w:tr>
        <w:trPr/>
        <w:tc>
          <w:tcPr>
            <w:tcW w:w="37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April 2, 2022</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1,934,215</w:t>
            </w:r>
          </w:p>
        </w:tc>
        <w:tc>
          <w:tcPr>
            <w:tcW w:w="326" w:type="dxa"/>
            <w:tcBorders/>
            <w:shd w:fill="CCEEFF" w:val="clear"/>
            <w:vAlign w:val="center"/>
          </w:tcPr>
          <w:p>
            <w:pPr>
              <w:pStyle w:val="TableContents"/>
              <w:spacing w:before="0" w:after="1"/>
              <w:ind w:left="0" w:right="0" w:hanging="0"/>
              <w:rPr/>
            </w:pPr>
            <w:r>
              <w:rPr/>
              <w:t>​</w:t>
            </w:r>
          </w:p>
        </w:tc>
        <w:tc>
          <w:tcPr>
            <w:tcW w:w="2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17.11</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c>
          <w:tcPr>
            <w:tcW w:w="326"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spacing w:before="0" w:after="1"/>
              <w:ind w:left="0" w:right="0" w:hanging="0"/>
              <w:jc w:val="right"/>
              <w:rPr/>
            </w:pPr>
            <w:r>
              <w:rPr/>
              <w:t>—</w:t>
            </w:r>
          </w:p>
        </w:tc>
      </w:tr>
      <w:tr>
        <w:trPr/>
        <w:tc>
          <w:tcPr>
            <w:tcW w:w="37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 and expected to vest at April 2, 2022</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1,934,215</w:t>
            </w:r>
          </w:p>
        </w:tc>
        <w:tc>
          <w:tcPr>
            <w:tcW w:w="326" w:type="dxa"/>
            <w:tcBorders/>
            <w:shd w:fill="auto" w:val="clear"/>
            <w:vAlign w:val="center"/>
          </w:tcPr>
          <w:p>
            <w:pPr>
              <w:pStyle w:val="TableContents"/>
              <w:spacing w:before="0" w:after="1"/>
              <w:ind w:left="0" w:right="0" w:hanging="0"/>
              <w:rPr/>
            </w:pPr>
            <w:r>
              <w:rPr/>
              <w:t>​</w:t>
            </w:r>
          </w:p>
        </w:tc>
        <w:tc>
          <w:tcPr>
            <w:tcW w:w="23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17.11</w:t>
            </w:r>
          </w:p>
        </w:tc>
        <w:tc>
          <w:tcPr>
            <w:tcW w:w="326" w:type="dxa"/>
            <w:tcBorders/>
            <w:shd w:fill="auto" w:val="clear"/>
            <w:vAlign w:val="center"/>
          </w:tcPr>
          <w:p>
            <w:pPr>
              <w:pStyle w:val="TableContents"/>
              <w:spacing w:before="0" w:after="1"/>
              <w:ind w:left="0" w:right="0" w:hanging="0"/>
              <w:rPr/>
            </w:pPr>
            <w:r>
              <w:rPr/>
              <w:t> </w:t>
            </w:r>
          </w:p>
        </w:tc>
        <w:tc>
          <w:tcPr>
            <w:tcW w:w="12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c>
          <w:tcPr>
            <w:tcW w:w="326" w:type="dxa"/>
            <w:tcBorders/>
            <w:shd w:fill="auto" w:val="clear"/>
            <w:vAlign w:val="center"/>
          </w:tcPr>
          <w:p>
            <w:pPr>
              <w:pStyle w:val="TableContents"/>
              <w:spacing w:before="0" w:after="1"/>
              <w:ind w:left="0" w:right="0" w:hanging="0"/>
              <w:rPr/>
            </w:pPr>
            <w:r>
              <w:rPr/>
              <w:t>​</w:t>
            </w:r>
          </w:p>
        </w:tc>
        <w:tc>
          <w:tcPr>
            <w:tcW w:w="37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7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Options exercisable at April 2, 2022</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spacing w:before="0" w:after="1"/>
              <w:ind w:left="0" w:right="0" w:hanging="0"/>
              <w:rPr/>
            </w:pPr>
            <w:r>
              <w:rPr/>
              <w:t>​</w:t>
            </w:r>
          </w:p>
        </w:tc>
        <w:tc>
          <w:tcPr>
            <w:tcW w:w="235" w:type="dxa"/>
            <w:tcBorders/>
            <w:shd w:fill="CCEEFF" w:val="clear"/>
            <w:vAlign w:val="center"/>
          </w:tcPr>
          <w:p>
            <w:pPr>
              <w:pStyle w:val="TableContents"/>
              <w:spacing w:before="0" w:after="1"/>
              <w:ind w:left="0" w:right="0" w:hanging="0"/>
              <w:rPr/>
            </w:pPr>
            <w:r>
              <w:rPr/>
              <w:t> </w:t>
            </w:r>
          </w:p>
        </w:tc>
        <w:tc>
          <w:tcPr>
            <w:tcW w:w="891"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rPr/>
            </w:pPr>
            <w:r>
              <w:rPr/>
              <w:t> </w:t>
            </w:r>
          </w:p>
        </w:tc>
        <w:tc>
          <w:tcPr>
            <w:tcW w:w="837" w:type="dxa"/>
            <w:tcBorders/>
            <w:shd w:fill="CCEEFF" w:val="clear"/>
            <w:vAlign w:val="center"/>
          </w:tcPr>
          <w:p>
            <w:pPr>
              <w:pStyle w:val="TableContents"/>
              <w:spacing w:before="0" w:after="1"/>
              <w:ind w:left="0" w:right="72" w:hanging="0"/>
              <w:jc w:val="right"/>
              <w:rPr>
                <w:caps w:val="false"/>
                <w:smallCaps w:val="false"/>
              </w:rPr>
            </w:pPr>
            <w:r>
              <w:rPr>
                <w:caps w:val="false"/>
                <w:smallCaps w:val="false"/>
              </w:rPr>
              <w:t>—</w:t>
            </w:r>
          </w:p>
        </w:tc>
      </w:tr>
    </w:tbl>
    <w:p>
      <w:pPr>
        <w:pStyle w:val="TextBody"/>
        <w:spacing w:before="0" w:after="240"/>
        <w:ind w:left="0" w:right="0" w:firstLine="360"/>
        <w:rPr/>
      </w:pPr>
      <w:r>
        <w:rPr/>
        <w:t>​</w:t>
      </w:r>
    </w:p>
    <w:p>
      <w:pPr>
        <w:pStyle w:val="TextBody"/>
        <w:spacing w:before="0" w:after="240"/>
        <w:ind w:left="0" w:right="0" w:firstLine="360"/>
        <w:rPr>
          <w:rFonts w:ascii="Times New Roman;Times;serif" w:hAnsi="Times New Roman;Times;serif"/>
          <w:sz w:val="12"/>
        </w:rPr>
      </w:pPr>
      <w:r>
        <w:rPr>
          <w:rFonts w:ascii="Times New Roman;Times;serif" w:hAnsi="Times New Roman;Times;serif"/>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Times New Roman;Times;serif" w:hAnsi="Times New Roman;Times;serif"/>
          <w:sz w:val="12"/>
        </w:rPr>
        <w:t xml:space="preserve">. </w:t>
      </w:r>
      <w:r>
        <w:rPr>
          <w:rFonts w:ascii="Times New Roman;Times;serif" w:hAnsi="Times New Roman;Times;serif"/>
          <w:sz w:val="20"/>
        </w:rPr>
        <w:t>The weighted average grant-date fair value of stock options granted during the fiscal quarter ended April 2, 2022 was $6.51</w:t>
      </w:r>
      <w:r>
        <w:rPr>
          <w:rFonts w:ascii="Times New Roman;Times;serif" w:hAnsi="Times New Roman;Times;serif"/>
          <w:sz w:val="12"/>
        </w:rPr>
        <w:t xml:space="preserve"> </w:t>
      </w:r>
      <w:r>
        <w:rPr>
          <w:rFonts w:ascii="Times New Roman;Times;serif" w:hAnsi="Times New Roman;Times;serif"/>
          <w:sz w:val="20"/>
        </w:rPr>
        <w:t>per share.</w:t>
      </w:r>
    </w:p>
    <w:p>
      <w:pPr>
        <w:pStyle w:val="TextBody"/>
        <w:spacing w:before="0" w:after="240"/>
        <w:ind w:left="0" w:right="0" w:hanging="0"/>
        <w:rPr>
          <w:rFonts w:ascii="Times New Roman;Times;serif" w:hAnsi="Times New Roman;Times;serif"/>
          <w:b/>
          <w:sz w:val="20"/>
        </w:rPr>
      </w:pPr>
      <w:bookmarkStart w:id="942" w:name="Tc_Atrtn1Cq90KXbiyJkYcDXw_5_4"/>
      <w:bookmarkStart w:id="943" w:name="Tc_xBco8U5gH0KTxFv0kUY6EA_5_2"/>
      <w:bookmarkStart w:id="944" w:name="Tc_ALiPh0qg2UqB327LfyWW4Q_5_0"/>
      <w:bookmarkStart w:id="945" w:name="Tc_FThZII1A2EqLRbMEeRCqpQ_4_4"/>
      <w:bookmarkStart w:id="946" w:name="Tc_1RBMZHoWFEGDyueQb9jdxw_4_0"/>
      <w:bookmarkStart w:id="947" w:name="Tc_jbg_78rXI0eGRB8tFWg4WQ_3_4"/>
      <w:bookmarkStart w:id="948" w:name="Tc_r16t3uMSNEKq3YnlcfPi_Q_3_0"/>
      <w:bookmarkStart w:id="949" w:name="Tc_tMa2ASL2U0qXYwchzt0HcQ_2_4"/>
      <w:bookmarkStart w:id="950" w:name="Tc_DZGIWsMxvkyRbHzqDesIog_2_2"/>
      <w:bookmarkStart w:id="951" w:name="Tc_ygsZVsG50ECIt0wgVCD3oA_1_2"/>
      <w:bookmarkStart w:id="952" w:name="_72c17b33_39d4_4d55_9fd2_4af8db5d0dd9"/>
      <w:bookmarkStart w:id="953" w:name="Tc_n4NuMSggkUaW9sW9A0JXdg_11_5"/>
      <w:bookmarkStart w:id="954" w:name="Tc_cPKF6axfsUu9BpzaXG_NWA_11_2"/>
      <w:bookmarkStart w:id="955" w:name="Tc_LndrRmg_50ev4P5Qk4xNtg_11_0"/>
      <w:bookmarkStart w:id="956" w:name="Tc_7RcCxey85kSvAj76A_gvCg_10_5"/>
      <w:bookmarkStart w:id="957" w:name="Tc_tGuXb6XKKUqhV9fwK5LIBA_10_2"/>
      <w:bookmarkStart w:id="958" w:name="Tc_MXnTrBxqC0WyyE9_DXLa_w_10_0"/>
      <w:bookmarkStart w:id="959" w:name="Tc_eEkfre1MIEKMuitm7uCeAw_9_0"/>
      <w:bookmarkStart w:id="960" w:name="Tc_YVo6KgPi4UyAdwpDGTNRSw_8_0"/>
      <w:bookmarkStart w:id="961" w:name="Tc_l-mHA29k-0yOYbzX4Q9E9Q_7_0"/>
      <w:bookmarkStart w:id="962" w:name="Tc_Bp7GFXw0J0GRQdoBjS_bzg_6_0"/>
      <w:bookmarkStart w:id="963" w:name="Tc_IA0jnOPQd0-AxmmvJArwbw_5_0"/>
      <w:bookmarkStart w:id="964" w:name="Tc_7lZTlvj2N0-Ivf5fHv2k9A_4_5"/>
      <w:bookmarkStart w:id="965" w:name="Tc_9YnSf9NDUUaZSvPncxextg_4_2"/>
      <w:bookmarkStart w:id="966" w:name="Tc_OVq1Ax0Q10iOFiRorcxpaA_4_0"/>
      <w:bookmarkStart w:id="967" w:name="Tc_5rUTDvwzd0Cs6mw02cHgGg_3_0"/>
      <w:bookmarkStart w:id="968" w:name="Tc_IdxM-I50w02f0bdQiqoSFA_2_5"/>
      <w:bookmarkStart w:id="969" w:name="Tc_v6T94R77jEa8mHbtlkhkvw_2_2"/>
      <w:bookmarkStart w:id="970" w:name="Tc_4FQnAXsFWkWvAgG7PLtJug_1_2"/>
      <w:bookmarkStart w:id="971" w:name="_065a5b5b_3268_4f3f_a61a_b3b3393cf1ca"/>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r>
        <w:rPr>
          <w:rFonts w:ascii="Times New Roman;Times;serif" w:hAnsi="Times New Roman;Times;serif"/>
          <w:b/>
          <w:sz w:val="20"/>
        </w:rPr>
        <w:t>13. NET INCOME (LOSS) PER SHARE</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Basic and diluted net income (loss) per share attributable to common stockholders was calculated as follows (in thousands, except share and per share data):</w:t>
      </w:r>
    </w:p>
    <w:p>
      <w:pPr>
        <w:pStyle w:val="TextBody"/>
        <w:spacing w:before="0" w:after="240"/>
        <w:ind w:left="0" w:right="0" w:firstLine="360"/>
        <w:rPr/>
      </w:pPr>
      <w:r>
        <w:rPr/>
        <w:t>​</w:t>
      </w:r>
    </w:p>
    <w:tbl>
      <w:tblPr>
        <w:tblW w:w="8896" w:type="dxa"/>
        <w:jc w:val="left"/>
        <w:tblInd w:w="0" w:type="dxa"/>
        <w:tblCellMar>
          <w:top w:w="0" w:type="dxa"/>
          <w:left w:w="0" w:type="dxa"/>
          <w:bottom w:w="0" w:type="dxa"/>
          <w:right w:w="0" w:type="dxa"/>
        </w:tblCellMar>
      </w:tblPr>
      <w:tblGrid>
        <w:gridCol w:w="5386"/>
        <w:gridCol w:w="326"/>
        <w:gridCol w:w="211"/>
        <w:gridCol w:w="1141"/>
        <w:gridCol w:w="326"/>
        <w:gridCol w:w="211"/>
        <w:gridCol w:w="1141"/>
        <w:gridCol w:w="154"/>
      </w:tblGrid>
      <w:tr>
        <w:trPr/>
        <w:tc>
          <w:tcPr>
            <w:tcW w:w="53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724535" cy="175260"/>
                      <wp:effectExtent l="0" t="0" r="0" b="0"/>
                      <wp:wrapNone/>
                      <wp:docPr id="197" name="Frame197"/>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724535" cy="175260"/>
                      <wp:effectExtent l="0" t="0" r="0" b="0"/>
                      <wp:wrapNone/>
                      <wp:docPr id="200" name="Frame20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97790" cy="175260"/>
                      <wp:effectExtent l="0" t="0" r="0" b="0"/>
                      <wp:wrapNone/>
                      <wp:docPr id="201" name="Frame20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3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3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54" w:type="dxa"/>
            <w:tcBorders/>
            <w:shd w:fill="auto" w:val="clear"/>
            <w:vAlign w:val="center"/>
          </w:tcPr>
          <w:p>
            <w:pPr>
              <w:pStyle w:val="TableContents"/>
              <w:spacing w:before="0" w:after="0"/>
              <w:ind w:left="0" w:right="0" w:hanging="0"/>
              <w:rPr/>
            </w:pPr>
            <w:r>
              <w:rPr/>
              <w:t>​</w:t>
            </w:r>
          </w:p>
        </w:tc>
      </w:tr>
      <w:tr>
        <w:trPr/>
        <w:tc>
          <w:tcPr>
            <w:tcW w:w="53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26" w:type="dxa"/>
            <w:tcBorders/>
            <w:shd w:fill="auto" w:val="clear"/>
            <w:vAlign w:val="center"/>
          </w:tcPr>
          <w:p>
            <w:pPr>
              <w:pStyle w:val="TableContents"/>
              <w:spacing w:before="0" w:after="0"/>
              <w:ind w:left="0" w:right="0" w:hanging="0"/>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 2021</w:t>
            </w:r>
          </w:p>
        </w:tc>
        <w:tc>
          <w:tcPr>
            <w:tcW w:w="154" w:type="dxa"/>
            <w:tcBorders/>
            <w:shd w:fill="auto" w:val="clear"/>
            <w:vAlign w:val="center"/>
          </w:tcPr>
          <w:p>
            <w:pPr>
              <w:pStyle w:val="TableContents"/>
              <w:spacing w:before="0" w:after="0"/>
              <w:ind w:left="0" w:right="0" w:hanging="0"/>
              <w:rPr/>
            </w:pPr>
            <w:r>
              <w:rPr/>
              <w:t>​</w:t>
            </w:r>
          </w:p>
        </w:tc>
      </w:tr>
      <w:tr>
        <w:trPr/>
        <w:tc>
          <w:tcPr>
            <w:tcW w:w="53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53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income attributable to common stockholders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8,533</w:t>
            </w:r>
          </w:p>
        </w:tc>
        <w:tc>
          <w:tcPr>
            <w:tcW w:w="154" w:type="dxa"/>
            <w:tcBorders/>
            <w:shd w:fill="auto" w:val="clear"/>
            <w:vAlign w:val="center"/>
          </w:tcPr>
          <w:p>
            <w:pPr>
              <w:pStyle w:val="TableContents"/>
              <w:spacing w:before="0" w:after="0"/>
              <w:ind w:left="0" w:right="0" w:hanging="0"/>
              <w:rPr/>
            </w:pPr>
            <w:r>
              <w:rPr/>
              <w:t>​</w:t>
            </w:r>
          </w:p>
        </w:tc>
      </w:tr>
      <w:tr>
        <w:trPr/>
        <w:tc>
          <w:tcPr>
            <w:tcW w:w="53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  </w:t>
            </w:r>
          </w:p>
        </w:tc>
        <w:tc>
          <w:tcPr>
            <w:tcW w:w="154" w:type="dxa"/>
            <w:tcBorders/>
            <w:shd w:fill="CCEEFF" w:val="clear"/>
            <w:vAlign w:val="center"/>
          </w:tcPr>
          <w:p>
            <w:pPr>
              <w:pStyle w:val="TableContents"/>
              <w:spacing w:before="0" w:after="0"/>
              <w:ind w:left="0" w:right="0" w:hanging="0"/>
              <w:rPr/>
            </w:pPr>
            <w:r>
              <w:rPr/>
              <w:t>​</w:t>
            </w:r>
          </w:p>
        </w:tc>
      </w:tr>
      <w:tr>
        <w:trPr/>
        <w:tc>
          <w:tcPr>
            <w:tcW w:w="53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common shares outstanding</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3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113,698,513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109,069,310</w:t>
            </w:r>
          </w:p>
        </w:tc>
        <w:tc>
          <w:tcPr>
            <w:tcW w:w="154" w:type="dxa"/>
            <w:tcBorders/>
            <w:shd w:fill="CCEEFF" w:val="clear"/>
            <w:vAlign w:val="center"/>
          </w:tcPr>
          <w:p>
            <w:pPr>
              <w:pStyle w:val="TableContents"/>
              <w:spacing w:before="0" w:after="0"/>
              <w:ind w:left="0" w:right="0" w:hanging="0"/>
              <w:rPr/>
            </w:pPr>
            <w:r>
              <w:rPr/>
              <w:t>​</w:t>
            </w:r>
          </w:p>
        </w:tc>
      </w:tr>
      <w:tr>
        <w:trPr/>
        <w:tc>
          <w:tcPr>
            <w:tcW w:w="53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113,698,513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121,273,854</w:t>
            </w:r>
          </w:p>
        </w:tc>
        <w:tc>
          <w:tcPr>
            <w:tcW w:w="154" w:type="dxa"/>
            <w:tcBorders/>
            <w:shd w:fill="auto" w:val="clear"/>
            <w:vAlign w:val="center"/>
          </w:tcPr>
          <w:p>
            <w:pPr>
              <w:pStyle w:val="TableContents"/>
              <w:spacing w:before="0" w:after="0"/>
              <w:ind w:left="0" w:right="0" w:hanging="0"/>
              <w:rPr/>
            </w:pPr>
            <w:r>
              <w:rPr/>
              <w:t>​</w:t>
            </w:r>
          </w:p>
        </w:tc>
      </w:tr>
      <w:tr>
        <w:trPr/>
        <w:tc>
          <w:tcPr>
            <w:tcW w:w="53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income per share attributable to common stockholders: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53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154" w:type="dxa"/>
            <w:tcBorders/>
            <w:shd w:fill="auto" w:val="clear"/>
            <w:vAlign w:val="center"/>
          </w:tcPr>
          <w:p>
            <w:pPr>
              <w:pStyle w:val="TableContents"/>
              <w:spacing w:before="0" w:after="0"/>
              <w:ind w:left="0" w:right="0" w:hanging="0"/>
              <w:rPr/>
            </w:pPr>
            <w:r>
              <w:rPr/>
              <w:t>​</w:t>
            </w:r>
          </w:p>
        </w:tc>
      </w:tr>
      <w:tr>
        <w:trPr/>
        <w:tc>
          <w:tcPr>
            <w:tcW w:w="53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includes the number of shares that may be dilutive common shares in the future that were not included in the computation of diluted net income (loss) per share because the effect was anti-dilutive:</w:t>
      </w:r>
    </w:p>
    <w:p>
      <w:pPr>
        <w:pStyle w:val="TextBody"/>
        <w:spacing w:before="0" w:after="240"/>
        <w:ind w:left="0" w:right="0" w:firstLine="360"/>
        <w:rPr/>
      </w:pPr>
      <w:r>
        <w:rPr/>
        <w:t>​</w:t>
      </w:r>
    </w:p>
    <w:tbl>
      <w:tblPr>
        <w:tblW w:w="4964" w:type="dxa"/>
        <w:jc w:val="left"/>
        <w:tblInd w:w="0" w:type="dxa"/>
        <w:tblCellMar>
          <w:top w:w="0" w:type="dxa"/>
          <w:left w:w="0" w:type="dxa"/>
          <w:bottom w:w="0" w:type="dxa"/>
          <w:right w:w="0" w:type="dxa"/>
        </w:tblCellMar>
      </w:tblPr>
      <w:tblGrid>
        <w:gridCol w:w="2026"/>
        <w:gridCol w:w="326"/>
        <w:gridCol w:w="1066"/>
        <w:gridCol w:w="326"/>
        <w:gridCol w:w="1066"/>
        <w:gridCol w:w="154"/>
      </w:tblGrid>
      <w:tr>
        <w:trPr/>
        <w:tc>
          <w:tcPr>
            <w:tcW w:w="20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286510" cy="175260"/>
                      <wp:effectExtent l="0" t="0" r="0" b="0"/>
                      <wp:wrapNone/>
                      <wp:docPr id="202" name="Frame202"/>
                      <a:graphic xmlns:a="http://schemas.openxmlformats.org/drawingml/2006/main">
                        <a:graphicData uri="http://schemas.microsoft.com/office/word/2010/wordprocessingShape">
                          <wps:wsp>
                            <wps:cNvSpPr txBox="1"/>
                            <wps:spPr>
                              <a:xfrm>
                                <a:off x="0" y="0"/>
                                <a:ext cx="1286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76910" cy="175260"/>
                      <wp:effectExtent l="0" t="0" r="0" b="0"/>
                      <wp:wrapNone/>
                      <wp:docPr id="204" name="Frame204"/>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76910" cy="175260"/>
                      <wp:effectExtent l="0" t="0" r="0" b="0"/>
                      <wp:wrapNone/>
                      <wp:docPr id="206" name="Frame206"/>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97790" cy="175260"/>
                      <wp:effectExtent l="0" t="0" r="0" b="0"/>
                      <wp:wrapNone/>
                      <wp:docPr id="207" name="Frame207"/>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0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45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54" w:type="dxa"/>
            <w:tcBorders/>
            <w:shd w:fill="auto" w:val="clear"/>
            <w:vAlign w:val="center"/>
          </w:tcPr>
          <w:p>
            <w:pPr>
              <w:pStyle w:val="TableContents"/>
              <w:spacing w:before="0" w:after="1"/>
              <w:ind w:left="0" w:right="0" w:hanging="0"/>
              <w:rPr/>
            </w:pPr>
            <w:r>
              <w:rPr/>
              <w:t>​</w:t>
            </w:r>
          </w:p>
        </w:tc>
      </w:tr>
      <w:tr>
        <w:trPr/>
        <w:tc>
          <w:tcPr>
            <w:tcW w:w="20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26" w:type="dxa"/>
            <w:tcBorders/>
            <w:shd w:fill="auto" w:val="clear"/>
            <w:vAlign w:val="center"/>
          </w:tcPr>
          <w:p>
            <w:pPr>
              <w:pStyle w:val="TableContents"/>
              <w:spacing w:before="0" w:after="1"/>
              <w:ind w:left="0" w:right="0" w:hanging="0"/>
              <w:rPr/>
            </w:pPr>
            <w:r>
              <w:rPr/>
              <w:t>    </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 2021</w:t>
            </w:r>
          </w:p>
        </w:tc>
        <w:tc>
          <w:tcPr>
            <w:tcW w:w="154" w:type="dxa"/>
            <w:tcBorders/>
            <w:shd w:fill="auto" w:val="clear"/>
            <w:vAlign w:val="center"/>
          </w:tcPr>
          <w:p>
            <w:pPr>
              <w:pStyle w:val="TableContents"/>
              <w:spacing w:before="0" w:after="1"/>
              <w:ind w:left="0" w:right="0" w:hanging="0"/>
              <w:rPr/>
            </w:pPr>
            <w:r>
              <w:rPr/>
              <w:t>​</w:t>
            </w:r>
          </w:p>
        </w:tc>
      </w:tr>
      <w:tr>
        <w:trPr/>
        <w:tc>
          <w:tcPr>
            <w:tcW w:w="20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Restricted stock awards</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2,166,308</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pPr>
            <w:r>
              <w:rPr/>
              <w:t>—</w:t>
            </w:r>
          </w:p>
        </w:tc>
        <w:tc>
          <w:tcPr>
            <w:tcW w:w="154" w:type="dxa"/>
            <w:tcBorders/>
            <w:shd w:fill="CCEEFF" w:val="clear"/>
            <w:vAlign w:val="center"/>
          </w:tcPr>
          <w:p>
            <w:pPr>
              <w:pStyle w:val="TableContents"/>
              <w:spacing w:before="0" w:after="1"/>
              <w:ind w:left="0" w:right="0" w:hanging="0"/>
              <w:rPr/>
            </w:pPr>
            <w:r>
              <w:rPr/>
              <w:t>​</w:t>
            </w:r>
          </w:p>
        </w:tc>
      </w:tr>
      <w:tr>
        <w:trPr/>
        <w:tc>
          <w:tcPr>
            <w:tcW w:w="20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Restricted stock units</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147,606</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pPr>
            <w:r>
              <w:rPr/>
              <w:t>—</w:t>
            </w:r>
          </w:p>
        </w:tc>
        <w:tc>
          <w:tcPr>
            <w:tcW w:w="154" w:type="dxa"/>
            <w:tcBorders/>
            <w:shd w:fill="auto" w:val="clear"/>
            <w:vAlign w:val="center"/>
          </w:tcPr>
          <w:p>
            <w:pPr>
              <w:pStyle w:val="TableContents"/>
              <w:spacing w:before="0" w:after="1"/>
              <w:ind w:left="0" w:right="0" w:hanging="0"/>
              <w:rPr/>
            </w:pPr>
            <w:r>
              <w:rPr/>
              <w:t>​</w:t>
            </w:r>
          </w:p>
        </w:tc>
      </w:tr>
      <w:tr>
        <w:trPr/>
        <w:tc>
          <w:tcPr>
            <w:tcW w:w="20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pPr>
            <w:r>
              <w:rPr/>
              <w:t>—</w:t>
            </w:r>
          </w:p>
        </w:tc>
        <w:tc>
          <w:tcPr>
            <w:tcW w:w="154"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14. RELATED PARTY TRANSACTIONS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BrightAI Services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Starting in 2020, BrightAI rendered services to the Company, for which the cost was capitalized as internal-use software. A co-founder of BrightAI Services has served on the Company’s board of directors since December 9, 2020. During the fiscal quarter ended April 2, 2022 and the year ended December 31, 2021, the Company incurred $0.3 million and $2.1 million, respectively, associated with services performed by BrightAI, which is recorded as construction in progress within property and equipment, net on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972" w:name="_a735043b_53b6_4c2e_a7ca_665912dc7ceb"/>
      <w:bookmarkEnd w:id="972"/>
      <w:r>
        <w:rPr>
          <w:rFonts w:ascii="Times New Roman;Times;serif" w:hAnsi="Times New Roman;Times;serif"/>
          <w:sz w:val="20"/>
        </w:rPr>
        <w:t xml:space="preserve">condensed consolidated balance sheet as of April 2, 2022. As of both April 2, 2022 and December 31, 2021, the Company had accounts payable - related party to BrightAI of $0.9 million.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Expense Reimbursement and Management Fees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had an expense reimbursement agreement (the “management fee arrangement”) with the Sponsor and Wynnchurch Capital, L.P. for ongoing consulting and advisory services. The management fee arrangement provided for the aggregate payment of up to $1.0 million each year for reimbursement of expenses incurred with services provided and, depending on the extent of services provided, management fees. The management fee arrangement terminated upon consummation of the Company’s IPO.</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Company entered into a Stockholders’ Agreement with the Sponsor and Wynnchurch Capital, L.P. on April 27, 2021. The Stockholders’ Agreement requires the Company to reimburse the Sponsor and Wynnchurch Capital, L.P. the reasonable out-of-pocket costs and expenses in connection with monitoring and overseeing their investment in the Company.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were no management fees incurred by the Company during the fiscal quarters ended April 2, 2022 and April 3, 2021. The Company did not reimburse any out-of-pocket costs or expenses to the Sponsor and Wynnchurch Capital, L.P. during both the fiscal quarters ended April 2, 2022 and April 3, 2021. As of both April 2, 2022 and December 31, 2021, there were no outstanding amounts payable to the Sponsor and Wynnchurch Capital, L.P.</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15. SUBSEQUENT EVENTS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On May 10, 2022, the Company approved a stock repurchase program (the “Repurchase Program”), which authorized the Company to repurchase up to $100 million of the Company’s shares of common stock over the next three years. The Company may effect these repurchases in open market transactions, privately negotiated purchases or other acquisitions. The Company is not obligated to repurchase any of its shares of its common stock under the Repurchase Program and the timing and amount of any repurchases will depend on market conditions, the Company’s stock price, alternative uses of capital, the terms of the Company’s debt instruments and other factors.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973" w:name="Item2ManagementsDiscussionandAnalysisofF"/>
      <w:bookmarkStart w:id="974" w:name="_d30fdb68_98ca_4bf1_968a_06eebad099e2"/>
      <w:bookmarkEnd w:id="973"/>
      <w:bookmarkEnd w:id="974"/>
      <w:r>
        <w:rPr>
          <w:rFonts w:ascii="Times New Roman;Times;serif" w:hAnsi="Times New Roman;Times;serif"/>
          <w:b/>
          <w:sz w:val="20"/>
        </w:rPr>
        <w:t>Item 2. Management’s Discussion and Analysis of Financial Condition and Results of Operations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condensed consolidated financial statements and related notes appearing elsewhere in this Quarterly Report on Form 10-Q and our 2021 Annual Report on Form 10-K filed with the Securities and Exchange Commission, or SEC, on March 10, 2022 (the “Annual Report”).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This discussion contains forward-looking statements that involve risk, assumptions and uncertainties, such as statements of our plans, objectives, expectations, intentions and forecasts.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Our actual results and the timing of selected events could differ materially from those discussed in these forward-looking statements as a result of several factors, including those set forth under the section of this Quarterly Report on Form 10-Q titled “Risk Factors” and elsewhere in this Quarterly Report on Form 10-Q.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 secular shifts in consumer demand for swimming pools and spending on outdoor living spaces; slow pace of material conversion from concrete pools to fiberglass pools in the pool industry; general economic conditions and uncertainties affecting markets in which we operate and economic volatility that could adversely impact our business, including the COVID-19 pandemic; the impact of the war between the Russian Federation and Ukraine, including impact of sanctions imposed by Western governments; changes in access to consumer credit or increases in interest rates impacting consumers’ ability to finance their purchases of pools; the impact of weather on our business; our ability to attract new customers and retain existing customers; our ability to sustain further growth and to manage it effectively; the ability of our suppliers to continue to deliver the quantity or quality of materials sufficient to meet our needs to manufacture our products; the availability and cost of third-party transportation services for our products and raw materials; product quality issues; our ability to successfully defend litigation brought against us; our ability to adequately obtain, maintain, protect and enforce our intellectual property and proprietary rights and claims of intellectual property and proprietary right infringement, misappropriation or other violation by competitors and third parties; failure to hire and retain qualified employees and personnel; exposure to risks associated with international sales and operations, including foreign currency exchange rates, corruption and instability; security breaches, cyber-attacks and other interruptions to our and our third-party service providers’ technological and physical infrastructures; catastrophic events, including war, terrorism and other international conflicts, public health issues or natural catastrophes and accidents; risk of increased regulation of our operations, particularly related to environmental laws; fluctuations in our operating results; inability to compete successfully against current and future competitors; and other risks, uncertainties and factors set forth in this Quarterly Report on Form 10-Q, including those set forth under section titled “Risk Factors.” These forward-looking statements reflect our views with respect to future events as of the date of this Quarterly Report on Form 10-Q and are based on assumptions and subject to risks and uncertainties. Given these uncertainties, you should not place undue reliance on these forward-looking statements. These forward-looking statements represent our estimates and assumptions only as of the date of this Quarterly Report on Form 10-Q and,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You should read this Quarterly Report on Form 10-Q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lineRule="auto" w:line="240" w:before="0" w:after="240"/>
        <w:ind w:left="0" w:right="0" w:firstLine="360"/>
        <w:rPr>
          <w:rFonts w:ascii="Times New Roman;Times;serif" w:hAnsi="Times New Roman;Times;serif"/>
          <w:sz w:val="20"/>
        </w:rPr>
      </w:pPr>
      <w:r>
        <w:rPr>
          <w:rFonts w:ascii="Times New Roman;Times;serif" w:hAnsi="Times New Roman;Times;serif"/>
          <w:sz w:val="20"/>
        </w:rPr>
        <w:t>We are the largest designer, manufacturer and marketer of in-ground residential swimming pools in North America, Australia and New Zealand. We hold the #1 market position in North America in every product category in which we compete. We believe that we are the most sought-after brand in the pool industry and the only pool company that has established a direct relationship with the homeowner. We are Latham, The Pool Company</w:t>
      </w:r>
      <w:r>
        <w:rPr>
          <w:rFonts w:ascii="Times New Roman;Times;serif" w:hAnsi="Times New Roman;Times;serif"/>
          <w:sz w:val="15"/>
        </w:rPr>
        <w:t>TM</w:t>
      </w:r>
      <w:r>
        <w:rPr>
          <w:rFonts w:ascii="Times New Roman;Times;serif" w:hAnsi="Times New Roman;Times;serif"/>
          <w:sz w:val="20"/>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With an operating history that spans over 65 years, we offer the industry’s broadest portfolio of pools and related products, including in-ground swimming pools, pool liners and pool covers.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generate and provide high quality, purchase-ready consumer leads to our dealer partners.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Partnership with our dealers is integral to our collective success, and we have enjoyed long-tenured relationships averaging over 14 years. We support our dealer network with business development tools, co-branded marketing programs and in-house training, as well as an operations platform consisting of over 2,300 employees across over 30 facilities.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full resources of our company are dedicated to designing and manufacturing high-quality pool products with the homeowner in mind, and positioning ourselves as a value-added partner to our dealers.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conduct our business as one operating and reportable segment that designs, manufactures and markets in-ground swimming pools, liners and covers.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Developments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Highlights for the fiscal quarter ended April 2, 2022</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net sales of 28.8%, or $42.9 million, to $191.6 million for the fiscal quarter ended April 2, 2022, compared to $148.7 million for the fiscal quarter ended April 3, 2021.</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 in net loss of $11.3 million, to $2.8 million for the fiscal quarter ended April 2, 2022, compared to a net income of $8.5 million for the fiscal quarter ended April 3, 2021, representing an 1.5% net loss margin for the fiscal quarter ended April 2, 2022.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Adjusted EBITDA (as defined below) of $14.5 million, to $48.0 million for the fiscal quarter ended April 2, 2022, compared to $33.5 million for the fiscal quarter ended April 3, 2021.</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Share Repurchase Program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On May 10, 2022, we approved a stock repurchase program (the “Repurchase Program”), which authorized us to repurchase up to $100 million of our shares of common stock over the next three years. We may effect these repurchases in open market transactions, privately negotiated purchases or other acquisitions. We are not obligated to repurchase any of our shares of our common stock under the Repurchase Program and the timing and amount of any repurchases will depend on market conditions, our stock price, alternative uses of capital, the terms of our debt instruments and other factors.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Debt Refinancing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February 23, 2022, we entered into an agreement (the “New Credit Agreement”) with Barclays Bank PLC, which provides a senior secured multicurrency revolving line of credit (the “New Revolving Credit Facility”) in an initial principal amount of $75.0 million and a U.S. Dollar senior secured term loan facility (the “New Term Loan Facility”) in an initial principal amount of $325.0 million (the “Refinancing”). On the closing date, proceeds under the agreement were used to repay $294.0 million and terminate the Credit Agreement (as defined below) and for general corporate purposes.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Offering of Common Stock</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On January 11, 2022, we completed an offering of 13,800,000 shares of common stock, including the exercise in full by the underwriters of their option to purchase up to 1,800,000 additional shares of common stock, at a public offering price of $19.50 per share. We received proceeds of $257.7 million from this offering, net of $11.4 million of underwriting fees. The proceeds of $257.7 million were used to purchase 13,800,000 shares of common stock from certain of our stockholders, primarily investment funds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managed by Pamplona Capital Management LLC (“Pamplona”) and Wynnchurch Capital, L.P., and also a small percentage of shares of common stock owned by some of our directors and executive officers.</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Indicators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Sales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derive our revenue from the design, manufacture and sale of in-ground swimming pools, pool covers and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covers, which are winterizing mesh and solid pool covers that protect pools against debris and cold or inclement weather and automatic safety covers for pools that can be operated with a switch.</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Each product shipped is considered to be one performance obligation. With the exception of our extended service warranties and our custom product contracts, we recognize our revenue when control of our promised goods is transferred to our customers, either upon shipment or arrival at our customer’s destination depending upon the terms of the purchase order. Sales are recognized net of any estimated rebates,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Gross Margin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Gross margin is gross profit as a percentage of our net sales. Gross margin is dependent upon several factors, such as changes in prices of raw materials, the volume and relative sales mix among product lines, the average price of our products sold and plant performance, among other factors. Gross margin is also impacted by the costs of distribution and occupancy costs, which can vary.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use Adjusted EBITDA and Adjusted EBITDA margin to supplement GAAP measures of performance to evaluate the effectiveness of our business strategies, to make budgeting decisions, to establish our annual management incentive bonus plan compensation and to compare our performance against that of other peer companies using similar measures. We define Adjusted EBITDA as net income (loss) plus (i) depreciation and amortization, (ii) interest expense, (iii) income tax (benefit) expense, (iv) loss on sale and disposal of property and equipment, (v) restructuring charges, (vi) stock-based compensation expense, (vii) unrealized (gains) losses on foreign currency transactions, (viii) strategic initiative costs, (ix) acquisition and integration related costs, (x) loss on extinguishment of debt, (xi) other, (xii) underwriting fees related to offering of common stock and (xiii) IPO costs. We believe excluding these items allows for better comparison of our financial results across reporting periods.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define Adjusted EBITDA margin as Adjusted EBITDA divided by net sales. Our definitions of Adjusted EBITDA and Adjusted EBITDA margin may not be comparable to similarly titled measures of other companies.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a discussion of Adjusted EBITDA and Adjusted EBITDA margin and the limitations on their use, and the reconciliation of Adjusted EBITDA to net income (loss), the most directly comparable GAAP financial measure, and our calculation of Adjusted EBITDA margin see “—Non-GAAP Financial Measures” below.</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Fiscal Quarter Ended April 2, 2022 Compared to Fiscal Quarter Ended April 3, 2021</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summarizes our results of operations for the fiscal quarters ended April 2, 2022 and April 3, 2021:</w:t>
      </w:r>
    </w:p>
    <w:p>
      <w:pPr>
        <w:pStyle w:val="TextBody"/>
        <w:spacing w:before="0" w:after="240"/>
        <w:ind w:left="0" w:right="0" w:firstLine="360"/>
        <w:rPr/>
      </w:pPr>
      <w:r>
        <w:rPr/>
        <w:t>​</w:t>
      </w:r>
    </w:p>
    <w:tbl>
      <w:tblPr>
        <w:tblW w:w="10205" w:type="dxa"/>
        <w:jc w:val="left"/>
        <w:tblInd w:w="0" w:type="dxa"/>
        <w:tblCellMar>
          <w:top w:w="0" w:type="dxa"/>
          <w:left w:w="0" w:type="dxa"/>
          <w:bottom w:w="0" w:type="dxa"/>
          <w:right w:w="0" w:type="dxa"/>
        </w:tblCellMar>
      </w:tblPr>
      <w:tblGrid>
        <w:gridCol w:w="2205"/>
        <w:gridCol w:w="326"/>
        <w:gridCol w:w="214"/>
        <w:gridCol w:w="796"/>
        <w:gridCol w:w="326"/>
        <w:gridCol w:w="811"/>
        <w:gridCol w:w="361"/>
        <w:gridCol w:w="214"/>
        <w:gridCol w:w="796"/>
        <w:gridCol w:w="326"/>
        <w:gridCol w:w="811"/>
        <w:gridCol w:w="361"/>
        <w:gridCol w:w="211"/>
        <w:gridCol w:w="751"/>
        <w:gridCol w:w="326"/>
        <w:gridCol w:w="961"/>
        <w:gridCol w:w="409"/>
      </w:tblGrid>
      <w:tr>
        <w:trPr/>
        <w:tc>
          <w:tcPr>
            <w:tcW w:w="22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400175" cy="175260"/>
                      <wp:effectExtent l="0" t="0" r="0" b="0"/>
                      <wp:wrapNone/>
                      <wp:docPr id="208" name="Frame208"/>
                      <a:graphic xmlns:a="http://schemas.openxmlformats.org/drawingml/2006/main">
                        <a:graphicData uri="http://schemas.microsoft.com/office/word/2010/wordprocessingShape">
                          <wps:wsp>
                            <wps:cNvSpPr txBox="1"/>
                            <wps:spPr>
                              <a:xfrm>
                                <a:off x="0" y="0"/>
                                <a:ext cx="14001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5890" cy="175260"/>
                      <wp:effectExtent l="0" t="0" r="0" b="0"/>
                      <wp:wrapNone/>
                      <wp:docPr id="210" name="Frame210"/>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05460" cy="175260"/>
                      <wp:effectExtent l="0" t="0" r="0" b="0"/>
                      <wp:wrapNone/>
                      <wp:docPr id="211" name="Frame211"/>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14985" cy="175260"/>
                      <wp:effectExtent l="0" t="0" r="0" b="0"/>
                      <wp:wrapNone/>
                      <wp:docPr id="213" name="Frame213"/>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29235" cy="175260"/>
                      <wp:effectExtent l="0" t="0" r="0" b="0"/>
                      <wp:wrapNone/>
                      <wp:docPr id="214" name="Frame214"/>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5890" cy="175260"/>
                      <wp:effectExtent l="0" t="0" r="0" b="0"/>
                      <wp:wrapNone/>
                      <wp:docPr id="215" name="Frame215"/>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05460" cy="175260"/>
                      <wp:effectExtent l="0" t="0" r="0" b="0"/>
                      <wp:wrapNone/>
                      <wp:docPr id="216" name="Frame21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14985" cy="175260"/>
                      <wp:effectExtent l="0" t="0" r="0" b="0"/>
                      <wp:wrapNone/>
                      <wp:docPr id="218" name="Frame218"/>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29235" cy="175260"/>
                      <wp:effectExtent l="0" t="0" r="0" b="0"/>
                      <wp:wrapNone/>
                      <wp:docPr id="219" name="Frame21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76885" cy="175260"/>
                      <wp:effectExtent l="0" t="0" r="0" b="0"/>
                      <wp:wrapNone/>
                      <wp:docPr id="221" name="Frame221"/>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10235" cy="175260"/>
                      <wp:effectExtent l="0" t="0" r="0" b="0"/>
                      <wp:wrapNone/>
                      <wp:docPr id="223" name="Frame223"/>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59715" cy="175260"/>
                      <wp:effectExtent l="0" t="0" r="0" b="0"/>
                      <wp:wrapNone/>
                      <wp:docPr id="224" name="Frame224"/>
                      <a:graphic xmlns:a="http://schemas.openxmlformats.org/drawingml/2006/main">
                        <a:graphicData uri="http://schemas.microsoft.com/office/word/2010/wordprocessingShape">
                          <wps:wsp>
                            <wps:cNvSpPr txBox="1"/>
                            <wps:spPr>
                              <a:xfrm>
                                <a:off x="0" y="0"/>
                                <a:ext cx="2597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20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265" w:type="dxa"/>
            <w:gridSpan w:val="1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409" w:type="dxa"/>
            <w:tcBorders/>
            <w:shd w:fill="auto" w:val="clear"/>
            <w:vAlign w:val="center"/>
          </w:tcPr>
          <w:p>
            <w:pPr>
              <w:pStyle w:val="TableContents"/>
              <w:spacing w:before="0" w:after="1"/>
              <w:ind w:left="0" w:right="0" w:hanging="0"/>
              <w:rPr/>
            </w:pPr>
            <w:r>
              <w:rPr/>
              <w:t> </w:t>
            </w:r>
          </w:p>
        </w:tc>
      </w:tr>
      <w:tr>
        <w:trPr/>
        <w:tc>
          <w:tcPr>
            <w:tcW w:w="220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 </w:t>
            </w:r>
          </w:p>
        </w:tc>
        <w:tc>
          <w:tcPr>
            <w:tcW w:w="361"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 </w:t>
            </w:r>
          </w:p>
        </w:tc>
        <w:tc>
          <w:tcPr>
            <w:tcW w:w="361" w:type="dxa"/>
            <w:tcBorders/>
            <w:shd w:fill="auto" w:val="clear"/>
            <w:vAlign w:val="center"/>
          </w:tcPr>
          <w:p>
            <w:pPr>
              <w:pStyle w:val="TableContents"/>
              <w:spacing w:before="0" w:after="1"/>
              <w:ind w:left="0" w:right="0" w:hanging="0"/>
              <w:rPr/>
            </w:pPr>
            <w:r>
              <w:rPr/>
              <w:t>​</w:t>
            </w:r>
          </w:p>
        </w:tc>
        <w:tc>
          <w:tcPr>
            <w:tcW w:w="96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26"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 </w:t>
            </w:r>
          </w:p>
        </w:tc>
        <w:tc>
          <w:tcPr>
            <w:tcW w:w="409" w:type="dxa"/>
            <w:tcBorders/>
            <w:shd w:fill="auto" w:val="clear"/>
            <w:vAlign w:val="center"/>
          </w:tcPr>
          <w:p>
            <w:pPr>
              <w:pStyle w:val="TableContents"/>
              <w:spacing w:before="0" w:after="1"/>
              <w:ind w:left="0" w:right="0" w:hanging="0"/>
              <w:rPr/>
            </w:pPr>
            <w:r>
              <w:rPr/>
              <w:t> </w:t>
            </w:r>
          </w:p>
        </w:tc>
      </w:tr>
      <w:tr>
        <w:trPr/>
        <w:tc>
          <w:tcPr>
            <w:tcW w:w="220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61" w:type="dxa"/>
            <w:tcBorders/>
            <w:shd w:fill="auto" w:val="clear"/>
            <w:vAlign w:val="center"/>
          </w:tcPr>
          <w:p>
            <w:pPr>
              <w:pStyle w:val="TableContents"/>
              <w:spacing w:before="0" w:after="1"/>
              <w:ind w:left="0" w:right="0" w:hanging="0"/>
              <w:rPr/>
            </w:pPr>
            <w:r>
              <w:rPr/>
              <w:t>    </w:t>
            </w:r>
          </w:p>
        </w:tc>
        <w:tc>
          <w:tcPr>
            <w:tcW w:w="10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 2021</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61" w:type="dxa"/>
            <w:tcBorders/>
            <w:shd w:fill="auto" w:val="clear"/>
            <w:vAlign w:val="center"/>
          </w:tcPr>
          <w:p>
            <w:pPr>
              <w:pStyle w:val="TableContents"/>
              <w:spacing w:before="0" w:after="1"/>
              <w:ind w:left="0" w:right="0" w:hanging="0"/>
              <w:rPr/>
            </w:pPr>
            <w:r>
              <w:rPr/>
              <w:t>    </w:t>
            </w:r>
          </w:p>
        </w:tc>
        <w:tc>
          <w:tcPr>
            <w:tcW w:w="96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Net Sales</w:t>
            </w:r>
          </w:p>
        </w:tc>
        <w:tc>
          <w:tcPr>
            <w:tcW w:w="409" w:type="dxa"/>
            <w:tcBorders/>
            <w:shd w:fill="auto" w:val="clear"/>
            <w:vAlign w:val="center"/>
          </w:tcPr>
          <w:p>
            <w:pPr>
              <w:pStyle w:val="TableContents"/>
              <w:spacing w:before="0" w:after="1"/>
              <w:ind w:left="0" w:right="0" w:hanging="0"/>
              <w:rPr/>
            </w:pPr>
            <w:r>
              <w:rPr/>
              <w:t> </w:t>
            </w:r>
          </w:p>
        </w:tc>
      </w:tr>
      <w:tr>
        <w:trPr/>
        <w:tc>
          <w:tcPr>
            <w:tcW w:w="10205" w:type="dxa"/>
            <w:gridSpan w:val="17"/>
            <w:tcBorders/>
            <w:shd w:fill="auto" w:val="clear"/>
            <w:vAlign w:val="center"/>
          </w:tcPr>
          <w:p>
            <w:pPr>
              <w:pStyle w:val="TableContents"/>
              <w:spacing w:before="0" w:after="283"/>
              <w:ind w:left="0" w:right="0" w:hanging="0"/>
              <w:rPr>
                <w:sz w:val="4"/>
                <w:szCs w:val="4"/>
              </w:rPr>
            </w:pPr>
            <w:r>
              <w:rPr>
                <w:sz w:val="4"/>
                <w:szCs w:val="4"/>
              </w:rPr>
            </w:r>
          </w:p>
        </w:tc>
      </w:tr>
      <w:tr>
        <w:trPr/>
        <w:tc>
          <w:tcPr>
            <w:tcW w:w="220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265" w:type="dxa"/>
            <w:gridSpan w:val="1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409" w:type="dxa"/>
            <w:tcBorders/>
            <w:shd w:fill="auto" w:val="clear"/>
            <w:vAlign w:val="center"/>
          </w:tcPr>
          <w:p>
            <w:pPr>
              <w:pStyle w:val="TableContents"/>
              <w:spacing w:before="0" w:after="1"/>
              <w:ind w:left="0" w:right="0" w:hanging="0"/>
              <w:rPr/>
            </w:pPr>
            <w:r>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191,614</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148,746</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42,868</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sales</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120,960</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63.1</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96,306</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64.7</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24,654</w:t>
            </w:r>
          </w:p>
        </w:tc>
        <w:tc>
          <w:tcPr>
            <w:tcW w:w="326" w:type="dxa"/>
            <w:tcBorders/>
            <w:shd w:fill="auto" w:val="clear"/>
            <w:vAlign w:val="center"/>
          </w:tcPr>
          <w:p>
            <w:pPr>
              <w:pStyle w:val="TableContents"/>
              <w:spacing w:before="0" w:after="1"/>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70,654</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52,440</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 </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18,214</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1.6 </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pPr>
            <w:r>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45,225</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27,172</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 </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18,053</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5.3 </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Underwriting fees related to offering of common stock</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11,437</w:t>
            </w:r>
          </w:p>
        </w:tc>
        <w:tc>
          <w:tcPr>
            <w:tcW w:w="32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11,437</w:t>
            </w:r>
          </w:p>
        </w:tc>
        <w:tc>
          <w:tcPr>
            <w:tcW w:w="326"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6.0 </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w:t>
            </w:r>
          </w:p>
        </w:tc>
        <w:tc>
          <w:tcPr>
            <w:tcW w:w="326" w:type="dxa"/>
            <w:tcBorders/>
            <w:shd w:fill="CCEEFF" w:val="clear"/>
            <w:vAlign w:val="center"/>
          </w:tcPr>
          <w:p>
            <w:pPr>
              <w:pStyle w:val="TableContents"/>
              <w:spacing w:before="0" w:after="1"/>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7,192</w:t>
            </w:r>
          </w:p>
        </w:tc>
        <w:tc>
          <w:tcPr>
            <w:tcW w:w="326" w:type="dxa"/>
            <w:tcBorders/>
            <w:shd w:fill="CCEEFF" w:val="cle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5,595</w:t>
            </w:r>
          </w:p>
        </w:tc>
        <w:tc>
          <w:tcPr>
            <w:tcW w:w="326" w:type="dxa"/>
            <w:tcBorders/>
            <w:shd w:fill="CCEEFF" w:val="cle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1,597</w:t>
            </w:r>
          </w:p>
        </w:tc>
        <w:tc>
          <w:tcPr>
            <w:tcW w:w="326" w:type="dxa"/>
            <w:tcBorders/>
            <w:shd w:fill="CCEEFF" w:val="clear"/>
            <w:vAlign w:val="center"/>
          </w:tcPr>
          <w:p>
            <w:pPr>
              <w:pStyle w:val="TableContents"/>
              <w:spacing w:before="0" w:after="1"/>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6,800</w:t>
            </w:r>
          </w:p>
        </w:tc>
        <w:tc>
          <w:tcPr>
            <w:tcW w:w="32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19,673</w:t>
            </w:r>
          </w:p>
        </w:tc>
        <w:tc>
          <w:tcPr>
            <w:tcW w:w="32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 </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(12,873)</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Other expense (income): </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61"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  </w:t>
            </w:r>
          </w:p>
        </w:tc>
        <w:tc>
          <w:tcPr>
            <w:tcW w:w="361"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pPr>
            <w:r>
              <w:rPr/>
              <w:t>  </w:t>
            </w:r>
          </w:p>
        </w:tc>
        <w:tc>
          <w:tcPr>
            <w:tcW w:w="409" w:type="dxa"/>
            <w:tcBorders/>
            <w:shd w:fill="CCEEFF" w:val="clear"/>
            <w:vAlign w:val="center"/>
          </w:tcPr>
          <w:p>
            <w:pPr>
              <w:pStyle w:val="TableContents"/>
              <w:spacing w:before="0" w:after="1"/>
              <w:ind w:left="0" w:right="0" w:hanging="0"/>
              <w:rPr/>
            </w:pPr>
            <w:r>
              <w:rPr/>
              <w:t>​</w:t>
            </w:r>
          </w:p>
        </w:tc>
      </w:tr>
      <w:tr>
        <w:trPr/>
        <w:tc>
          <w:tcPr>
            <w:tcW w:w="220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1,765</w:t>
            </w:r>
          </w:p>
        </w:tc>
        <w:tc>
          <w:tcPr>
            <w:tcW w:w="32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9,056</w:t>
            </w:r>
          </w:p>
        </w:tc>
        <w:tc>
          <w:tcPr>
            <w:tcW w:w="32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 </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(7,291)</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3,465</w:t>
            </w:r>
          </w:p>
        </w:tc>
        <w:tc>
          <w:tcPr>
            <w:tcW w:w="32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3,465</w:t>
            </w:r>
          </w:p>
        </w:tc>
        <w:tc>
          <w:tcPr>
            <w:tcW w:w="326" w:type="dxa"/>
            <w:tcBorders/>
            <w:shd w:fill="CCEEFF" w:val="clear"/>
            <w:vAlign w:val="center"/>
          </w:tcPr>
          <w:p>
            <w:pPr>
              <w:pStyle w:val="TableContents"/>
              <w:spacing w:before="0" w:after="1"/>
              <w:ind w:left="0" w:right="0" w:hanging="0"/>
              <w:rPr/>
            </w:pPr>
            <w:r>
              <w:rPr/>
              <w:t>​</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1.8 </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(555)</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auto" w:val="clear"/>
            <w:vAlign w:val="center"/>
          </w:tcPr>
          <w:p>
            <w:pPr>
              <w:pStyle w:val="TableContents"/>
              <w:spacing w:before="0" w:after="1"/>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0.2 </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other expense, net</w:t>
            </w:r>
          </w:p>
        </w:tc>
        <w:tc>
          <w:tcPr>
            <w:tcW w:w="326" w:type="dxa"/>
            <w:tcBorders/>
            <w:shd w:fill="CCEEFF" w:val="clear"/>
            <w:vAlign w:val="center"/>
          </w:tcPr>
          <w:p>
            <w:pPr>
              <w:pStyle w:val="TableContents"/>
              <w:spacing w:before="0" w:after="1"/>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4,875</w:t>
            </w:r>
          </w:p>
        </w:tc>
        <w:tc>
          <w:tcPr>
            <w:tcW w:w="326" w:type="dxa"/>
            <w:tcBorders/>
            <w:shd w:fill="CCEEFF" w:val="cle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8,501</w:t>
            </w:r>
          </w:p>
        </w:tc>
        <w:tc>
          <w:tcPr>
            <w:tcW w:w="326" w:type="dxa"/>
            <w:tcBorders/>
            <w:shd w:fill="CCEEFF" w:val="cle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(3,626)</w:t>
            </w:r>
          </w:p>
        </w:tc>
        <w:tc>
          <w:tcPr>
            <w:tcW w:w="326" w:type="dxa"/>
            <w:tcBorders/>
            <w:shd w:fill="CCEEFF" w:val="clear"/>
            <w:vAlign w:val="center"/>
          </w:tcPr>
          <w:p>
            <w:pPr>
              <w:pStyle w:val="TableContents"/>
              <w:spacing w:before="0" w:after="1"/>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Earnings from equity method investment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c>
          <w:tcPr>
            <w:tcW w:w="32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0.3 </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0.2 </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 </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0.1 </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2,467</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11,416</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 </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(8,949)</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5,307</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2,883</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2,424</w:t>
            </w:r>
          </w:p>
        </w:tc>
        <w:tc>
          <w:tcPr>
            <w:tcW w:w="326" w:type="dxa"/>
            <w:tcBorders/>
            <w:shd w:fill="auto" w:val="clear"/>
            <w:vAlign w:val="center"/>
          </w:tcPr>
          <w:p>
            <w:pPr>
              <w:pStyle w:val="TableContents"/>
              <w:spacing w:before="0" w:after="1"/>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0.8 </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income</w:t>
            </w:r>
          </w:p>
        </w:tc>
        <w:tc>
          <w:tcPr>
            <w:tcW w:w="326" w:type="dxa"/>
            <w:tcBorders/>
            <w:shd w:fill="CCEEFF" w:val="clear"/>
            <w:vAlign w:val="center"/>
          </w:tcPr>
          <w:p>
            <w:pPr>
              <w:pStyle w:val="TableContents"/>
              <w:spacing w:before="0" w:after="1"/>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(2,840)</w:t>
            </w:r>
          </w:p>
        </w:tc>
        <w:tc>
          <w:tcPr>
            <w:tcW w:w="326" w:type="dxa"/>
            <w:tcBorders/>
            <w:shd w:fill="CCEEFF" w:val="clear"/>
            <w:vAlign w:val="center"/>
          </w:tcPr>
          <w:p>
            <w:pPr>
              <w:pStyle w:val="TableContents"/>
              <w:spacing w:before="0" w:after="1"/>
              <w:ind w:left="0" w:right="0" w:hanging="0"/>
              <w:rPr/>
            </w:pPr>
            <w:r>
              <w:rPr/>
              <w:t> </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8,533</w:t>
            </w:r>
          </w:p>
        </w:tc>
        <w:tc>
          <w:tcPr>
            <w:tcW w:w="326" w:type="dxa"/>
            <w:tcBorders/>
            <w:shd w:fill="CCEEFF" w:val="clear"/>
            <w:vAlign w:val="center"/>
          </w:tcPr>
          <w:p>
            <w:pPr>
              <w:pStyle w:val="TableContents"/>
              <w:spacing w:before="0" w:after="1"/>
              <w:ind w:left="0" w:right="0" w:hanging="0"/>
              <w:rPr/>
            </w:pPr>
            <w:r>
              <w:rPr/>
              <w:t> </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(11,373)</w:t>
            </w:r>
          </w:p>
        </w:tc>
        <w:tc>
          <w:tcPr>
            <w:tcW w:w="326" w:type="dxa"/>
            <w:tcBorders/>
            <w:shd w:fill="CCEEFF" w:val="clear"/>
            <w:vAlign w:val="center"/>
          </w:tcPr>
          <w:p>
            <w:pPr>
              <w:pStyle w:val="TableContents"/>
              <w:spacing w:before="0" w:after="1"/>
              <w:ind w:left="0" w:right="0" w:hanging="0"/>
              <w:rPr/>
            </w:pPr>
            <w:r>
              <w:rPr/>
              <w:t> </w:t>
            </w:r>
          </w:p>
        </w:tc>
        <w:tc>
          <w:tcPr>
            <w:tcW w:w="9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sz w:val="15"/>
              </w:rPr>
              <w:t>(a)</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47,962</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33,520</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14,442</w:t>
            </w:r>
          </w:p>
        </w:tc>
        <w:tc>
          <w:tcPr>
            <w:tcW w:w="326" w:type="dxa"/>
            <w:tcBorders/>
            <w:shd w:fill="auto" w:val="clear"/>
            <w:vAlign w:val="center"/>
          </w:tcPr>
          <w:p>
            <w:pPr>
              <w:pStyle w:val="TableContents"/>
              <w:spacing w:before="0" w:after="1"/>
              <w:ind w:left="0" w:right="0" w:hanging="0"/>
              <w:rPr/>
            </w:pPr>
            <w:r>
              <w:rPr/>
              <w:t> </w:t>
            </w:r>
          </w:p>
        </w:tc>
        <w:tc>
          <w:tcPr>
            <w:tcW w:w="9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ind w:left="0" w:right="0" w:hanging="0"/>
        <w:rPr>
          <w:rFonts w:ascii="Times New Roman;Times;serif" w:hAnsi="Times New Roman;Times;serif"/>
          <w:sz w:val="20"/>
        </w:rPr>
      </w:pPr>
      <w:r>
        <w:rPr>
          <w:rFonts w:ascii="Times New Roman;Times;serif" w:hAnsi="Times New Roman;Times;serif"/>
          <w:sz w:val="20"/>
        </w:rPr>
        <w:t>(a)Adjusted EBITDA is a non-GAAP measure. See “Non-GAAP Measures” for a reconciliation to net (loss) income, the most directly comparable GAAP measure, and for information regarding our use of Adjusted EBITDA.</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Sales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Net sales was $191.6 million for the fiscal quarter ended April 2, 2022, compared to $148.7 million for the fiscal quarter ended April 3, 2021. The $42.9 million, or 28.8%, increase in net sales was due to a $7.3 million increase from volume and a $35.6 million increase from pricing. The $35.6 million price increase reflects the impact of pricing actions to address inflationary pressures. The increase in total net sales of $42.9 million across our product lines was $18.2 million for in-ground swimming pools, $16.2 million for liners and $8.5 million for covers.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Cost of Sales and Gross Margin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Cost of sales was $121.0 million for the fiscal quarter ended April 2, 2022, compared to $96.3 million for the fiscal quarter ended April 3, 2021. Gross margin increased by 1.6%, to 36.9% of net sales for the fiscal quarter ended April 2, 2022 compared to 35.3% of net sales for the fiscal quarter ended April 3, 2021. The $24.7 million, or 25.6%, increase in cost of sales was primarily the result of the overall increase in sales volume, cost inflation and $1.2 million of non-cash stock-based compensation expense. The 1.6% increase in gross margin was primarily driven by benefits from pricing actions to address inflation, improved resin supply, benefits from the build of inventory, partially offset by negative fixed cost leverage due to investments to support future growth.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Selling, general and administrative expense was $45.2 million for the fiscal quarter ended April 2, 2022, compared to $27.2 million for the fiscal quarter ended April 3, 2021, and increased as a percentage of net sales by 5.3%. The $18.0 million, or 66.4%, increase in selling, general and administrative expense was primarily due to a $14.3 million increase in stock-based compensation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expense, $0.8 million in wages from an increase in headcount, particularly for customer-facing activities to support future business growth, and ongoing public company costs.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Underwriting Fees Related to Offering of Common Stock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Underwriting fees related to our offering of common stock were $11.4 million for the fiscal quarter ended April 2, 2022, related to the offering that was completed in January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Amortization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Amortization was $7.2 million for the fiscal quarter ended April 2, 2022, compared to $5.6 million for the fiscal quarter ended April 3, 2021. The $1.6 million, or 28.5%, increase in amortization was due to the increase in our definite-lived intangible assets resulting from our acquisition of Radiant in November 2021.</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Interest Expense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Interest expense was $1.8 million for the fiscal quarter ended April 2, 2022, compared to $9.1 million for the fiscal quarter ended April 3, 2021. The $7.3 million, or 80.5%, decrease in interest expense was primarily due to a decrease in the average outstanding balance of long-term debt, lower amortization of deferred financing costs and debt discount and a lower effective interest rate, compared to the fiscal quarter ended April 3, 2021. In addition, interest expense for the fiscal quarter ended April 2, 2022 was partially offset by an unrealized gain of $2.8 million related to the change in fair value of our interest rate swap.</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Loss on Extinguishment of Debt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Loss on extinguishment of debt was $3.5 million for the fiscal quarter ended April 2, 2022, compared to none for the fiscal quarter ended April 3, 2021 as the Refinancing was completed in February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(Income) Expense, Net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(income) expense, net was ($0.4) million for the fiscal quarter ended April 2, 2022, compared to ($0.6) million for the fiscal quarter ended April 3, 2021. The $0.2 million decrease in other income was primarily due an unfavorable change in net foreign currency transaction gains and losses associated with our international subsidiaries.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Earnings from Equity Method Investment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Earnings from equity method investment of Premier Pools &amp; Spa was $0.5 million for the fiscal quarter ended April 2, 2022, compared to $0.2 million for the fiscal quarter ended April 3, 2021, primarily due to the financial performance of Premier Pools &amp; Spa.</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Income Tax Expense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Income tax expense was $5.3 million for the fiscal quarter ended April 2, 2022, compared to $2.9 million for the fiscal quarter ended April 3, 2021. Our effective tax rate was 215.1% for the fiscal quarter ended April 2, 2022, compared to 25.3% for the fiscal quarter ended April 3, 2021. The difference between the U.S. federal statutory income tax rate and our effective income tax rate for the fiscal quarter ended April 2, 2022 was primarily attributable to the discrete impact of stock compensation expense for which there is no associated tax benefit. The difference between the U.S. federal statutory income tax rate and our effective income tax rate for the fiscal quarter ended April 3, 2021 was impacted by a variety of factors, primarily the impact of state taxes.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(Loss) Income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Net loss was $2.8 million for the fiscal quarter ended April 2, 2022, compared to $8.5 million of net income for the fiscal quarter ended April 3, 2021. The $11.3 million, or 133.3%increase in net loss was primarily due to the factors described above.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(Loss) Income Margin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Net loss margin was 1.5% for the fiscal quarter ended April 2, 2022, compared to net income margin of 5.7% for the fiscal quarter ended April 2, 2022. The 7.2% increase in net loss margin was due to a $11.3 million increase in net loss and a $42.9 million increase in net sales, compared to the fiscal quarter ended April 3, 2021 due to the factors described above.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Adjusted EBITDA</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Adjusted EBITDA was $48.0 million for the fiscal quarter ended April 2, 2022, compared to $33.5 million for the fiscal quarter ended April 3, 2021. The $14.5 million, or 43.1%, increase in Adjusted EBITDA was primarily due to the increase in net sales.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Adjusted EBITDA Margin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Adjusted EBITDA margin was 25.0% for the fiscal quarter ended April 2, 2022, compared to 22.5% for the fiscal quarter ended April 3, 2021. The 2.5% increase in Adjusted EBITDA margin was primarily due to a $14.5 million increase in Adjusted EBITDA and a $42.9 million increase in net sales, compared to the fiscal quarter ended April 3, 2021.</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Non-GAAP Financial Measures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(iii) income tax (benefit) expense, (iv) loss on sale and disposal of property and equipment, (v) restructuring charges, (vi) stock-based compensation expense, (vii) unrealized (gains) losses on foreign currency transactions, (viii) strategic initiative costs, (ix) acquisition and integration related costs, (x) loss on extinguishment of debt, (xi) other, (xii) underwriting fees related to offering of common stock and (xiii) IPO costs.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Adjusted EBITDA and Adjusted EBITDA margin are non-GAAP financial measures and should not be considered as alternatives to net income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following this offering,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tbl>
      <w:tblPr>
        <w:tblW w:w="9126" w:type="dxa"/>
        <w:jc w:val="left"/>
        <w:tblInd w:w="0" w:type="dxa"/>
        <w:tblCellMar>
          <w:top w:w="28" w:type="dxa"/>
          <w:left w:w="28" w:type="dxa"/>
          <w:bottom w:w="28" w:type="dxa"/>
          <w:right w:w="28" w:type="dxa"/>
        </w:tblCellMar>
      </w:tblPr>
      <w:tblGrid>
        <w:gridCol w:w="124"/>
        <w:gridCol w:w="256"/>
        <w:gridCol w:w="87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every expenditure, future requirements for capital expenditures or contractual commitments;</w:t>
            </w:r>
          </w:p>
        </w:tc>
      </w:tr>
    </w:tbl>
    <w:tbl>
      <w:tblPr>
        <w:tblW w:w="4731" w:type="dxa"/>
        <w:jc w:val="left"/>
        <w:tblInd w:w="0" w:type="dxa"/>
        <w:tblCellMar>
          <w:top w:w="28" w:type="dxa"/>
          <w:left w:w="28" w:type="dxa"/>
          <w:bottom w:w="28" w:type="dxa"/>
          <w:right w:w="28" w:type="dxa"/>
        </w:tblCellMar>
      </w:tblPr>
      <w:tblGrid>
        <w:gridCol w:w="124"/>
        <w:gridCol w:w="256"/>
        <w:gridCol w:w="43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changes in our working capital needs;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the interest expense, or the amounts necessary to service interest or principal payments, on our outstanding debt;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income tax (benefit) expense, and because the payment of taxes is part of our operations, tax expense is a necessary element of our costs and ability to operate;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non-cash equity compensation, which will remain a key element of our overall equity-based compensation package;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the impact of earnings or charges resulting from matters we consider not to be indicative of our ongoing operations.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Management compensates for these limitations by primarily relying on our GAAP results, while using Adjusted EBITDA and Adjusted EBITDA margin as supplements to the corresponding GAAP financial measures.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provides a reconciliation of our net income to Adjusted EBITDA for the periods presented and the calculation of Adjusted EBITDA margin:</w:t>
      </w:r>
    </w:p>
    <w:p>
      <w:pPr>
        <w:pStyle w:val="TextBody"/>
        <w:spacing w:before="0" w:after="240"/>
        <w:ind w:left="0" w:right="0" w:firstLine="360"/>
        <w:rPr/>
      </w:pPr>
      <w:r>
        <w:rPr/>
        <w:t>​</w:t>
      </w:r>
    </w:p>
    <w:tbl>
      <w:tblPr>
        <w:tblW w:w="8094" w:type="dxa"/>
        <w:jc w:val="left"/>
        <w:tblInd w:w="0" w:type="dxa"/>
        <w:tblCellMar>
          <w:top w:w="0" w:type="dxa"/>
          <w:left w:w="0" w:type="dxa"/>
          <w:bottom w:w="0" w:type="dxa"/>
          <w:right w:w="0" w:type="dxa"/>
        </w:tblCellMar>
      </w:tblPr>
      <w:tblGrid>
        <w:gridCol w:w="4996"/>
        <w:gridCol w:w="326"/>
        <w:gridCol w:w="226"/>
        <w:gridCol w:w="839"/>
        <w:gridCol w:w="326"/>
        <w:gridCol w:w="226"/>
        <w:gridCol w:w="839"/>
        <w:gridCol w:w="316"/>
      </w:tblGrid>
      <w:tr>
        <w:trPr/>
        <w:tc>
          <w:tcPr>
            <w:tcW w:w="49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172460" cy="175260"/>
                      <wp:effectExtent l="0" t="0" r="0" b="0"/>
                      <wp:wrapNone/>
                      <wp:docPr id="225" name="Frame225"/>
                      <a:graphic xmlns:a="http://schemas.openxmlformats.org/drawingml/2006/main">
                        <a:graphicData uri="http://schemas.microsoft.com/office/word/2010/wordprocessingShape">
                          <wps:wsp>
                            <wps:cNvSpPr txBox="1"/>
                            <wps:spPr>
                              <a:xfrm>
                                <a:off x="0" y="0"/>
                                <a:ext cx="3172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43510" cy="175260"/>
                      <wp:effectExtent l="0" t="0" r="0" b="0"/>
                      <wp:wrapNone/>
                      <wp:docPr id="227" name="Frame227"/>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32765" cy="175260"/>
                      <wp:effectExtent l="0" t="0" r="0" b="0"/>
                      <wp:wrapNone/>
                      <wp:docPr id="228" name="Frame228"/>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43510" cy="175260"/>
                      <wp:effectExtent l="0" t="0" r="0" b="0"/>
                      <wp:wrapNone/>
                      <wp:docPr id="230" name="Frame230"/>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32765" cy="175260"/>
                      <wp:effectExtent l="0" t="0" r="0" b="0"/>
                      <wp:wrapNone/>
                      <wp:docPr id="231" name="Frame231"/>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0660" cy="175260"/>
                      <wp:effectExtent l="0" t="0" r="0" b="0"/>
                      <wp:wrapNone/>
                      <wp:docPr id="232" name="Frame232"/>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45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316" w:type="dxa"/>
            <w:tcBorders/>
            <w:shd w:fill="auto" w:val="clear"/>
            <w:vAlign w:val="center"/>
          </w:tcPr>
          <w:p>
            <w:pPr>
              <w:pStyle w:val="TableContents"/>
              <w:spacing w:before="0" w:after="0"/>
              <w:ind w:left="0" w:right="0" w:hanging="0"/>
              <w:rPr/>
            </w:pPr>
            <w:r>
              <w:rPr/>
              <w:t>​</w:t>
            </w:r>
          </w:p>
        </w:tc>
      </w:tr>
      <w:tr>
        <w:trPr/>
        <w:tc>
          <w:tcPr>
            <w:tcW w:w="4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2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 2021</w:t>
            </w:r>
          </w:p>
        </w:tc>
        <w:tc>
          <w:tcPr>
            <w:tcW w:w="316" w:type="dxa"/>
            <w:tcBorders/>
            <w:shd w:fill="auto" w:val="clear"/>
            <w:vAlign w:val="center"/>
          </w:tcPr>
          <w:p>
            <w:pPr>
              <w:pStyle w:val="TableContents"/>
              <w:spacing w:before="0" w:after="0"/>
              <w:ind w:left="0" w:right="0" w:hanging="0"/>
              <w:rPr/>
            </w:pPr>
            <w:r>
              <w:rPr/>
              <w:t>​</w:t>
            </w:r>
          </w:p>
        </w:tc>
      </w:tr>
      <w:tr>
        <w:trPr/>
        <w:tc>
          <w:tcPr>
            <w:tcW w:w="49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6" w:type="dxa"/>
            <w:tcBorders/>
            <w:shd w:fill="auto" w:val="clear"/>
            <w:vAlign w:val="center"/>
          </w:tcPr>
          <w:p>
            <w:pPr>
              <w:pStyle w:val="TableContents"/>
              <w:spacing w:before="0" w:after="0"/>
              <w:ind w:left="0" w:right="0" w:hanging="0"/>
              <w:jc w:val="center"/>
              <w:rPr/>
            </w:pPr>
            <w:r>
              <w:rPr/>
              <w:t>​</w:t>
            </w:r>
          </w:p>
        </w:tc>
        <w:tc>
          <w:tcPr>
            <w:tcW w:w="83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6" w:type="dxa"/>
            <w:tcBorders/>
            <w:shd w:fill="auto" w:val="clear"/>
            <w:vAlign w:val="center"/>
          </w:tcPr>
          <w:p>
            <w:pPr>
              <w:pStyle w:val="TableContents"/>
              <w:spacing w:before="0" w:after="0"/>
              <w:ind w:left="0" w:right="0" w:hanging="0"/>
              <w:jc w:val="center"/>
              <w:rPr/>
            </w:pPr>
            <w:r>
              <w:rPr/>
              <w:t>​</w:t>
            </w:r>
          </w:p>
        </w:tc>
        <w:tc>
          <w:tcPr>
            <w:tcW w:w="839"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(loss) income </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(2,840)</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8,533</w:t>
            </w:r>
          </w:p>
        </w:tc>
        <w:tc>
          <w:tcPr>
            <w:tcW w:w="316" w:type="dxa"/>
            <w:tcBorders/>
            <w:shd w:fill="CCEEFF" w:val="clear"/>
            <w:vAlign w:val="center"/>
          </w:tcPr>
          <w:p>
            <w:pPr>
              <w:pStyle w:val="TableContents"/>
              <w:spacing w:before="0" w:after="0"/>
              <w:ind w:left="0" w:right="0" w:hanging="0"/>
              <w:rPr/>
            </w:pPr>
            <w:r>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9,494</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7,900</w:t>
            </w:r>
          </w:p>
        </w:tc>
        <w:tc>
          <w:tcPr>
            <w:tcW w:w="316" w:type="dxa"/>
            <w:tcBorders/>
            <w:shd w:fill="auto" w:val="clear"/>
            <w:vAlign w:val="center"/>
          </w:tcPr>
          <w:p>
            <w:pPr>
              <w:pStyle w:val="TableContents"/>
              <w:spacing w:before="0" w:after="0"/>
              <w:ind w:left="0" w:right="0" w:hanging="0"/>
              <w:rPr/>
            </w:pPr>
            <w:r>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1,765</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9,056</w:t>
            </w:r>
          </w:p>
        </w:tc>
        <w:tc>
          <w:tcPr>
            <w:tcW w:w="316" w:type="dxa"/>
            <w:tcBorders/>
            <w:shd w:fill="CCEEFF" w:val="clear"/>
            <w:vAlign w:val="center"/>
          </w:tcPr>
          <w:p>
            <w:pPr>
              <w:pStyle w:val="TableContents"/>
              <w:spacing w:before="0" w:after="0"/>
              <w:ind w:left="0" w:right="0" w:hanging="0"/>
              <w:rPr/>
            </w:pPr>
            <w:r>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5,307</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2,883</w:t>
            </w:r>
          </w:p>
        </w:tc>
        <w:tc>
          <w:tcPr>
            <w:tcW w:w="316" w:type="dxa"/>
            <w:tcBorders/>
            <w:shd w:fill="auto" w:val="clear"/>
            <w:vAlign w:val="center"/>
          </w:tcPr>
          <w:p>
            <w:pPr>
              <w:pStyle w:val="TableContents"/>
              <w:spacing w:before="0" w:after="0"/>
              <w:ind w:left="0" w:right="0" w:hanging="0"/>
              <w:rPr/>
            </w:pPr>
            <w:r>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sale and disposal of property and equipment</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16" w:type="dxa"/>
            <w:tcBorders/>
            <w:shd w:fill="CCEEFF" w:val="clear"/>
            <w:vAlign w:val="center"/>
          </w:tcPr>
          <w:p>
            <w:pPr>
              <w:pStyle w:val="TableContents"/>
              <w:spacing w:before="0" w:after="0"/>
              <w:ind w:left="0" w:right="0" w:hanging="0"/>
              <w:rPr/>
            </w:pPr>
            <w:r>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Restructuring charges(a)</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16" w:type="dxa"/>
            <w:tcBorders/>
            <w:shd w:fill="auto" w:val="clear"/>
            <w:vAlign w:val="center"/>
          </w:tcPr>
          <w:p>
            <w:pPr>
              <w:pStyle w:val="TableContents"/>
              <w:spacing w:before="0" w:after="0"/>
              <w:ind w:left="0" w:right="0" w:hanging="0"/>
              <w:rPr/>
            </w:pPr>
            <w:r>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compensation(b)</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16,925</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16" w:type="dxa"/>
            <w:tcBorders/>
            <w:shd w:fill="CCEEFF" w:val="clear"/>
            <w:vAlign w:val="center"/>
          </w:tcPr>
          <w:p>
            <w:pPr>
              <w:pStyle w:val="TableContents"/>
              <w:spacing w:before="0" w:after="0"/>
              <w:ind w:left="0" w:right="0" w:hanging="0"/>
              <w:rPr/>
            </w:pPr>
            <w:r>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(gains) losses on foreign currency transactions(c)</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16" w:type="dxa"/>
            <w:tcBorders/>
            <w:shd w:fill="auto" w:val="clear"/>
            <w:vAlign w:val="center"/>
          </w:tcPr>
          <w:p>
            <w:pPr>
              <w:pStyle w:val="TableContents"/>
              <w:spacing w:before="0" w:after="0"/>
              <w:ind w:left="0" w:right="0" w:hanging="0"/>
              <w:rPr/>
            </w:pPr>
            <w:r>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initiative costs(d)</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1,818</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 and integration related costs(e)</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16" w:type="dxa"/>
            <w:tcBorders/>
            <w:shd w:fill="auto" w:val="clear"/>
            <w:vAlign w:val="center"/>
          </w:tcPr>
          <w:p>
            <w:pPr>
              <w:pStyle w:val="TableContents"/>
              <w:spacing w:before="0" w:after="0"/>
              <w:ind w:left="0" w:right="0" w:hanging="0"/>
              <w:rPr/>
            </w:pPr>
            <w:r>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extinguishment of debt (f)</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3,465</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Other(g)</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16" w:type="dxa"/>
            <w:tcBorders/>
            <w:shd w:fill="auto" w:val="clear"/>
            <w:vAlign w:val="center"/>
          </w:tcPr>
          <w:p>
            <w:pPr>
              <w:pStyle w:val="TableContents"/>
              <w:spacing w:before="0" w:after="0"/>
              <w:ind w:left="0" w:right="0" w:hanging="0"/>
              <w:rPr/>
            </w:pPr>
            <w:r>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Underwriting fees related to offering of common stock (h)</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11,437</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IPO Costs(i)</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3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3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2,877</w:t>
            </w:r>
          </w:p>
        </w:tc>
        <w:tc>
          <w:tcPr>
            <w:tcW w:w="316" w:type="dxa"/>
            <w:tcBorders/>
            <w:shd w:fill="auto" w:val="clear"/>
            <w:vAlign w:val="center"/>
          </w:tcPr>
          <w:p>
            <w:pPr>
              <w:pStyle w:val="TableContents"/>
              <w:spacing w:before="0" w:after="0"/>
              <w:ind w:left="0" w:right="0" w:hanging="0"/>
              <w:rPr/>
            </w:pPr>
            <w:r>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47,962</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33,520</w:t>
            </w:r>
          </w:p>
        </w:tc>
        <w:tc>
          <w:tcPr>
            <w:tcW w:w="316" w:type="dxa"/>
            <w:tcBorders/>
            <w:shd w:fill="CCEEFF" w:val="clear"/>
            <w:vAlign w:val="center"/>
          </w:tcPr>
          <w:p>
            <w:pPr>
              <w:pStyle w:val="TableContents"/>
              <w:spacing w:before="0" w:after="0"/>
              <w:ind w:left="0" w:right="0" w:hanging="0"/>
              <w:rPr/>
            </w:pPr>
            <w:r>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191,614</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148,746</w:t>
            </w:r>
          </w:p>
        </w:tc>
        <w:tc>
          <w:tcPr>
            <w:tcW w:w="316" w:type="dxa"/>
            <w:tcBorders/>
            <w:shd w:fill="auto" w:val="clear"/>
            <w:vAlign w:val="center"/>
          </w:tcPr>
          <w:p>
            <w:pPr>
              <w:pStyle w:val="TableContents"/>
              <w:spacing w:before="0" w:after="0"/>
              <w:ind w:left="0" w:right="0" w:hanging="0"/>
              <w:rPr/>
            </w:pPr>
            <w:r>
              <w:rPr/>
              <w:t>​</w:t>
            </w:r>
          </w:p>
        </w:tc>
      </w:tr>
      <w:tr>
        <w:trPr/>
        <w:tc>
          <w:tcPr>
            <w:tcW w:w="49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income margin</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83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83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 margin</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83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83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 Represents severance and other costs for our executive management changes.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(b) Represents non-cash stock-based compensation expense.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 Represents unrealized foreign currency transaction (gains) and losses associated with our international subsidiaries.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 Represents fees paid to external consultants for our strategic initiatives.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(e) Represents acquisition and integration costs primarily related to the acquisition of Radiant, the equity investment in Premier Pools &amp; Spas, as well as other costs related to potential transactions.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 Represents the loss on extinguishment of debt in connection with our Refinancing.</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(g) Other costs consist of other discrete items as determined by management, primarily including (i) fees paid to external advisors for various matters, (ii) non-cash adjustments to record the step-up in the fair value of inventory related to the acquisitions of GL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International, LLC and Radiant, which are amortized through cost of sales in the condensed consolidated statements of operations, and (iii) other items.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(h) Represents underwriting fees related to our offering of common stock that was completed in January 2022.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 These expenses are primarily composed of legal, accounting and professional fees incurred in connection with our initial public offering that are not capitalizable, which are included within selling, general and administrative expense.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Overview</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Our primary sources of liquidity are net cash provided by operating activities and availability under our New Revolving Credit Facility. Historically, we have funded working capital requirements, capital expenditures, payments related to acquisitions, and debt service requirements with internally generated cash on hand and through our term loan and revolving credit facilities (as defined below under “—Our Indebtedness”) and through the issuance of shares of our common stock. Our primary cash needs are to fund working capital, capital expenditures, debt service requirements and any acquisitions we may undertake. As of April 2, 2022, we had $18.7 million of cash, $324.1 million of outstanding borrowings and an additional $65.0 million of availability under our New Revolving Credit Facility, which was undrawn.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primary working capital requirements are for the purchase of inventory, payroll, rent, facility costs and other selling, general and administrative costs. Our working capital requirements fluctuate during the year, driven primarily by seasonality and the timing of raw material purchases. Our capital expenditures are primarily related to growth, including production capacity, storage and delivery equipment. We are in the midst of a multi-year capital plan to invest in our facilities, technology and systems, including investments to expand our fiberglass manufacturing capacity. We expect to fund these capital expenditures from net cash provided by operating activities.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believe that our existing cash, cash generated from operations and availability under our New Revolving Credit Facility, will be adequate to fund our operating expenses and capital expenditure requirements over the next 12 months. We have based this estimate on assumptions that may prove to be wrong, and we could utilize our available capital resources sooner than we expect.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Indebtedness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February 23, 2022, Latham Pool Products, Inc. (“Latham Pool Products”), our wholly owned subsidiary, entered into the New Credit Agreement with Barclays Bank PLC, which provides a senior secured multicurrency revolving line of credit in an initial principal amount of $75.0 million and a U.S. Dollar senior secured term loan facility in an initial principal amount of $325.0 million. On the closing date, proceeds under the agreement were used to repay and replace $294.0 million under, and terminate, the Credit Agreement (as defined below) and for general corporate purposes.</w:t>
      </w:r>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New Revolving Credit Facility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New Revolving Credit Facility may be utilized to finance ongoing general corporate and working capital needs and permits Latham Pools Products to borrow loans in U.S. Dollars, Canadian Dollars, Euros and Australian Dollars. The New Revolving Credit Facility matures on February 23, 2027. Loans outstanding under the New Revolving Credit Facility denominated in U.S. Dollars and Canadian Dollars bear interest, at the borrower’s option, at a rate per annum based on Term SOFR or CDO (each, as defined in the New Credit Agreement), as applicable, plus a margin of 3.50%, or at a rate per annum based on the Base Rate or the Canadian Prime Rate (each, as defined in the New Credit Agreement), plus a margin of 2.50%. Loans outstanding under the New Revolving Credit Facility denominated in Euros or Australian Dollars bear interest based on EURIBOR or the AUD Rate (each, as defined in the New Credit Agreement), respectively, plus a margin of 3.50%. A commitment fee accrues on any unused portion of the commitments under the New Revolving Credit Facility. The commitment fee is due and payable quarterly in arrears and is, initially, 0.375% per annum and will, thereafter, accrue at a rate per annum ranging from 0.25% to 0.50%, depending on the First Lien Net Leverage Ratio. The New Revolving Credit Facility is not subject to amortization.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We are also required to meet certain financial covenants, including maintaining specific liquidity measurements. There are also negative covenants, including certain restrictions on our ability to incur additional indebtedness, create liens, make investments, consolidate or merge with other entities, enter into transactions with affiliates, make prepayments with respect to certain indebtedness and make restricted payments and other distributions.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April 2, 2022 we had $10.0 million of outstanding borrowings under the New Revolving Credit Facility.</w:t>
      </w:r>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New Term Loan Facility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New Term Loan matures on February 23, 2029. Loans outstanding under the New Term Loan bear interest, at the borrower’s option, at a rate per annum based on Term SOFR (as defined in the New Credit Agreement), plus a margin ranging from 3.75% to 4.00%, depending on the First Lien Net Leverage Ratio (as defined in the New Credit Agreement, the “First Lien Net Leverage Ratio”), or based on the Base Rate (as defined in the New Credit Agreement), plus a margin ranging from 2.75% to 3.00%, depending on the First Lien Net Leverage Ratio. Loans under the New Term Loan are subject to scheduled quarterly amortization payments equal to 0.25% of the initial principal amount of the New Term Loan.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obligations under the New Credit Agreement are guaranteed by certain of our wholly owned subsidiaries as defined in the security agreement. The obligations under the New Credit Agreement are secured by substantially all of the guarantors’ tangible and intangible assets, including, but not limited to, their accounts receivables, equipment, intellectual property, inventory, cash and cash equivalents, deposit accounts and security accounts. The New Credit Agreement also restricts payments and other distributions unless certain conditions are met, which could restrict our ability to pay dividends.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April 2, 2022 we had $314.1 million of outstanding borrowings under the New Term Loan.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April 2, 2022, we were in compliance with all covenants under the New Revolving Credit Facility and the New Term Loan.</w:t>
      </w:r>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Revolving Credit Facility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December 18, 2018, Latham Pool Products entered into an agreement (the “Credit Agreement”) with Nomura Corporate Funding Americas, LLC that included a revolving line of credit (the “Revolver”) and letters of credit (“Letters of Credit” or collectively with the Revolver, the “Revolving Credit Facility”), as well as a Term Loan (as described and defined below). The Revolving Credit Facility was utilized to finance ongoing general corporate and working capital needs with the Revolver of up to $30.0 million. The Revolving Credit Facility was terminated in connection with the Refinancing.</w:t>
      </w:r>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Term Loan Facility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Pursuant to the Credit Agreement, Latham Pool Products also borrowed $215.0 million in term loans (the “Term Loan”). The Term Loan was amended on May 29, 2019, to provide additional borrowings of $23.0 million, which was accounted for as a modification to the Term Loan, to fund our acquisition of Narellan Group Pty Limited and its subsidiaries (the “First Amendment”). On October 14, 2020, we amended the First Amendment to provide additional borrowings of $20.0 million, which was accounted for as new debt (the “Second Amendment”). The Second Amendment was further amended on January 25, 2021, to provide an additional incremental term loan of $175.0 million (the “Third Amendment”). On January 25, 2021, Latham Pool Products borrowed the incremental term loan, and the proceeds were used on February 2, 2021 to purchase and retire equity interests and to pay a distribution. On March 31, 2021, we amended our Term Loan to revise the applicable reporting requirements (the “Fourth Amendment”). On November 24, 2021, we amended the Term Loan to provide additional borrowings of $50.0 million (the “Fifth Amendment”). The proceeds from this incremental term loan were used to finance the Radiant Acquisition in part. The Term Loan, collectively with the First Amendment, Second Amendment, Third Amendment, the Fourth Amendment and the Fifth Amendment, is referred to as the “Amended Term Loan.” The Amended Term Loan was terminated in connection with the Refinancing.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summarizes our sources and uses of cash for each of the periods presented:</w:t>
      </w:r>
    </w:p>
    <w:p>
      <w:pPr>
        <w:pStyle w:val="TextBody"/>
        <w:spacing w:before="0" w:after="240"/>
        <w:ind w:left="0" w:right="0" w:firstLine="360"/>
        <w:rPr/>
      </w:pPr>
      <w:r>
        <w:rPr/>
        <w:t>​</w:t>
      </w:r>
    </w:p>
    <w:tbl>
      <w:tblPr>
        <w:tblW w:w="6293" w:type="dxa"/>
        <w:jc w:val="left"/>
        <w:tblInd w:w="0" w:type="dxa"/>
        <w:tblCellMar>
          <w:top w:w="0" w:type="dxa"/>
          <w:left w:w="0" w:type="dxa"/>
          <w:bottom w:w="0" w:type="dxa"/>
          <w:right w:w="0" w:type="dxa"/>
        </w:tblCellMar>
      </w:tblPr>
      <w:tblGrid>
        <w:gridCol w:w="3466"/>
        <w:gridCol w:w="326"/>
        <w:gridCol w:w="223"/>
        <w:gridCol w:w="842"/>
        <w:gridCol w:w="326"/>
        <w:gridCol w:w="222"/>
        <w:gridCol w:w="888"/>
      </w:tblGrid>
      <w:tr>
        <w:trPr/>
        <w:tc>
          <w:tcPr>
            <w:tcW w:w="3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200910" cy="175260"/>
                      <wp:effectExtent l="0" t="0" r="0" b="0"/>
                      <wp:wrapNone/>
                      <wp:docPr id="233" name="Frame233"/>
                      <a:graphic xmlns:a="http://schemas.openxmlformats.org/drawingml/2006/main">
                        <a:graphicData uri="http://schemas.microsoft.com/office/word/2010/wordprocessingShape">
                          <wps:wsp>
                            <wps:cNvSpPr txBox="1"/>
                            <wps:spPr>
                              <a:xfrm>
                                <a:off x="0" y="0"/>
                                <a:ext cx="2200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41605" cy="175260"/>
                      <wp:effectExtent l="0" t="0" r="0" b="0"/>
                      <wp:wrapNone/>
                      <wp:docPr id="235" name="Frame235"/>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34670" cy="175260"/>
                      <wp:effectExtent l="0" t="0" r="0" b="0"/>
                      <wp:wrapNone/>
                      <wp:docPr id="236" name="Frame236"/>
                      <a:graphic xmlns:a="http://schemas.openxmlformats.org/drawingml/2006/main">
                        <a:graphicData uri="http://schemas.microsoft.com/office/word/2010/wordprocessingShape">
                          <wps:wsp>
                            <wps:cNvSpPr txBox="1"/>
                            <wps:spPr>
                              <a:xfrm>
                                <a:off x="0" y="0"/>
                                <a:ext cx="534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40970" cy="175260"/>
                      <wp:effectExtent l="0" t="0" r="0" b="0"/>
                      <wp:wrapNone/>
                      <wp:docPr id="238" name="Frame238"/>
                      <a:graphic xmlns:a="http://schemas.openxmlformats.org/drawingml/2006/main">
                        <a:graphicData uri="http://schemas.microsoft.com/office/word/2010/wordprocessingShape">
                          <wps:wsp>
                            <wps:cNvSpPr txBox="1"/>
                            <wps:spPr>
                              <a:xfrm>
                                <a:off x="0" y="0"/>
                                <a:ext cx="1409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63880" cy="175260"/>
                      <wp:effectExtent l="0" t="0" r="0" b="0"/>
                      <wp:wrapNone/>
                      <wp:docPr id="239" name="Frame239"/>
                      <a:graphic xmlns:a="http://schemas.openxmlformats.org/drawingml/2006/main">
                        <a:graphicData uri="http://schemas.microsoft.com/office/word/2010/wordprocessingShape">
                          <wps:wsp>
                            <wps:cNvSpPr txBox="1"/>
                            <wps:spPr>
                              <a:xfrm>
                                <a:off x="0" y="0"/>
                                <a:ext cx="563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0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26" w:type="dxa"/>
            <w:tcBorders/>
            <w:shd w:fill="auto" w:val="clear"/>
            <w:vAlign w:val="center"/>
          </w:tcPr>
          <w:p>
            <w:pPr>
              <w:pStyle w:val="TableContents"/>
              <w:spacing w:before="0" w:after="0"/>
              <w:ind w:left="0" w:right="0" w:hanging="0"/>
              <w:rPr/>
            </w:pPr>
            <w:r>
              <w:rPr/>
              <w:t>    </w:t>
            </w:r>
          </w:p>
        </w:tc>
        <w:tc>
          <w:tcPr>
            <w:tcW w:w="11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 2021</w:t>
            </w:r>
          </w:p>
        </w:tc>
      </w:tr>
      <w:tr>
        <w:trPr/>
        <w:tc>
          <w:tcPr>
            <w:tcW w:w="6293"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0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(57,468)</w:t>
            </w:r>
          </w:p>
        </w:tc>
        <w:tc>
          <w:tcPr>
            <w:tcW w:w="326"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(41,047)</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 </w:t>
            </w:r>
          </w:p>
        </w:tc>
        <w:tc>
          <w:tcPr>
            <w:tcW w:w="8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(6,666)</w:t>
            </w:r>
          </w:p>
        </w:tc>
        <w:tc>
          <w:tcPr>
            <w:tcW w:w="326"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rPr/>
            </w:pPr>
            <w:r>
              <w:rPr/>
              <w:t> </w:t>
            </w:r>
          </w:p>
        </w:tc>
        <w:tc>
          <w:tcPr>
            <w:tcW w:w="8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(4,608)</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 </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39,251</w:t>
            </w:r>
          </w:p>
        </w:tc>
        <w:tc>
          <w:tcPr>
            <w:tcW w:w="326"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pPr>
            <w:r>
              <w:rPr/>
              <w:t> </w:t>
            </w:r>
          </w:p>
        </w:tc>
        <w:tc>
          <w:tcPr>
            <w:tcW w:w="8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6,083</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exchange rate changes on cash</w:t>
            </w:r>
          </w:p>
        </w:tc>
        <w:tc>
          <w:tcPr>
            <w:tcW w:w="326" w:type="dxa"/>
            <w:tcBorders/>
            <w:shd w:fill="auto" w:val="clear"/>
            <w:vAlign w:val="center"/>
          </w:tcPr>
          <w:p>
            <w:pPr>
              <w:pStyle w:val="TableContents"/>
              <w:spacing w:before="0" w:after="0"/>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26" w:type="dxa"/>
            <w:tcBorders/>
            <w:shd w:fill="auto" w:val="clear"/>
            <w:vAlign w:val="center"/>
          </w:tcPr>
          <w:p>
            <w:pPr>
              <w:pStyle w:val="TableContents"/>
              <w:spacing w:before="0" w:after="0"/>
              <w:ind w:left="0" w:right="0" w:hanging="0"/>
              <w:rPr/>
            </w:pPr>
            <w:r>
              <w:rPr/>
              <w:t>​</w:t>
            </w:r>
          </w:p>
        </w:tc>
        <w:tc>
          <w:tcPr>
            <w:tcW w:w="22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decrease in cash</w:t>
            </w:r>
          </w:p>
        </w:tc>
        <w:tc>
          <w:tcPr>
            <w:tcW w:w="326" w:type="dxa"/>
            <w:tcBorders/>
            <w:shd w:fill="CCEEFF" w:val="clear"/>
            <w:vAlign w:val="center"/>
          </w:tcPr>
          <w:p>
            <w:pPr>
              <w:pStyle w:val="TableContents"/>
              <w:spacing w:before="0" w:after="0"/>
              <w:ind w:left="0" w:right="0" w:hanging="0"/>
              <w:rPr/>
            </w:pPr>
            <w:r>
              <w:rPr/>
              <w:t>​</w:t>
            </w:r>
          </w:p>
        </w:tc>
        <w:tc>
          <w:tcPr>
            <w:tcW w:w="22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(25,294)</w:t>
            </w:r>
          </w:p>
        </w:tc>
        <w:tc>
          <w:tcPr>
            <w:tcW w:w="326" w:type="dxa"/>
            <w:tcBorders/>
            <w:shd w:fill="CCEEFF" w:val="clear"/>
            <w:vAlign w:val="center"/>
          </w:tcPr>
          <w:p>
            <w:pPr>
              <w:pStyle w:val="TableContents"/>
              <w:spacing w:before="0" w:after="0"/>
              <w:ind w:left="0" w:right="0" w:hanging="0"/>
              <w:rPr/>
            </w:pPr>
            <w:r>
              <w:rPr/>
              <w:t>​</w:t>
            </w:r>
          </w:p>
        </w:tc>
        <w:tc>
          <w:tcPr>
            <w:tcW w:w="22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(39,365)</w:t>
            </w:r>
          </w:p>
        </w:tc>
      </w:tr>
    </w:tbl>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b w:val="false"/>
          <w:i/>
          <w:sz w:val="20"/>
        </w:rPr>
      </w:pPr>
      <w:r>
        <w:rPr>
          <w:rFonts w:ascii="Times New Roman;Times;serif" w:hAnsi="Times New Roman;Times;serif"/>
          <w:b w:val="false"/>
          <w:i/>
          <w:sz w:val="20"/>
        </w:rPr>
        <w:t>Operating Activities</w:t>
      </w:r>
    </w:p>
    <w:p>
      <w:pPr>
        <w:pStyle w:val="TextBody"/>
        <w:spacing w:before="0" w:after="240"/>
        <w:ind w:left="0" w:right="0" w:firstLine="360"/>
        <w:rPr>
          <w:rFonts w:ascii="Times New Roman;Times;serif" w:hAnsi="Times New Roman;Times;serif"/>
          <w:sz w:val="20"/>
        </w:rPr>
      </w:pPr>
      <w:bookmarkStart w:id="975" w:name="_Hlk103093305"/>
      <w:bookmarkEnd w:id="975"/>
      <w:r>
        <w:rPr>
          <w:rFonts w:ascii="Times New Roman;Times;serif" w:hAnsi="Times New Roman;Times;serif"/>
          <w:sz w:val="20"/>
        </w:rPr>
        <w:t>During the fiscal quarter ended April 2, 2022, operating activities used $57.5 million of cash. Net income, after adjustments for non-cash items, provided cash of $38.6 million. Cash used in operating activities was further driven by changes in our operating assets and liabilities, which used $96.1 million. Net cash used in changes in our operating assets and liabilities for the fiscal quarter ended April 2, 2022 consisted primarily of a $78.9 million increase in trade receivables, a $30.5 million increase in inventories, a $0.8 million increase in prepaid expenses and other current assets, a $0.3 million increase in other assets, a $3.2 million decrease in accrued expenses and other current liabilities, partially offset by a $17.5 million increase in accounts payable, and a $0.3 million increase in other long-term liabilities. The change in trade receivables was primarily due to the timing of, and increase in, net sales, and the increase in inventories was primarily due to a strategic decision to carry more inventory in an attempt to minimize the impact of any supply chain interruptions as well as higher costs. The changes in accrued expenses and other current liabilities and accounts payable were primarily due to volume of purchases and timing of payments.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fiscal quarter ended April 3, 2021, operating activities used $41.0 million of cash. Net income, after adjustments for non-cash items, provided cash of $22.1 million. Cash used in operating activities was further driven by changes in our operating assets and liabilities, which used $63.1 million. Net cash provided by changes in our operating assets and liabilities for the fiscal quarter ended April 3, 2021 consisted primarily of a $61.0 million increase in trade receivables, a $9.2 million increase in inventories, a $2.1 increase in income tax receivable, and a $4.1 decrease in accrued expenses and other current liabilities, partially offset by a $8.6 million increase in accounts payable and a $4.5 million increase in other long-term liabilities. The change in trade receivables was primarily due to the timing of, and increase in, net sales, and the increase in inventories was primarily due to increased production and inventory build in response to existing and anticipated customer demand. The change in income tax receivable was due to estimated tax payments made in excess of the actual annual tax provision. The changes in accrued expenses and other current liabilities and accounts payable were primarily due to the decrease and timing of payments for rebate accruals.</w:t>
      </w:r>
    </w:p>
    <w:p>
      <w:pPr>
        <w:pStyle w:val="TextBody"/>
        <w:spacing w:before="0" w:after="240"/>
        <w:ind w:left="360" w:right="0" w:hanging="0"/>
        <w:rPr>
          <w:rFonts w:ascii="Times New Roman;Times;serif" w:hAnsi="Times New Roman;Times;serif"/>
          <w:b w:val="false"/>
          <w:i/>
          <w:sz w:val="20"/>
        </w:rPr>
      </w:pPr>
      <w:r>
        <w:rPr>
          <w:rFonts w:ascii="Times New Roman;Times;serif" w:hAnsi="Times New Roman;Times;serif"/>
          <w:b w:val="false"/>
          <w:i/>
          <w:sz w:val="20"/>
        </w:rPr>
        <w:t>Investing Activities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fiscal quarter ended April 2, 2022, investing activities used $6.7 million of cash, consisting of purchases of property and equipment. The purchase of property and equipment was primarily to expand capacity for inventory production in order to meet increasing customer demand.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fiscal quarter ended April 3, 2021, investing activities used $4.6 million of cash, consisting of purchases of property and equipment. The purchase of property and equipment was to expand capacity for inventory production in order to meet increasing customer demand.</w:t>
      </w:r>
    </w:p>
    <w:p>
      <w:pPr>
        <w:pStyle w:val="TextBody"/>
        <w:spacing w:before="0" w:after="240"/>
        <w:ind w:left="360" w:right="0" w:hanging="0"/>
        <w:rPr>
          <w:rFonts w:ascii="Times New Roman;Times;serif" w:hAnsi="Times New Roman;Times;serif"/>
          <w:b w:val="false"/>
          <w:i/>
          <w:sz w:val="20"/>
        </w:rPr>
      </w:pPr>
      <w:r>
        <w:rPr>
          <w:rFonts w:ascii="Times New Roman;Times;serif" w:hAnsi="Times New Roman;Times;serif"/>
          <w:b w:val="false"/>
          <w:i/>
          <w:sz w:val="20"/>
        </w:rPr>
        <w:t>Financing Activities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fiscal quarter ended April 2, 2022, financing activities provided $39.3 million of cash, primarily consisting of proceeds from long-term debt borrowings in connection with the Refinancing of $320.1 million, proceeds from the sale of common stock of $257.7 million and borrowings on revolving credit facilities of $20.0 million, partially offset by repayments on long-term debt borrowings of $284.0 million, the repurchase and retirement of common stock of $257.7 million, repayments on revolving credit facility borrowings of $10.0 million, and deferred financing fees paid of $6.9 million.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fiscal quarter ended April 3, 2021, financing activities provided $6.1 million of cash, primarily consisting of proceeds from borrowings on the term loan of $172.8 million and borrowings on the revolving credit facility of $16.0 million, partially offset by the repurchase of common stock of $64.9 million, dividends to Class A unitholders of $110.0 million, and payments on long-term debt borrowings of $5.8 million.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Contractual Obligations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have been no material changes, outside of the ordinary course of business, to our contractual obligations during the fiscal quarter ended April 2, 2022 from those described under the heading “Management’s Discussion and Analysis of Financial Condition and Results of Operations—Contractual Obligations” in our Annual Report.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are described under the heading “Management’s Discussion and Analysis of Financial Condition and Results of Operations—Critical Accounting Policies and Estimates” in our Annual Report. These estimates are based on historical results, trends and other assumptions we believe to be reasonable. We evaluate these estimates on an ongoing basis. Actual results may differ from estimates. For additional information about our critical accounting policies and estimates, see the disclosure included in our Annual Report as well as Note 2 - Summary of Significant Accounting Policies in the notes to the condensed consolidated financial statements included in Part I, Item 1, of this Quarterly Report on Form 10-Q.</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Off-Balance Sheet Arrangements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did not have during the periods presented, and we do not currently have, any off-balance sheet arrangements, as defined in the rules and regulations of the SEC.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Recently Issued and Adopted Accounting Pronouncements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pStyle w:val="TextBody"/>
        <w:spacing w:before="0" w:after="240"/>
        <w:ind w:left="0" w:right="0" w:hanging="0"/>
        <w:rPr>
          <w:rFonts w:ascii="Times New Roman;Times;serif" w:hAnsi="Times New Roman;Times;serif"/>
          <w:b/>
          <w:sz w:val="20"/>
        </w:rPr>
      </w:pPr>
      <w:bookmarkStart w:id="976" w:name="Item3QuantitativeandQualitativeDisclosur"/>
      <w:bookmarkStart w:id="977" w:name="_Item_3._Quantitative"/>
      <w:bookmarkStart w:id="978" w:name="_4727b540_426b_4abb_8a56_8d7bd71c3c02"/>
      <w:bookmarkEnd w:id="976"/>
      <w:bookmarkEnd w:id="977"/>
      <w:bookmarkEnd w:id="978"/>
      <w:r>
        <w:rPr>
          <w:rFonts w:ascii="Times New Roman;Times;serif" w:hAnsi="Times New Roman;Times;serif"/>
          <w:b/>
          <w:sz w:val="20"/>
        </w:rPr>
        <w:t>Item 3. Quantitative and Qualitative Disclosures About Market Risk</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Quantitative and Qualitative Disclosures about Market Risk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 Changes in these rates may have an impact on future cash flow and earnings. We manage these risks through normal operating and financing activities. During the fiscal quarter ended April 2, 2022, there have been no material changes to the information included under the heading “Management’s Discussion and Analysis of Financial Condition and Results of Operations— Quantitative and Qualitative Disclosures about Market Risk” in our Annual Report.</w:t>
      </w:r>
    </w:p>
    <w:p>
      <w:pPr>
        <w:pStyle w:val="TextBody"/>
        <w:spacing w:before="0" w:after="240"/>
        <w:ind w:left="0" w:right="0" w:hanging="0"/>
        <w:rPr>
          <w:rFonts w:ascii="Times New Roman;Times;serif" w:hAnsi="Times New Roman;Times;serif"/>
          <w:b/>
          <w:sz w:val="20"/>
        </w:rPr>
      </w:pPr>
      <w:bookmarkStart w:id="979" w:name="Item4ControlsandProcedures_231254"/>
      <w:bookmarkStart w:id="980" w:name="_f21271d4_2bd3_4270_b980_473b2f9a8095"/>
      <w:bookmarkEnd w:id="979"/>
      <w:bookmarkEnd w:id="980"/>
      <w:r>
        <w:rPr>
          <w:rFonts w:ascii="Times New Roman;Times;serif" w:hAnsi="Times New Roman;Times;serif"/>
          <w:b/>
          <w:sz w:val="20"/>
        </w:rPr>
        <w:t>Item 4. Controls and Procedures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Our management, with the participation of our CEO and CFO, has evaluated the effectiveness of our disclosure controls and procedures (as defined in Rules 13a-15(e) and 15d-15(e) under the Securities Exchange Act of 1934, as amended (the “Exchange Act”), as of the end of the period covered by this Form 10-Q. Based on such evaluation, our CEO and CFO have concluded that as of April 2, 2022, our disclosure controls and procedures are designed at a reasonable assurance level and are effective to provide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were no changes in our internal control over financial reporting identified in management’s evaluation pursuant to Rules 13a-15(d) or 15d-15(d) of the Exchange Act during the period covered by this Form 10-Q that materially affected, or are reasonably likely to materially affect, our internal control over financial reporting.</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pacing w:before="0" w:after="240"/>
        <w:ind w:left="0" w:right="0" w:hanging="0"/>
        <w:rPr>
          <w:rFonts w:ascii="Times New Roman;Times;serif" w:hAnsi="Times New Roman;Times;serif"/>
          <w:b/>
          <w:sz w:val="20"/>
        </w:rPr>
      </w:pPr>
      <w:bookmarkStart w:id="981" w:name="PARTIIOTHERINFORMATION_817159"/>
      <w:bookmarkStart w:id="982" w:name="_c2657fdd_f980_4091_a81e_a42a343b4972"/>
      <w:bookmarkEnd w:id="981"/>
      <w:bookmarkEnd w:id="982"/>
      <w:r>
        <w:rPr>
          <w:rFonts w:ascii="Times New Roman;Times;serif" w:hAnsi="Times New Roman;Times;serif"/>
          <w:b/>
          <w:sz w:val="20"/>
        </w:rPr>
        <w:t>PART II — OTHER INFORMATION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Item 1. Legal Proceedings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From time to time we may be involved in disputes or litigation relating to claims arising out of our operations. We are not currently a party to any legal proceedings that could reasonably be expected to have a material adverse effect on our business, financial condition and results of operations.</w:t>
      </w:r>
    </w:p>
    <w:p>
      <w:pPr>
        <w:pStyle w:val="TextBody"/>
        <w:spacing w:before="0" w:after="240"/>
        <w:ind w:left="0" w:right="0" w:hanging="0"/>
        <w:rPr>
          <w:rFonts w:ascii="Times New Roman;Times;serif" w:hAnsi="Times New Roman;Times;serif"/>
          <w:b/>
          <w:sz w:val="20"/>
        </w:rPr>
      </w:pPr>
      <w:bookmarkStart w:id="983" w:name="Item1ARiskFactors_762234"/>
      <w:bookmarkStart w:id="984" w:name="_9e75b83e_c2fa_48a8_9e20_a6c21378589c"/>
      <w:bookmarkEnd w:id="983"/>
      <w:bookmarkEnd w:id="984"/>
      <w:r>
        <w:rPr>
          <w:rFonts w:ascii="Times New Roman;Times;serif" w:hAnsi="Times New Roman;Times;serif"/>
          <w:b/>
          <w:sz w:val="20"/>
        </w:rPr>
        <w:t>Item 1A. Risk Factors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disclosed under the heading “Risk Factors” in our Annual Report, the risk factors that materially affect our business, financial condition or results of operations. There have been no material changes from the risk factors previously disclosed other than the risk factors set forth below. You should carefully consider the risk factors set forth in the Annual Report and the other information set forth elsewhere in this Form 10-Q. You should be aware that these risk factors and other information may not described every risk that we face. Additional risks and uncertainties not currently known to us or that we currently deem to be immaterial also may materially adversely affect our business, financial condition and/or operating results.</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We depend on a global network of third-party suppliers to provide components and raw materials essential to the manufacturing of our pools and price increases or deviations in the quality of the raw materials used to manufacture our products could adversely affect our net sales and operating results.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We rely on manufacturers and other suppliers to provide us with the components and raw materials to manufacture our products. The primary raw materials used in our products are polyvinyl chloride (“PVC”) plastic, galvanized steel, fiberglass, aluminum, carbon fiber, Kevlar fiber, various resins, gelcoat, polypropylene fabric and roving. Other than occasional strategic purchases of larger quantities of certain raw materials, we generally buy materials on an as-needed basis. We are dependent upon the ability of our suppliers to consistently provide raw materials and components that meet our specifications, quality standards and other applicable criteria. Our suppliers’ failure to provide raw materials and components that meet such criteria on a timely basis could adversely affect production schedules and our product quality, which in turn could materially adversely affect our business, financial condition and results of operations. While we believe that our relationships with our current suppliers are sufficient to provide the materials necessary to meet present production demand, these relationships may not continue or the quantity or quality of materials available from these suppliers may not be sufficient to meet our future needs, irrespective of whether we successfully implement our growth strategy, and we may not be able to obtain supplies on favorable terms. In the event of a shortage of our raw materials, we may not be able to arrange for alternative sources of such materials on a timely basis or on equally favorable terms. For example, in 2021 and continuing in 2022, we experienced and continue to experience raw material shortages, particularly of resin, which limited our fiberglass pool production and decreased our profitability in 2021 and may impact us similarly in 2022. Although we have taken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actions to increase and diversify our resin and other raw materials supply base, we may not succeed in procuring sufficient supply of resin and other raw materials that we need, which could result in lost sales and a decline in our profitability.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addition, increases in the cost of the raw materials used to manufacture our products could adversely affect our operating results. The cost of many of the raw materials we use in the manufacture of our products, such as steel, is subject to price volatility. Changes in prices of our raw materials have a direct impact on our cost of sales. Accordingly, we are exposed to the risk of increases in the market prices of raw materials used in the manufacture of our products. We are experiencing inflationary pressures in certain areas of our business, including with respect to prices of our raw materials and employee wages, although, to date, we have been able to offset such pressures, to some extent, through price increases and other measures. If we are unable to increase our prices or experience a delay in our ability to increase our prices or to recover such increases in our costs, our gross profit will suffer. In addition, increases in the price of our products to compensate for increased costs of raw materials may reduce demand for our products and adversely affect our competitive position.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b/>
          <w:i/>
          <w:sz w:val="20"/>
        </w:rPr>
        <w:t>An interruption of our production capability at one or more of our manufacturing facilities from accident, calamity or other causes, or events affecting the global economy, could adversely affect our business and results of operations</w:t>
      </w:r>
      <w:r>
        <w:rPr>
          <w:rFonts w:ascii="Times New Roman;Times;serif" w:hAnsi="Times New Roman;Times;serif"/>
          <w:sz w:val="20"/>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manufacture our products at a limited number of manufacturing facilities, and shifting production rapidly to another facility in the event of a loss of one of or a portion of one of our manufacturing facilities could lead to increased costs. A temporary or permanent loss of the use of one or more of our manufacturing facilities due to accidents, fire (such as the fire at our Texas facility in April 2022 that resulted in a total loss of the manufacturing facility), explosions, labor issues, tornadoes, other weather conditions, natural disasters, condemnation, cancellation or non-renewals of leases, terrorist attacks or other acts of violence or war or otherwise could have a material adverse effect on our operating costs. An interruption in our production capabilities could also require us to make substantial capital expenditures to replace damaged or destroyed facilities or equipment. Any of these events could result in substantial repair costs and higher operating costs.</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Inflation could adversely impact our financial condition and results of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Inflation in the United States began to rise significantly in the second half of the calendar year of 2021 and continued to increase in the first quarter of 2022. This is primarily believed to be the result of the economic impacts from the COVID-19 pandemic, including the global supply chain disruptions, strong economic recovery and associated widespread demand for goods, and government stimulus packages, among other factors. For instance, global supply chain disruptions have resulted in shortages in materials and services. Such shortages have resulted in inflationary cost increases for labor, materials, and services, and could continue to cause costs to increase as well as scarcity of certain products. Global supply chain disruptions continue to persist, and may become worse due to the war in Ukraine, the COVID-19 pandemic-related lock-downs in China or for other reasons. We are experiencing inflationary pressures in certain areas of our business, including with respect to prices of our raw materials and employee wages, although, to date, we have been able to offset such pressures, to some extent, through price increases and other measures. We cannot, however, predict any future trends in the rate of inflation or associated increases in our operating costs and how that may impact our business. In addition, the demand for our products may soften as we continue to increase the prices of our products to offset the inflationary pressure. To the extent we are unable to recover higher operating costs resulting from inflation or otherwise mitigate the impact of such costs on our business, or to continue to grow our sales volumes, our net sales and gross margins could decrease, and our financial condition and results of operations could be adversely affected.</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Economic and political change could adversely impact our financial condition and results of operations.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business has been and could continue to be adversely affected by events over which we have limited or no control, including pandemics, recessions, general or specific inflations, trade restrictions, changes to tax laws, changes to other laws, and armed conflicts, among others. These events may disrupt the supply and prices of raw materials or labor required to produce the products we sell, affect the ability of our customers to operate their businesses such that they lessen their purchases from us, and affect the ability of potential consumers of our products to purchase them. These effects may occur in any of the markets in which we compete. The current military conflict between Russia and Ukraine could adversely affect our operations, and related sanctions and other actions that have been or may be enacted by the United States, the European Union, or other governing entities could adversely affect our business, our business partners, our suppliers, and our customers.</w:t>
      </w:r>
    </w:p>
    <w:p>
      <w:pPr>
        <w:pStyle w:val="TextBody"/>
        <w:spacing w:before="0" w:after="0"/>
        <w:ind w:left="0" w:right="0" w:hanging="0"/>
        <w:rPr/>
      </w:pPr>
      <w:bookmarkStart w:id="985" w:name="_Item_2._Unregistered"/>
      <w:bookmarkEnd w:id="985"/>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986" w:name="Item6Exhibits_62690"/>
      <w:bookmarkStart w:id="987" w:name="_7e987f6d_113b_4369_83be_132ed2aa3381"/>
      <w:bookmarkEnd w:id="986"/>
      <w:bookmarkEnd w:id="987"/>
      <w:r>
        <w:rPr>
          <w:rFonts w:ascii="Times New Roman;Times;serif" w:hAnsi="Times New Roman;Times;serif"/>
          <w:b/>
          <w:sz w:val="20"/>
        </w:rPr>
        <w:t xml:space="preserve">Item 6. Exhibits </w:t>
      </w:r>
    </w:p>
    <w:tbl>
      <w:tblPr>
        <w:tblW w:w="10205" w:type="dxa"/>
        <w:jc w:val="left"/>
        <w:tblInd w:w="0" w:type="dxa"/>
        <w:tblCellMar>
          <w:top w:w="0" w:type="dxa"/>
          <w:left w:w="0" w:type="dxa"/>
          <w:bottom w:w="0" w:type="dxa"/>
          <w:right w:w="0" w:type="dxa"/>
        </w:tblCellMar>
      </w:tblPr>
      <w:tblGrid>
        <w:gridCol w:w="818"/>
        <w:gridCol w:w="206"/>
        <w:gridCol w:w="9181"/>
      </w:tblGrid>
      <w:tr>
        <w:trPr/>
        <w:tc>
          <w:tcPr>
            <w:tcW w:w="8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Exhibit</w:t>
            </w:r>
          </w:p>
        </w:tc>
        <w:tc>
          <w:tcPr>
            <w:tcW w:w="206" w:type="dxa"/>
            <w:tcBorders/>
            <w:shd w:fill="auto" w:val="clear"/>
            <w:vAlign w:val="center"/>
          </w:tcPr>
          <w:p>
            <w:pPr>
              <w:pStyle w:val="TableContents"/>
              <w:spacing w:before="0" w:after="0"/>
              <w:ind w:left="0" w:right="0" w:hanging="0"/>
              <w:rPr/>
            </w:pPr>
            <w:r>
              <w:rPr/>
              <w:t>  </w:t>
            </w:r>
          </w:p>
        </w:tc>
        <w:tc>
          <w:tcPr>
            <w:tcW w:w="9181" w:type="dxa"/>
            <w:tcBorders/>
            <w:shd w:fill="auto" w:val="clear"/>
            <w:vAlign w:val="center"/>
          </w:tcPr>
          <w:p>
            <w:pPr>
              <w:pStyle w:val="TableContents"/>
              <w:spacing w:before="0" w:after="0"/>
              <w:ind w:left="0" w:right="0" w:hanging="0"/>
              <w:rPr/>
            </w:pPr>
            <w:r>
              <w:rPr/>
              <w:t>​</w:t>
            </w:r>
          </w:p>
        </w:tc>
      </w:tr>
      <w:tr>
        <w:trPr/>
        <w:tc>
          <w:tcPr>
            <w:tcW w:w="8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w:t>
            </w:r>
          </w:p>
        </w:tc>
        <w:tc>
          <w:tcPr>
            <w:tcW w:w="206" w:type="dxa"/>
            <w:tcBorders/>
            <w:shd w:fill="auto" w:val="clear"/>
            <w:vAlign w:val="center"/>
          </w:tcPr>
          <w:p>
            <w:pPr>
              <w:pStyle w:val="TableContents"/>
              <w:spacing w:before="0" w:after="0"/>
              <w:ind w:left="0" w:right="0" w:hanging="0"/>
              <w:rPr/>
            </w:pPr>
            <w:r>
              <w:rPr/>
              <w:t>​</w:t>
            </w:r>
          </w:p>
        </w:tc>
        <w:tc>
          <w:tcPr>
            <w:tcW w:w="9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Description</w:t>
            </w:r>
          </w:p>
        </w:tc>
      </w:tr>
      <w:tr>
        <w:trPr/>
        <w:tc>
          <w:tcPr>
            <w:tcW w:w="8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206" w:type="dxa"/>
            <w:tcBorders/>
            <w:shd w:fill="auto" w:val="clear"/>
            <w:vAlign w:val="center"/>
          </w:tcPr>
          <w:p>
            <w:pPr>
              <w:pStyle w:val="TableContents"/>
              <w:spacing w:before="0" w:after="0"/>
              <w:ind w:left="0" w:right="0" w:hanging="0"/>
              <w:rPr/>
            </w:pPr>
            <w:r>
              <w:rPr/>
              <w:t>​</w:t>
            </w:r>
          </w:p>
        </w:tc>
        <w:tc>
          <w:tcPr>
            <w:tcW w:w="9181" w:type="dxa"/>
            <w:tcBorders/>
            <w:shd w:fill="auto" w:val="clear"/>
            <w:vAlign w:val="center"/>
          </w:tcPr>
          <w:p>
            <w:pPr>
              <w:pStyle w:val="TableContents"/>
              <w:spacing w:before="0" w:after="0"/>
              <w:ind w:left="0" w:right="0" w:hanging="0"/>
              <w:rPr/>
            </w:pPr>
            <w:hyperlink w:anchor="swim-20220402xex31d1.htm">
              <w:r>
                <w:rPr>
                  <w:rStyle w:val="InternetLink"/>
                  <w:rFonts w:ascii="Times New Roman;Times;serif" w:hAnsi="Times New Roman;Times;serif"/>
                  <w:b w:val="false"/>
                  <w:i w:val="false"/>
                  <w:caps w:val="false"/>
                  <w:smallCaps w:val="false"/>
                  <w:sz w:val="20"/>
                </w:rPr>
                <w:t>Certification of CEO, pursuant to SEC Rule 13a-14(a) and 15d-14(a)</w:t>
              </w:r>
            </w:hyperlink>
            <w:r>
              <w:rPr>
                <w:rFonts w:ascii="Times New Roman;Times;serif" w:hAnsi="Times New Roman;Times;serif"/>
                <w:sz w:val="20"/>
              </w:rPr>
              <w:t xml:space="preserve"> (filed herewith)</w:t>
            </w:r>
          </w:p>
        </w:tc>
      </w:tr>
      <w:tr>
        <w:trPr/>
        <w:tc>
          <w:tcPr>
            <w:tcW w:w="8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206" w:type="dxa"/>
            <w:tcBorders/>
            <w:shd w:fill="auto" w:val="clear"/>
            <w:vAlign w:val="center"/>
          </w:tcPr>
          <w:p>
            <w:pPr>
              <w:pStyle w:val="TableContents"/>
              <w:spacing w:before="0" w:after="0"/>
              <w:ind w:left="0" w:right="0" w:hanging="0"/>
              <w:rPr/>
            </w:pPr>
            <w:r>
              <w:rPr/>
              <w:t>​</w:t>
            </w:r>
          </w:p>
        </w:tc>
        <w:tc>
          <w:tcPr>
            <w:tcW w:w="9181" w:type="dxa"/>
            <w:tcBorders/>
            <w:shd w:fill="auto" w:val="clear"/>
            <w:vAlign w:val="center"/>
          </w:tcPr>
          <w:p>
            <w:pPr>
              <w:pStyle w:val="TableContents"/>
              <w:spacing w:before="0" w:after="0"/>
              <w:ind w:left="0" w:right="0" w:hanging="0"/>
              <w:rPr/>
            </w:pPr>
            <w:hyperlink w:anchor="swim-20220402xex31d2.htm">
              <w:r>
                <w:rPr>
                  <w:rStyle w:val="InternetLink"/>
                  <w:rFonts w:ascii="Times New Roman;Times;serif" w:hAnsi="Times New Roman;Times;serif"/>
                  <w:b w:val="false"/>
                  <w:i w:val="false"/>
                  <w:caps w:val="false"/>
                  <w:smallCaps w:val="false"/>
                  <w:sz w:val="20"/>
                </w:rPr>
                <w:t>Certification of CFO, pursuant to SEC Rule 13a-14(a) and 15d-14(a)</w:t>
              </w:r>
            </w:hyperlink>
            <w:r>
              <w:rPr>
                <w:rFonts w:ascii="Times New Roman;Times;serif" w:hAnsi="Times New Roman;Times;serif"/>
                <w:sz w:val="20"/>
              </w:rPr>
              <w:t xml:space="preserve"> (filed herewith)</w:t>
            </w:r>
          </w:p>
        </w:tc>
      </w:tr>
      <w:tr>
        <w:trPr/>
        <w:tc>
          <w:tcPr>
            <w:tcW w:w="8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206" w:type="dxa"/>
            <w:tcBorders/>
            <w:shd w:fill="auto" w:val="clear"/>
            <w:vAlign w:val="center"/>
          </w:tcPr>
          <w:p>
            <w:pPr>
              <w:pStyle w:val="TableContents"/>
              <w:spacing w:before="0" w:after="0"/>
              <w:ind w:left="0" w:right="0" w:hanging="0"/>
              <w:rPr/>
            </w:pPr>
            <w:r>
              <w:rPr/>
              <w:t>​</w:t>
            </w:r>
          </w:p>
        </w:tc>
        <w:tc>
          <w:tcPr>
            <w:tcW w:w="9181" w:type="dxa"/>
            <w:tcBorders/>
            <w:shd w:fill="auto" w:val="clear"/>
            <w:vAlign w:val="center"/>
          </w:tcPr>
          <w:p>
            <w:pPr>
              <w:pStyle w:val="TableContents"/>
              <w:spacing w:before="0" w:after="0"/>
              <w:ind w:left="0" w:right="0" w:hanging="0"/>
              <w:rPr/>
            </w:pPr>
            <w:hyperlink w:anchor="swim-20220402xex32d1.htm">
              <w:r>
                <w:rPr>
                  <w:rStyle w:val="InternetLink"/>
                  <w:rFonts w:ascii="Times New Roman;Times;serif" w:hAnsi="Times New Roman;Times;serif"/>
                  <w:b w:val="false"/>
                  <w:i w:val="false"/>
                  <w:caps w:val="false"/>
                  <w:smallCaps w:val="false"/>
                  <w:sz w:val="20"/>
                </w:rPr>
                <w:t>Certification by the CEO, pursuant to 18 U.S.C. Section 1350, as adopted pursuant to Section 906 of the Sarbanes-Oxley Act of 2002</w:t>
              </w:r>
            </w:hyperlink>
            <w:r>
              <w:rPr>
                <w:rFonts w:ascii="Times New Roman;Times;serif" w:hAnsi="Times New Roman;Times;serif"/>
                <w:sz w:val="20"/>
              </w:rPr>
              <w:t xml:space="preserve"> (furnished herewith)</w:t>
            </w:r>
          </w:p>
        </w:tc>
      </w:tr>
      <w:tr>
        <w:trPr/>
        <w:tc>
          <w:tcPr>
            <w:tcW w:w="8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32.2**</w:t>
            </w:r>
          </w:p>
        </w:tc>
        <w:tc>
          <w:tcPr>
            <w:tcW w:w="206" w:type="dxa"/>
            <w:tcBorders/>
            <w:shd w:fill="auto" w:val="clear"/>
            <w:vAlign w:val="center"/>
          </w:tcPr>
          <w:p>
            <w:pPr>
              <w:pStyle w:val="TableContents"/>
              <w:spacing w:before="0" w:after="0"/>
              <w:ind w:left="0" w:right="0" w:hanging="0"/>
              <w:rPr/>
            </w:pPr>
            <w:r>
              <w:rPr/>
              <w:t>​</w:t>
            </w:r>
          </w:p>
        </w:tc>
        <w:tc>
          <w:tcPr>
            <w:tcW w:w="9181" w:type="dxa"/>
            <w:tcBorders/>
            <w:shd w:fill="auto" w:val="clear"/>
            <w:vAlign w:val="center"/>
          </w:tcPr>
          <w:p>
            <w:pPr>
              <w:pStyle w:val="TableContents"/>
              <w:spacing w:before="0" w:after="0"/>
              <w:ind w:left="0" w:right="0" w:hanging="0"/>
              <w:rPr/>
            </w:pPr>
            <w:hyperlink w:anchor="swim-20220402xex32d2.htm">
              <w:r>
                <w:rPr>
                  <w:rStyle w:val="InternetLink"/>
                  <w:rFonts w:ascii="Times New Roman;Times;serif" w:hAnsi="Times New Roman;Times;serif"/>
                  <w:b w:val="false"/>
                  <w:i w:val="false"/>
                  <w:caps w:val="false"/>
                  <w:smallCaps w:val="false"/>
                  <w:sz w:val="20"/>
                </w:rPr>
                <w:t>Certification by the CFO, pursuant to 18 U.S.C. Section 1350, as adopted pursuant to Section 906 of the Sarbanes-Oxley Act of 2002</w:t>
              </w:r>
            </w:hyperlink>
            <w:r>
              <w:rPr>
                <w:rFonts w:ascii="Times New Roman;Times;serif" w:hAnsi="Times New Roman;Times;serif"/>
                <w:sz w:val="20"/>
              </w:rPr>
              <w:t xml:space="preserve"> (furnished herewith)</w:t>
            </w:r>
          </w:p>
        </w:tc>
      </w:tr>
      <w:tr>
        <w:trPr/>
        <w:tc>
          <w:tcPr>
            <w:tcW w:w="8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206" w:type="dxa"/>
            <w:tcBorders/>
            <w:shd w:fill="auto" w:val="clear"/>
            <w:vAlign w:val="center"/>
          </w:tcPr>
          <w:p>
            <w:pPr>
              <w:pStyle w:val="TableContents"/>
              <w:spacing w:before="0" w:after="0"/>
              <w:ind w:left="0" w:right="0" w:hanging="0"/>
              <w:rPr/>
            </w:pPr>
            <w:r>
              <w:rPr/>
              <w:t>​</w:t>
            </w:r>
          </w:p>
        </w:tc>
        <w:tc>
          <w:tcPr>
            <w:tcW w:w="9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206" w:type="dxa"/>
            <w:tcBorders/>
            <w:shd w:fill="auto" w:val="clear"/>
            <w:vAlign w:val="center"/>
          </w:tcPr>
          <w:p>
            <w:pPr>
              <w:pStyle w:val="TableContents"/>
              <w:spacing w:before="0" w:after="0"/>
              <w:ind w:left="0" w:right="0" w:hanging="0"/>
              <w:rPr/>
            </w:pPr>
            <w:r>
              <w:rPr/>
              <w:t>​</w:t>
            </w:r>
          </w:p>
        </w:tc>
        <w:tc>
          <w:tcPr>
            <w:tcW w:w="9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206" w:type="dxa"/>
            <w:tcBorders/>
            <w:shd w:fill="auto" w:val="clear"/>
            <w:vAlign w:val="center"/>
          </w:tcPr>
          <w:p>
            <w:pPr>
              <w:pStyle w:val="TableContents"/>
              <w:spacing w:before="0" w:after="0"/>
              <w:ind w:left="0" w:right="0" w:hanging="0"/>
              <w:rPr/>
            </w:pPr>
            <w:r>
              <w:rPr/>
              <w:t>​</w:t>
            </w:r>
          </w:p>
        </w:tc>
        <w:tc>
          <w:tcPr>
            <w:tcW w:w="9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206" w:type="dxa"/>
            <w:tcBorders/>
            <w:shd w:fill="auto" w:val="clear"/>
            <w:vAlign w:val="center"/>
          </w:tcPr>
          <w:p>
            <w:pPr>
              <w:pStyle w:val="TableContents"/>
              <w:spacing w:before="0" w:after="0"/>
              <w:ind w:left="0" w:right="0" w:hanging="0"/>
              <w:rPr/>
            </w:pPr>
            <w:r>
              <w:rPr/>
              <w:t>​</w:t>
            </w:r>
          </w:p>
        </w:tc>
        <w:tc>
          <w:tcPr>
            <w:tcW w:w="9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206" w:type="dxa"/>
            <w:tcBorders/>
            <w:shd w:fill="auto" w:val="clear"/>
            <w:vAlign w:val="center"/>
          </w:tcPr>
          <w:p>
            <w:pPr>
              <w:pStyle w:val="TableContents"/>
              <w:spacing w:before="0" w:after="0"/>
              <w:ind w:left="0" w:right="0" w:hanging="0"/>
              <w:rPr/>
            </w:pPr>
            <w:r>
              <w:rPr/>
              <w:t>​</w:t>
            </w:r>
          </w:p>
        </w:tc>
        <w:tc>
          <w:tcPr>
            <w:tcW w:w="9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206" w:type="dxa"/>
            <w:tcBorders/>
            <w:shd w:fill="auto" w:val="clear"/>
            <w:vAlign w:val="center"/>
          </w:tcPr>
          <w:p>
            <w:pPr>
              <w:pStyle w:val="TableContents"/>
              <w:spacing w:before="0" w:after="0"/>
              <w:ind w:left="0" w:right="0" w:hanging="0"/>
              <w:rPr/>
            </w:pPr>
            <w:r>
              <w:rPr/>
              <w:t>​</w:t>
            </w:r>
          </w:p>
        </w:tc>
        <w:tc>
          <w:tcPr>
            <w:tcW w:w="9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206" w:type="dxa"/>
            <w:tcBorders/>
            <w:shd w:fill="auto" w:val="clear"/>
            <w:vAlign w:val="center"/>
          </w:tcPr>
          <w:p>
            <w:pPr>
              <w:pStyle w:val="TableContents"/>
              <w:spacing w:before="0" w:after="0"/>
              <w:ind w:left="0" w:right="0" w:hanging="0"/>
              <w:rPr/>
            </w:pPr>
            <w:r>
              <w:rPr/>
              <w:t>​</w:t>
            </w:r>
          </w:p>
        </w:tc>
        <w:tc>
          <w:tcPr>
            <w:tcW w:w="9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tbl>
      <w:tblPr>
        <w:tblW w:w="9771" w:type="dxa"/>
        <w:jc w:val="left"/>
        <w:tblInd w:w="0" w:type="dxa"/>
        <w:tblCellMar>
          <w:top w:w="0" w:type="dxa"/>
          <w:left w:w="0" w:type="dxa"/>
          <w:bottom w:w="0" w:type="dxa"/>
          <w:right w:w="0" w:type="dxa"/>
        </w:tblCellMar>
      </w:tblPr>
      <w:tblGrid>
        <w:gridCol w:w="331"/>
        <w:gridCol w:w="109"/>
        <w:gridCol w:w="9331"/>
      </w:tblGrid>
      <w:tr>
        <w:trPr/>
        <w:tc>
          <w:tcPr>
            <w:tcW w:w="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9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herewith.</w:t>
            </w:r>
          </w:p>
        </w:tc>
      </w:tr>
      <w:tr>
        <w:trPr/>
        <w:tc>
          <w:tcPr>
            <w:tcW w:w="3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925185" cy="175260"/>
                      <wp:effectExtent l="0" t="0" r="0" b="0"/>
                      <wp:wrapNone/>
                      <wp:docPr id="240" name="Frame240"/>
                      <a:graphic xmlns:a="http://schemas.openxmlformats.org/drawingml/2006/main">
                        <a:graphicData uri="http://schemas.microsoft.com/office/word/2010/wordprocessingShape">
                          <wps:wsp>
                            <wps:cNvSpPr txBox="1"/>
                            <wps:spPr>
                              <a:xfrm>
                                <a:off x="0" y="0"/>
                                <a:ext cx="5925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9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 signed original of the written statement required by Section 906 has been provided to the Company and will be</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retained by the Company and forwarded to the SEC or its staff upon request.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988" w:name="SIGNATURES_654110"/>
      <w:bookmarkStart w:id="989" w:name="_5ca3f749_d4f2_4de6_aed5_503c9751f60d"/>
      <w:bookmarkEnd w:id="988"/>
      <w:bookmarkEnd w:id="989"/>
      <w:r>
        <w:rPr>
          <w:rFonts w:ascii="Times New Roman;Times;serif" w:hAnsi="Times New Roman;Times;serif"/>
          <w:b/>
          <w:sz w:val="20"/>
        </w:rPr>
        <w:t>SIGNATURES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thereunto duly authorized.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May 12, 2022</w:t>
      </w:r>
    </w:p>
    <w:p>
      <w:pPr>
        <w:pStyle w:val="TextBody"/>
        <w:spacing w:before="0" w:after="0"/>
        <w:ind w:left="0" w:right="0" w:hanging="0"/>
        <w:rPr/>
      </w:pPr>
      <w:r>
        <w:rPr/>
        <w:t>​</w:t>
      </w:r>
    </w:p>
    <w:tbl>
      <w:tblPr>
        <w:tblW w:w="2540" w:type="dxa"/>
        <w:jc w:val="left"/>
        <w:tblInd w:w="0" w:type="dxa"/>
        <w:tblCellMar>
          <w:top w:w="0" w:type="dxa"/>
          <w:left w:w="0" w:type="dxa"/>
          <w:bottom w:w="0" w:type="dxa"/>
          <w:right w:w="0" w:type="dxa"/>
        </w:tblCellMar>
      </w:tblPr>
      <w:tblGrid>
        <w:gridCol w:w="124"/>
        <w:gridCol w:w="2416"/>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78740" cy="175260"/>
                      <wp:effectExtent l="0" t="0" r="0" b="0"/>
                      <wp:wrapNone/>
                      <wp:docPr id="241" name="Frame241"/>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534160" cy="175260"/>
                      <wp:effectExtent l="0" t="0" r="0" b="0"/>
                      <wp:wrapNone/>
                      <wp:docPr id="242" name="Frame242"/>
                      <a:graphic xmlns:a="http://schemas.openxmlformats.org/drawingml/2006/main">
                        <a:graphicData uri="http://schemas.microsoft.com/office/word/2010/wordprocessingShape">
                          <wps:wsp>
                            <wps:cNvSpPr txBox="1"/>
                            <wps:spPr>
                              <a:xfrm>
                                <a:off x="0" y="0"/>
                                <a:ext cx="1534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LATHAM GROUP, INC.</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James Mark Borseth</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James Mark Borseth</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245" w:right="0" w:hanging="0"/>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r>
        <w:br w:type="page"/>
      </w:r>
    </w:p>
    <w:p>
      <w:pPr>
        <w:pStyle w:val="TextBody"/>
        <w:spacing w:before="0" w:after="240"/>
        <w:ind w:left="0" w:right="0" w:hanging="0"/>
        <w:jc w:val="right"/>
        <w:rPr>
          <w:rFonts w:ascii="Times New Roman;Times;serif" w:hAnsi="Times New Roman;Times;serif"/>
          <w:b/>
          <w:sz w:val="24"/>
        </w:rPr>
      </w:pPr>
      <w:bookmarkStart w:id="990" w:name="swim-20220402xex31d1.htm"/>
      <w:bookmarkStart w:id="991" w:name="ksswim20220402xex31d1"/>
      <w:bookmarkEnd w:id="990"/>
      <w:bookmarkEnd w:id="991"/>
      <w:r>
        <w:rPr>
          <w:rFonts w:ascii="Times New Roman;Times;serif" w:hAnsi="Times New Roman;Times;serif"/>
          <w:b/>
          <w:sz w:val="24"/>
        </w:rPr>
        <w:t>Exhibit 31.1</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LATHAM GROUP, INC.</w:t>
      </w:r>
    </w:p>
    <w:p>
      <w:pPr>
        <w:pStyle w:val="TextBody"/>
        <w:spacing w:before="0" w:after="100"/>
        <w:ind w:left="0" w:right="0" w:hanging="0"/>
        <w:rPr>
          <w:rFonts w:ascii="Times New Roman;Times;serif" w:hAnsi="Times New Roman;Times;serif"/>
          <w:sz w:val="24"/>
        </w:rPr>
      </w:pPr>
      <w:r>
        <w:rPr>
          <w:rFonts w:ascii="Times New Roman;Times;serif" w:hAnsi="Times New Roman;Times;serif"/>
          <w:sz w:val="24"/>
        </w:rPr>
        <w:t>I, Scott M. Rajeski, certify that:</w:t>
      </w:r>
    </w:p>
    <w:tbl>
      <w:tblPr>
        <w:tblW w:w="7338" w:type="dxa"/>
        <w:jc w:val="left"/>
        <w:tblInd w:w="0" w:type="dxa"/>
        <w:tblCellMar>
          <w:top w:w="0" w:type="dxa"/>
          <w:left w:w="0" w:type="dxa"/>
          <w:bottom w:w="0" w:type="dxa"/>
          <w:right w:w="0" w:type="dxa"/>
        </w:tblCellMar>
      </w:tblPr>
      <w:tblGrid>
        <w:gridCol w:w="23"/>
        <w:gridCol w:w="200"/>
        <w:gridCol w:w="711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71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 have reviewed this quarterly report on Form 10-Q of Latham Group, Inc.;</w:t>
            </w:r>
          </w:p>
        </w:tc>
      </w:tr>
    </w:tbl>
    <w:tbl>
      <w:tblPr>
        <w:tblW w:w="10205" w:type="dxa"/>
        <w:jc w:val="left"/>
        <w:tblInd w:w="0" w:type="dxa"/>
        <w:tblCellMar>
          <w:top w:w="0" w:type="dxa"/>
          <w:left w:w="0" w:type="dxa"/>
          <w:bottom w:w="0" w:type="dxa"/>
          <w:right w:w="0" w:type="dxa"/>
        </w:tblCellMar>
      </w:tblPr>
      <w:tblGrid>
        <w:gridCol w:w="23"/>
        <w:gridCol w:w="159"/>
        <w:gridCol w:w="10023"/>
      </w:tblGrid>
      <w:tr>
        <w:trPr/>
        <w:tc>
          <w:tcPr>
            <w:tcW w:w="2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1002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23"/>
        <w:gridCol w:w="162"/>
        <w:gridCol w:w="10020"/>
      </w:tblGrid>
      <w:tr>
        <w:trPr/>
        <w:tc>
          <w:tcPr>
            <w:tcW w:w="2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w:t>
            </w:r>
          </w:p>
        </w:tc>
        <w:tc>
          <w:tcPr>
            <w:tcW w:w="100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23"/>
        <w:gridCol w:w="165"/>
        <w:gridCol w:w="10017"/>
      </w:tblGrid>
      <w:tr>
        <w:trPr/>
        <w:tc>
          <w:tcPr>
            <w:tcW w:w="2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w:t>
            </w:r>
          </w:p>
        </w:tc>
        <w:tc>
          <w:tcPr>
            <w:tcW w:w="1001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registrant’s other certifying officer(s) and I are responsible for establishing and maintaining disclosure controls and procedures (as defined in Securities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9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9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23"/>
        <w:gridCol w:w="161"/>
        <w:gridCol w:w="10021"/>
      </w:tblGrid>
      <w:tr>
        <w:trPr/>
        <w:tc>
          <w:tcPr>
            <w:tcW w:w="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5.</w:t>
            </w:r>
          </w:p>
        </w:tc>
        <w:tc>
          <w:tcPr>
            <w:tcW w:w="1002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9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Any fraud, whether or not material, that involves management or other employees who have a significant role in the registrant’s internal control over financial reporting.</w:t>
            </w:r>
          </w:p>
        </w:tc>
      </w:tr>
    </w:tbl>
    <w:tbl>
      <w:tblPr>
        <w:tblW w:w="5207" w:type="dxa"/>
        <w:jc w:val="center"/>
        <w:tblInd w:w="0" w:type="dxa"/>
        <w:tblCellMar>
          <w:top w:w="0" w:type="dxa"/>
          <w:left w:w="0" w:type="dxa"/>
          <w:bottom w:w="0" w:type="dxa"/>
          <w:right w:w="0" w:type="dxa"/>
        </w:tblCellMar>
      </w:tblPr>
      <w:tblGrid>
        <w:gridCol w:w="1456"/>
        <w:gridCol w:w="3751"/>
      </w:tblGrid>
      <w:tr>
        <w:trPr/>
        <w:tc>
          <w:tcPr>
            <w:tcW w:w="1456" w:type="dxa"/>
            <w:tcBorders/>
            <w:shd w:fill="auto" w:val="clear"/>
            <w:vAlign w:val="center"/>
          </w:tcPr>
          <w:p>
            <w:pPr>
              <w:pStyle w:val="TableContents"/>
              <w:spacing w:before="0" w:after="0"/>
              <w:ind w:left="0" w:right="0" w:hanging="0"/>
              <w:rPr/>
            </w:pPr>
            <w:r>
              <w:rPr/>
              <w:t>​</w:t>
            </w:r>
          </w:p>
        </w:tc>
        <w:tc>
          <w:tcPr>
            <w:tcW w:w="3751" w:type="dxa"/>
            <w:tcBorders/>
            <w:shd w:fill="auto" w:val="clear"/>
            <w:vAlign w:val="center"/>
          </w:tcPr>
          <w:p>
            <w:pPr>
              <w:pStyle w:val="TableContents"/>
              <w:spacing w:before="0" w:after="0"/>
              <w:ind w:left="0" w:right="0" w:hanging="0"/>
              <w:rPr/>
            </w:pPr>
            <w:r>
              <w:rPr/>
              <w:t>​</w:t>
            </w:r>
          </w:p>
        </w:tc>
      </w:tr>
      <w:tr>
        <w:trPr/>
        <w:tc>
          <w:tcPr>
            <w:tcW w:w="1456" w:type="dxa"/>
            <w:tcBorders/>
            <w:shd w:fill="auto" w:val="clear"/>
            <w:vAlign w:val="center"/>
          </w:tcPr>
          <w:p>
            <w:pPr>
              <w:pStyle w:val="TableContents"/>
              <w:pBdr/>
              <w:spacing w:before="0" w:after="0"/>
              <w:ind w:left="0" w:right="0" w:hanging="0"/>
              <w:rPr>
                <w:rFonts w:ascii="Times New Roman;Times;serif" w:hAnsi="Times New Roman;Times;serif"/>
                <w:sz w:val="24"/>
              </w:rPr>
            </w:pPr>
            <w:r>
              <w:rPr>
                <w:rFonts w:ascii="Times New Roman;Times;serif" w:hAnsi="Times New Roman;Times;serif"/>
                <w:sz w:val="24"/>
              </w:rPr>
              <w:t>May 12, 2022</w:t>
            </w:r>
          </w:p>
        </w:tc>
        <w:tc>
          <w:tcPr>
            <w:tcW w:w="3751"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i/>
                <w:sz w:val="24"/>
              </w:rPr>
            </w:pPr>
            <w:r>
              <w:rPr>
                <w:rFonts w:ascii="Times New Roman;Times;serif" w:hAnsi="Times New Roman;Times;serif"/>
                <w:i/>
                <w:sz w:val="24"/>
              </w:rPr>
              <w:t>/s/ Scott M. Rajeski</w:t>
            </w:r>
          </w:p>
        </w:tc>
      </w:tr>
      <w:tr>
        <w:trPr/>
        <w:tc>
          <w:tcPr>
            <w:tcW w:w="1456" w:type="dxa"/>
            <w:tcBorders/>
            <w:shd w:fill="auto" w:val="clear"/>
            <w:vAlign w:val="center"/>
          </w:tcPr>
          <w:p>
            <w:pPr>
              <w:pStyle w:val="TableContents"/>
              <w:pBdr/>
              <w:spacing w:before="0" w:after="0"/>
              <w:ind w:left="0" w:right="0" w:hanging="0"/>
              <w:rPr/>
            </w:pPr>
            <w:r>
              <w:rPr/>
              <w:t> </w:t>
            </w:r>
          </w:p>
        </w:tc>
        <w:tc>
          <w:tcPr>
            <w:tcW w:w="3751"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Scott M. Rajeski</w:t>
            </w:r>
          </w:p>
        </w:tc>
      </w:tr>
      <w:tr>
        <w:trPr/>
        <w:tc>
          <w:tcPr>
            <w:tcW w:w="1456" w:type="dxa"/>
            <w:tcBorders/>
            <w:shd w:fill="auto" w:val="clear"/>
            <w:vAlign w:val="center"/>
          </w:tcPr>
          <w:p>
            <w:pPr>
              <w:pStyle w:val="TableContents"/>
              <w:pBdr/>
              <w:spacing w:before="0" w:after="0"/>
              <w:ind w:left="0" w:right="0" w:hanging="0"/>
              <w:rPr/>
            </w:pPr>
            <w:r>
              <w:rPr/>
              <w:t> </w:t>
            </w:r>
          </w:p>
        </w:tc>
        <w:tc>
          <w:tcPr>
            <w:tcW w:w="3751"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Chief Executive Officer and President</w:t>
            </w:r>
          </w:p>
        </w:tc>
      </w:tr>
      <w:tr>
        <w:trPr/>
        <w:tc>
          <w:tcPr>
            <w:tcW w:w="1456" w:type="dxa"/>
            <w:tcBorders/>
            <w:shd w:fill="auto" w:val="clear"/>
            <w:vAlign w:val="center"/>
          </w:tcPr>
          <w:p>
            <w:pPr>
              <w:pStyle w:val="TableContents"/>
              <w:pBdr/>
              <w:spacing w:before="0" w:after="0"/>
              <w:ind w:left="0" w:right="0" w:hanging="0"/>
              <w:rPr/>
            </w:pPr>
            <w:r>
              <w:rPr/>
              <w:t> </w:t>
            </w:r>
          </w:p>
        </w:tc>
        <w:tc>
          <w:tcPr>
            <w:tcW w:w="3751"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Latham Group, Inc.</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992" w:name="swim-20220402xex31d2.htm"/>
      <w:bookmarkStart w:id="993" w:name="ksswim20220402xex31d2"/>
      <w:bookmarkEnd w:id="992"/>
      <w:bookmarkEnd w:id="993"/>
      <w:r>
        <w:rPr>
          <w:rFonts w:ascii="Times New Roman;Times;serif" w:hAnsi="Times New Roman;Times;serif"/>
          <w:b/>
          <w:sz w:val="24"/>
        </w:rPr>
        <w:t>Exhibit 31.2</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LATHAM GROUP, INC.</w:t>
      </w:r>
    </w:p>
    <w:p>
      <w:pPr>
        <w:pStyle w:val="TextBody"/>
        <w:spacing w:before="0" w:after="100"/>
        <w:ind w:left="0" w:right="0" w:hanging="0"/>
        <w:rPr>
          <w:rFonts w:ascii="Times New Roman;Times;serif" w:hAnsi="Times New Roman;Times;serif"/>
          <w:sz w:val="24"/>
        </w:rPr>
      </w:pPr>
      <w:r>
        <w:rPr>
          <w:rFonts w:ascii="Times New Roman;Times;serif" w:hAnsi="Times New Roman;Times;serif"/>
          <w:sz w:val="24"/>
        </w:rPr>
        <w:t>I, James Mark Borseth, certify that:</w:t>
      </w:r>
    </w:p>
    <w:tbl>
      <w:tblPr>
        <w:tblW w:w="7338" w:type="dxa"/>
        <w:jc w:val="left"/>
        <w:tblInd w:w="0" w:type="dxa"/>
        <w:tblCellMar>
          <w:top w:w="0" w:type="dxa"/>
          <w:left w:w="0" w:type="dxa"/>
          <w:bottom w:w="0" w:type="dxa"/>
          <w:right w:w="0" w:type="dxa"/>
        </w:tblCellMar>
      </w:tblPr>
      <w:tblGrid>
        <w:gridCol w:w="23"/>
        <w:gridCol w:w="200"/>
        <w:gridCol w:w="711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711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I have reviewed this quarterly report on Form 10-Q of Latham Group, Inc.;</w:t>
            </w:r>
          </w:p>
        </w:tc>
      </w:tr>
    </w:tbl>
    <w:tbl>
      <w:tblPr>
        <w:tblW w:w="10205" w:type="dxa"/>
        <w:jc w:val="left"/>
        <w:tblInd w:w="0" w:type="dxa"/>
        <w:tblCellMar>
          <w:top w:w="0" w:type="dxa"/>
          <w:left w:w="0" w:type="dxa"/>
          <w:bottom w:w="0" w:type="dxa"/>
          <w:right w:w="0" w:type="dxa"/>
        </w:tblCellMar>
      </w:tblPr>
      <w:tblGrid>
        <w:gridCol w:w="23"/>
        <w:gridCol w:w="159"/>
        <w:gridCol w:w="10023"/>
      </w:tblGrid>
      <w:tr>
        <w:trPr/>
        <w:tc>
          <w:tcPr>
            <w:tcW w:w="2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10023"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23"/>
        <w:gridCol w:w="162"/>
        <w:gridCol w:w="10020"/>
      </w:tblGrid>
      <w:tr>
        <w:trPr/>
        <w:tc>
          <w:tcPr>
            <w:tcW w:w="2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3.</w:t>
            </w:r>
          </w:p>
        </w:tc>
        <w:tc>
          <w:tcPr>
            <w:tcW w:w="100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23"/>
        <w:gridCol w:w="165"/>
        <w:gridCol w:w="10017"/>
      </w:tblGrid>
      <w:tr>
        <w:trPr/>
        <w:tc>
          <w:tcPr>
            <w:tcW w:w="2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4.</w:t>
            </w:r>
          </w:p>
        </w:tc>
        <w:tc>
          <w:tcPr>
            <w:tcW w:w="1001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registrant’s other certifying officer(s) and I are responsible for establishing and maintaining disclosure controls and procedures (as defined in Securities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9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999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23"/>
        <w:gridCol w:w="161"/>
        <w:gridCol w:w="10021"/>
      </w:tblGrid>
      <w:tr>
        <w:trPr/>
        <w:tc>
          <w:tcPr>
            <w:tcW w:w="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5.</w:t>
            </w:r>
          </w:p>
        </w:tc>
        <w:tc>
          <w:tcPr>
            <w:tcW w:w="10021"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9997"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9982"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Any fraud, whether or not material, that involves management or other employees who have a significant role in the registrant’s internal control over financial reporting.</w:t>
            </w:r>
          </w:p>
        </w:tc>
      </w:tr>
    </w:tbl>
    <w:tbl>
      <w:tblPr>
        <w:tblW w:w="3842" w:type="dxa"/>
        <w:jc w:val="center"/>
        <w:tblInd w:w="0" w:type="dxa"/>
        <w:tblCellMar>
          <w:top w:w="0" w:type="dxa"/>
          <w:left w:w="0" w:type="dxa"/>
          <w:bottom w:w="0" w:type="dxa"/>
          <w:right w:w="0" w:type="dxa"/>
        </w:tblCellMar>
      </w:tblPr>
      <w:tblGrid>
        <w:gridCol w:w="1456"/>
        <w:gridCol w:w="2386"/>
      </w:tblGrid>
      <w:tr>
        <w:trPr/>
        <w:tc>
          <w:tcPr>
            <w:tcW w:w="145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May 12, 2022</w:t>
            </w:r>
          </w:p>
        </w:tc>
        <w:tc>
          <w:tcPr>
            <w:tcW w:w="2386"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i/>
                <w:sz w:val="24"/>
              </w:rPr>
            </w:pPr>
            <w:r>
              <w:rPr>
                <w:rFonts w:ascii="Times New Roman;Times;serif" w:hAnsi="Times New Roman;Times;serif"/>
                <w:i/>
                <w:sz w:val="24"/>
              </w:rPr>
              <w:t>/s/ James Mark Borseth</w:t>
            </w:r>
          </w:p>
        </w:tc>
      </w:tr>
      <w:tr>
        <w:trPr/>
        <w:tc>
          <w:tcPr>
            <w:tcW w:w="1456" w:type="dxa"/>
            <w:tcBorders/>
            <w:shd w:fill="auto" w:val="clear"/>
            <w:vAlign w:val="center"/>
          </w:tcPr>
          <w:p>
            <w:pPr>
              <w:pStyle w:val="TableContents"/>
              <w:spacing w:before="0" w:after="0"/>
              <w:ind w:left="0" w:right="0" w:hanging="0"/>
              <w:rPr/>
            </w:pPr>
            <w:r>
              <w:rPr/>
              <w:t> </w:t>
            </w:r>
          </w:p>
        </w:tc>
        <w:tc>
          <w:tcPr>
            <w:tcW w:w="2386"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James Mark Borseth</w:t>
            </w:r>
          </w:p>
        </w:tc>
      </w:tr>
      <w:tr>
        <w:trPr/>
        <w:tc>
          <w:tcPr>
            <w:tcW w:w="1456" w:type="dxa"/>
            <w:tcBorders/>
            <w:shd w:fill="auto" w:val="clear"/>
            <w:vAlign w:val="center"/>
          </w:tcPr>
          <w:p>
            <w:pPr>
              <w:pStyle w:val="TableContents"/>
              <w:spacing w:before="0" w:after="0"/>
              <w:ind w:left="0" w:right="0" w:hanging="0"/>
              <w:rPr/>
            </w:pPr>
            <w:r>
              <w:rPr/>
              <w:t> </w:t>
            </w:r>
          </w:p>
        </w:tc>
        <w:tc>
          <w:tcPr>
            <w:tcW w:w="2386"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Chief Financial Officer</w:t>
            </w:r>
          </w:p>
        </w:tc>
      </w:tr>
      <w:tr>
        <w:trPr/>
        <w:tc>
          <w:tcPr>
            <w:tcW w:w="1456" w:type="dxa"/>
            <w:tcBorders/>
            <w:shd w:fill="auto" w:val="clear"/>
            <w:vAlign w:val="center"/>
          </w:tcPr>
          <w:p>
            <w:pPr>
              <w:pStyle w:val="TableContents"/>
              <w:spacing w:before="0" w:after="0"/>
              <w:ind w:left="0" w:right="0" w:hanging="0"/>
              <w:rPr/>
            </w:pPr>
            <w:r>
              <w:rPr/>
              <w:t> </w:t>
            </w:r>
          </w:p>
        </w:tc>
        <w:tc>
          <w:tcPr>
            <w:tcW w:w="2386"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Latham Group, Inc.</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994" w:name="swim-20220402xex32d1.htm"/>
      <w:bookmarkStart w:id="995" w:name="ksswim20220402xex32d1"/>
      <w:bookmarkEnd w:id="994"/>
      <w:bookmarkEnd w:id="995"/>
      <w:r>
        <w:rPr>
          <w:rFonts w:ascii="Times New Roman;Times;serif" w:hAnsi="Times New Roman;Times;serif"/>
          <w:b/>
          <w:sz w:val="24"/>
        </w:rPr>
        <w:t>Exhibit 32.1</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LATHAM GROUP, INC.</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CERTIFICATION PURSUANT TO</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18 U.S.C. SECTION 1350,</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AS ADOPTED PURSUANT TO</w:t>
      </w:r>
    </w:p>
    <w:p>
      <w:pPr>
        <w:pStyle w:val="TextBody"/>
        <w:spacing w:before="0" w:after="240"/>
        <w:ind w:left="0" w:right="0" w:hanging="0"/>
        <w:jc w:val="center"/>
        <w:rPr>
          <w:rFonts w:ascii="Times New Roman;Times;serif" w:hAnsi="Times New Roman;Times;serif"/>
          <w:sz w:val="24"/>
        </w:rPr>
      </w:pPr>
      <w:r>
        <w:rPr>
          <w:rFonts w:ascii="Times New Roman;Times;serif" w:hAnsi="Times New Roman;Times;serif"/>
          <w:sz w:val="24"/>
        </w:rPr>
        <w:t>SECTION 906 OF THE SARBANES-OXLEY ACT OF 2002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In connection with the Quarterly Report of Latham Group, Inc. (the “</w:t>
      </w:r>
      <w:r>
        <w:rPr>
          <w:rFonts w:ascii="Times New Roman;Times;serif" w:hAnsi="Times New Roman;Times;serif"/>
          <w:sz w:val="24"/>
          <w:u w:val="single"/>
        </w:rPr>
        <w:t>Company</w:t>
      </w:r>
      <w:r>
        <w:rPr>
          <w:rFonts w:ascii="Times New Roman;Times;serif" w:hAnsi="Times New Roman;Times;serif"/>
          <w:sz w:val="20"/>
        </w:rPr>
        <w:t>”</w:t>
      </w:r>
      <w:r>
        <w:rPr>
          <w:rFonts w:ascii="Times New Roman;Times;serif" w:hAnsi="Times New Roman;Times;serif"/>
          <w:sz w:val="24"/>
        </w:rPr>
        <w:t>) on Form 10-Q for the period ending April 2, 2022 as filed with the Securities and Exchange Commission on the date hereof (the “</w:t>
      </w:r>
      <w:r>
        <w:rPr>
          <w:rFonts w:ascii="Times New Roman;Times;serif" w:hAnsi="Times New Roman;Times;serif"/>
          <w:sz w:val="24"/>
          <w:u w:val="single"/>
        </w:rPr>
        <w:t>Report</w:t>
      </w:r>
      <w:r>
        <w:rPr>
          <w:rFonts w:ascii="Times New Roman;Times;serif" w:hAnsi="Times New Roman;Times;serif"/>
          <w:sz w:val="20"/>
        </w:rPr>
        <w:t>”</w:t>
      </w:r>
      <w:r>
        <w:rPr>
          <w:rFonts w:ascii="Times New Roman;Times;serif" w:hAnsi="Times New Roman;Times;serif"/>
          <w:sz w:val="24"/>
        </w:rPr>
        <w:t>), I, Scott M. Rajeski, Chief Executive Officer of the Company, certify, pursuant to 18 U.S.C. Section 1350, as adopted pursuant to Section 906 of the Sarbanes-Oxley Act of 2002, that: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information contained in the Report fairly presents, in all material respects, the financial condition and results of operations of the Company.</w:t>
            </w:r>
          </w:p>
        </w:tc>
      </w:tr>
    </w:tbl>
    <w:tbl>
      <w:tblPr>
        <w:tblW w:w="5207" w:type="dxa"/>
        <w:jc w:val="center"/>
        <w:tblInd w:w="0" w:type="dxa"/>
        <w:tblCellMar>
          <w:top w:w="0" w:type="dxa"/>
          <w:left w:w="0" w:type="dxa"/>
          <w:bottom w:w="0" w:type="dxa"/>
          <w:right w:w="0" w:type="dxa"/>
        </w:tblCellMar>
      </w:tblPr>
      <w:tblGrid>
        <w:gridCol w:w="1456"/>
        <w:gridCol w:w="3751"/>
      </w:tblGrid>
      <w:tr>
        <w:trPr/>
        <w:tc>
          <w:tcPr>
            <w:tcW w:w="1456" w:type="dxa"/>
            <w:tcBorders/>
            <w:shd w:fill="auto" w:val="clear"/>
            <w:vAlign w:val="center"/>
          </w:tcPr>
          <w:p>
            <w:pPr>
              <w:pStyle w:val="TableContents"/>
              <w:spacing w:before="0" w:after="0"/>
              <w:ind w:left="0" w:right="0" w:hanging="0"/>
              <w:rPr/>
            </w:pPr>
            <w:r>
              <w:rPr/>
              <w:t>​</w:t>
            </w:r>
          </w:p>
        </w:tc>
        <w:tc>
          <w:tcPr>
            <w:tcW w:w="3751" w:type="dxa"/>
            <w:tcBorders/>
            <w:shd w:fill="auto" w:val="clear"/>
            <w:vAlign w:val="center"/>
          </w:tcPr>
          <w:p>
            <w:pPr>
              <w:pStyle w:val="TableContents"/>
              <w:spacing w:before="0" w:after="0"/>
              <w:ind w:left="0" w:right="0" w:hanging="0"/>
              <w:rPr/>
            </w:pPr>
            <w:r>
              <w:rPr/>
              <w:t>​</w:t>
            </w:r>
          </w:p>
        </w:tc>
      </w:tr>
      <w:tr>
        <w:trPr/>
        <w:tc>
          <w:tcPr>
            <w:tcW w:w="145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May 12, 2022</w:t>
            </w:r>
          </w:p>
        </w:tc>
        <w:tc>
          <w:tcPr>
            <w:tcW w:w="3751"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i/>
                <w:sz w:val="24"/>
              </w:rPr>
            </w:pPr>
            <w:r>
              <w:rPr>
                <w:rFonts w:ascii="Times New Roman;Times;serif" w:hAnsi="Times New Roman;Times;serif"/>
                <w:i/>
                <w:sz w:val="24"/>
              </w:rPr>
              <w:t>/s/ Scott M. Rajeski</w:t>
            </w:r>
          </w:p>
        </w:tc>
      </w:tr>
      <w:tr>
        <w:trPr/>
        <w:tc>
          <w:tcPr>
            <w:tcW w:w="1456" w:type="dxa"/>
            <w:tcBorders/>
            <w:shd w:fill="auto" w:val="clear"/>
            <w:vAlign w:val="center"/>
          </w:tcPr>
          <w:p>
            <w:pPr>
              <w:pStyle w:val="TableContents"/>
              <w:spacing w:before="0" w:after="0"/>
              <w:ind w:left="0" w:right="0" w:hanging="0"/>
              <w:rPr/>
            </w:pPr>
            <w:r>
              <w:rPr/>
              <w:t> </w:t>
            </w:r>
          </w:p>
        </w:tc>
        <w:tc>
          <w:tcPr>
            <w:tcW w:w="3751"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Scott M. Rajeski</w:t>
            </w:r>
          </w:p>
        </w:tc>
      </w:tr>
      <w:tr>
        <w:trPr/>
        <w:tc>
          <w:tcPr>
            <w:tcW w:w="1456" w:type="dxa"/>
            <w:tcBorders/>
            <w:shd w:fill="auto" w:val="clear"/>
            <w:vAlign w:val="center"/>
          </w:tcPr>
          <w:p>
            <w:pPr>
              <w:pStyle w:val="TableContents"/>
              <w:spacing w:before="0" w:after="0"/>
              <w:ind w:left="0" w:right="0" w:hanging="0"/>
              <w:rPr/>
            </w:pPr>
            <w:r>
              <w:rPr/>
              <w:t> </w:t>
            </w:r>
          </w:p>
        </w:tc>
        <w:tc>
          <w:tcPr>
            <w:tcW w:w="3751"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Chief Executive Officer and President</w:t>
            </w:r>
          </w:p>
        </w:tc>
      </w:tr>
      <w:tr>
        <w:trPr/>
        <w:tc>
          <w:tcPr>
            <w:tcW w:w="1456" w:type="dxa"/>
            <w:tcBorders/>
            <w:shd w:fill="auto" w:val="clear"/>
            <w:vAlign w:val="center"/>
          </w:tcPr>
          <w:p>
            <w:pPr>
              <w:pStyle w:val="TableContents"/>
              <w:spacing w:before="0" w:after="0"/>
              <w:ind w:left="0" w:right="0" w:hanging="0"/>
              <w:rPr/>
            </w:pPr>
            <w:r>
              <w:rPr/>
              <w:t> </w:t>
            </w:r>
          </w:p>
        </w:tc>
        <w:tc>
          <w:tcPr>
            <w:tcW w:w="3751"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Latham Group, Inc.</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996" w:name="swim-20220402xex32d2.htm"/>
      <w:bookmarkStart w:id="997" w:name="ksswim20220402xex32d2"/>
      <w:bookmarkEnd w:id="996"/>
      <w:bookmarkEnd w:id="997"/>
      <w:r>
        <w:rPr>
          <w:rFonts w:ascii="Times New Roman;Times;serif" w:hAnsi="Times New Roman;Times;serif"/>
          <w:b/>
          <w:sz w:val="24"/>
        </w:rPr>
        <w:t>Exhibit 32.2</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LATHAM GROUP, INC.</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CERTIFICATION PURSUANT TO</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18 U.S.C. SECTION 1350,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AS ADOPTED PURSUANT TO</w:t>
      </w:r>
    </w:p>
    <w:p>
      <w:pPr>
        <w:pStyle w:val="TextBody"/>
        <w:spacing w:before="0" w:after="240"/>
        <w:ind w:left="0" w:right="0" w:hanging="0"/>
        <w:jc w:val="center"/>
        <w:rPr>
          <w:rFonts w:ascii="Times New Roman;Times;serif" w:hAnsi="Times New Roman;Times;serif"/>
          <w:sz w:val="24"/>
        </w:rPr>
      </w:pPr>
      <w:r>
        <w:rPr>
          <w:rFonts w:ascii="Times New Roman;Times;serif" w:hAnsi="Times New Roman;Times;serif"/>
          <w:sz w:val="24"/>
        </w:rPr>
        <w:t>SECTION 906 OF THE SARBANES-OXLEY ACT OF 2002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In connection with the Quarterly Report of Latham Group, Inc. (the “</w:t>
      </w:r>
      <w:r>
        <w:rPr>
          <w:rFonts w:ascii="Times New Roman;Times;serif" w:hAnsi="Times New Roman;Times;serif"/>
          <w:sz w:val="24"/>
          <w:u w:val="single"/>
        </w:rPr>
        <w:t>Company</w:t>
      </w:r>
      <w:r>
        <w:rPr>
          <w:rFonts w:ascii="Times New Roman;Times;serif" w:hAnsi="Times New Roman;Times;serif"/>
          <w:sz w:val="20"/>
        </w:rPr>
        <w:t>”</w:t>
      </w:r>
      <w:r>
        <w:rPr>
          <w:rFonts w:ascii="Times New Roman;Times;serif" w:hAnsi="Times New Roman;Times;serif"/>
          <w:sz w:val="24"/>
        </w:rPr>
        <w:t>) on Form 10-Q for the period ending April 2, 2022 as filed with the Securities and Exchange Commission on the date hereof (the “</w:t>
      </w:r>
      <w:r>
        <w:rPr>
          <w:rFonts w:ascii="Times New Roman;Times;serif" w:hAnsi="Times New Roman;Times;serif"/>
          <w:sz w:val="24"/>
          <w:u w:val="single"/>
        </w:rPr>
        <w:t>Report</w:t>
      </w:r>
      <w:r>
        <w:rPr>
          <w:rFonts w:ascii="Times New Roman;Times;serif" w:hAnsi="Times New Roman;Times;serif"/>
          <w:sz w:val="20"/>
        </w:rPr>
        <w:t>”</w:t>
      </w:r>
      <w:r>
        <w:rPr>
          <w:rFonts w:ascii="Times New Roman;Times;serif" w:hAnsi="Times New Roman;Times;serif"/>
          <w:sz w:val="24"/>
        </w:rPr>
        <w:t>), I, James Mark Borseth, Chief Financial Officer of the Company, certify, pursuant to 18 U.S.C. Section 1350, as adopted pursuant to Section 906 of the Sarbanes-Oxley Act of 2002, that: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information contained in the Report fairly presents, in all material respects, the financial condition and results of operations of the Company.</w:t>
            </w:r>
          </w:p>
        </w:tc>
      </w:tr>
    </w:tbl>
    <w:tbl>
      <w:tblPr>
        <w:tblW w:w="3842" w:type="dxa"/>
        <w:jc w:val="left"/>
        <w:tblInd w:w="0" w:type="dxa"/>
        <w:tblCellMar>
          <w:top w:w="0" w:type="dxa"/>
          <w:left w:w="0" w:type="dxa"/>
          <w:bottom w:w="0" w:type="dxa"/>
          <w:right w:w="0" w:type="dxa"/>
        </w:tblCellMar>
      </w:tblPr>
      <w:tblGrid>
        <w:gridCol w:w="1456"/>
        <w:gridCol w:w="2386"/>
      </w:tblGrid>
      <w:tr>
        <w:trPr/>
        <w:tc>
          <w:tcPr>
            <w:tcW w:w="1456" w:type="dxa"/>
            <w:tcBorders/>
            <w:shd w:fill="auto" w:val="clear"/>
            <w:vAlign w:val="center"/>
          </w:tcPr>
          <w:p>
            <w:pPr>
              <w:pStyle w:val="TableContents"/>
              <w:spacing w:before="0" w:after="0"/>
              <w:ind w:left="0" w:right="0" w:hanging="0"/>
              <w:rPr/>
            </w:pPr>
            <w:r>
              <w:rPr/>
              <w:t>​</w:t>
            </w:r>
          </w:p>
        </w:tc>
        <w:tc>
          <w:tcPr>
            <w:tcW w:w="2386" w:type="dxa"/>
            <w:tcBorders/>
            <w:shd w:fill="auto" w:val="clear"/>
            <w:vAlign w:val="center"/>
          </w:tcPr>
          <w:p>
            <w:pPr>
              <w:pStyle w:val="TableContents"/>
              <w:spacing w:before="0" w:after="0"/>
              <w:ind w:left="0" w:right="0" w:hanging="0"/>
              <w:rPr/>
            </w:pPr>
            <w:r>
              <w:rPr/>
              <w:t>​</w:t>
            </w:r>
          </w:p>
        </w:tc>
      </w:tr>
      <w:tr>
        <w:trPr/>
        <w:tc>
          <w:tcPr>
            <w:tcW w:w="145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May 12, 2022</w:t>
            </w:r>
          </w:p>
        </w:tc>
        <w:tc>
          <w:tcPr>
            <w:tcW w:w="2386"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i/>
                <w:sz w:val="24"/>
              </w:rPr>
            </w:pPr>
            <w:r>
              <w:rPr>
                <w:rFonts w:ascii="Times New Roman;Times;serif" w:hAnsi="Times New Roman;Times;serif"/>
                <w:i/>
                <w:sz w:val="24"/>
              </w:rPr>
              <w:t>/s/ James Mark Borseth</w:t>
            </w:r>
          </w:p>
        </w:tc>
      </w:tr>
      <w:tr>
        <w:trPr/>
        <w:tc>
          <w:tcPr>
            <w:tcW w:w="1456" w:type="dxa"/>
            <w:tcBorders/>
            <w:shd w:fill="auto" w:val="clear"/>
            <w:vAlign w:val="center"/>
          </w:tcPr>
          <w:p>
            <w:pPr>
              <w:pStyle w:val="TableContents"/>
              <w:spacing w:before="0" w:after="0"/>
              <w:ind w:left="0" w:right="0" w:hanging="0"/>
              <w:rPr/>
            </w:pPr>
            <w:r>
              <w:rPr/>
              <w:t> </w:t>
            </w:r>
          </w:p>
        </w:tc>
        <w:tc>
          <w:tcPr>
            <w:tcW w:w="2386"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James Mark Borseth</w:t>
            </w:r>
          </w:p>
        </w:tc>
      </w:tr>
      <w:tr>
        <w:trPr/>
        <w:tc>
          <w:tcPr>
            <w:tcW w:w="1456" w:type="dxa"/>
            <w:tcBorders/>
            <w:shd w:fill="auto" w:val="clear"/>
            <w:vAlign w:val="center"/>
          </w:tcPr>
          <w:p>
            <w:pPr>
              <w:pStyle w:val="TableContents"/>
              <w:spacing w:before="0" w:after="0"/>
              <w:ind w:left="0" w:right="0" w:hanging="0"/>
              <w:rPr/>
            </w:pPr>
            <w:r>
              <w:rPr/>
              <w:t> </w:t>
            </w:r>
          </w:p>
        </w:tc>
        <w:tc>
          <w:tcPr>
            <w:tcW w:w="2386"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Chief Financial Officer</w:t>
            </w:r>
          </w:p>
        </w:tc>
      </w:tr>
      <w:tr>
        <w:trPr/>
        <w:tc>
          <w:tcPr>
            <w:tcW w:w="1456" w:type="dxa"/>
            <w:tcBorders/>
            <w:shd w:fill="auto" w:val="clear"/>
            <w:vAlign w:val="center"/>
          </w:tcPr>
          <w:p>
            <w:pPr>
              <w:pStyle w:val="TableContents"/>
              <w:spacing w:before="0" w:after="0"/>
              <w:ind w:left="0" w:right="0" w:hanging="0"/>
              <w:rPr/>
            </w:pPr>
            <w:r>
              <w:rPr/>
              <w:t> </w:t>
            </w:r>
          </w:p>
        </w:tc>
        <w:tc>
          <w:tcPr>
            <w:tcW w:w="2386"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Latham Group, Inc.</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19033</Words>
  <CharactersWithSpaces>125069</CharactersWithSpaces>
  <Paragraphs>4189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