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426085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99060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114935</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86" w:lineRule="exact"/>
        <w:rPr>
          <w:sz w:val="24"/>
          <w:szCs w:val="24"/>
          <w:color w:val="auto"/>
        </w:rPr>
      </w:pPr>
    </w:p>
    <w:p>
      <w:pPr>
        <w:ind w:left="640" w:hanging="58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42"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For the quarterly period ended </w:t>
      </w:r>
      <w:r>
        <w:rPr>
          <w:rFonts w:ascii="Arial" w:cs="Arial" w:eastAsia="Arial" w:hAnsi="Arial"/>
          <w:sz w:val="14"/>
          <w:szCs w:val="14"/>
          <w:b w:val="1"/>
          <w:bCs w:val="1"/>
          <w:u w:val="single" w:color="auto"/>
          <w:color w:val="auto"/>
        </w:rPr>
        <w:t>July 1, 2023</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92" w:lineRule="exact"/>
        <w:rPr>
          <w:sz w:val="24"/>
          <w:szCs w:val="24"/>
          <w:color w:val="auto"/>
        </w:rPr>
      </w:pPr>
    </w:p>
    <w:p>
      <w:pPr>
        <w:ind w:left="640" w:hanging="58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46" w:lineRule="exact"/>
        <w:rPr>
          <w:sz w:val="24"/>
          <w:szCs w:val="24"/>
          <w:color w:val="auto"/>
        </w:rPr>
      </w:pPr>
    </w:p>
    <w:p>
      <w:pPr>
        <w:spacing w:after="0"/>
        <w:tabs>
          <w:tab w:leader="none" w:pos="1880" w:val="left"/>
        </w:tabs>
        <w:rPr>
          <w:sz w:val="20"/>
          <w:szCs w:val="20"/>
          <w:color w:val="auto"/>
        </w:rPr>
      </w:pPr>
      <w:r>
        <w:rPr>
          <w:rFonts w:ascii="Arial" w:cs="Arial" w:eastAsia="Arial" w:hAnsi="Arial"/>
          <w:sz w:val="14"/>
          <w:szCs w:val="14"/>
          <w:color w:val="auto"/>
        </w:rPr>
        <w:t>For the transition period from</w:t>
        <w:tab/>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1113790</wp:posOffset>
            </wp:positionH>
            <wp:positionV relativeFrom="paragraph">
              <wp:posOffset>-3810</wp:posOffset>
            </wp:positionV>
            <wp:extent cx="68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1299210</wp:posOffset>
            </wp:positionH>
            <wp:positionV relativeFrom="paragraph">
              <wp:posOffset>-3810</wp:posOffset>
            </wp:positionV>
            <wp:extent cx="6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Commission file number: </w:t>
      </w:r>
      <w:r>
        <w:rPr>
          <w:rFonts w:ascii="Arial" w:cs="Arial" w:eastAsia="Arial" w:hAnsi="Arial"/>
          <w:sz w:val="14"/>
          <w:szCs w:val="14"/>
          <w:b w:val="1"/>
          <w:bCs w:val="1"/>
          <w:color w:val="auto"/>
        </w:rPr>
        <w:t>001-40358</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LATHAM GROUP, Inc.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5060" w:type="dxa"/>
            <w:vAlign w:val="bottom"/>
            <w:gridSpan w:val="2"/>
          </w:tcPr>
          <w:p>
            <w:pPr>
              <w:jc w:val="right"/>
              <w:ind w:right="2008"/>
              <w:spacing w:after="0"/>
              <w:rPr>
                <w:sz w:val="20"/>
                <w:szCs w:val="20"/>
                <w:color w:val="auto"/>
              </w:rPr>
            </w:pPr>
            <w:r>
              <w:rPr>
                <w:rFonts w:ascii="Arial" w:cs="Arial" w:eastAsia="Arial" w:hAnsi="Arial"/>
                <w:sz w:val="14"/>
                <w:szCs w:val="14"/>
                <w:b w:val="1"/>
                <w:bCs w:val="1"/>
                <w:color w:val="auto"/>
              </w:rPr>
              <w:t>83-2797583</w:t>
            </w:r>
          </w:p>
        </w:tc>
      </w:tr>
      <w:tr>
        <w:trPr>
          <w:trHeight w:val="164"/>
        </w:trPr>
        <w:tc>
          <w:tcPr>
            <w:tcW w:w="48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(State or other jurisdiction of</w:t>
            </w:r>
          </w:p>
        </w:tc>
        <w:tc>
          <w:tcPr>
            <w:tcW w:w="200" w:type="dxa"/>
            <w:vAlign w:val="bottom"/>
          </w:tcPr>
          <w:p>
            <w:pPr>
              <w:spacing w:after="0"/>
              <w:rPr>
                <w:sz w:val="14"/>
                <w:szCs w:val="14"/>
                <w:color w:val="auto"/>
              </w:rPr>
            </w:pPr>
          </w:p>
        </w:tc>
        <w:tc>
          <w:tcPr>
            <w:tcW w:w="48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7"/>
              </w:rPr>
              <w:t>(I.R.S. Employer Identification No.)</w:t>
            </w:r>
          </w:p>
        </w:tc>
      </w:tr>
      <w:tr>
        <w:trPr>
          <w:trHeight w:val="182"/>
        </w:trPr>
        <w:tc>
          <w:tcPr>
            <w:tcW w:w="4860" w:type="dxa"/>
            <w:vAlign w:val="bottom"/>
          </w:tcPr>
          <w:p>
            <w:pPr>
              <w:jc w:val="center"/>
              <w:spacing w:after="0"/>
              <w:rPr>
                <w:sz w:val="20"/>
                <w:szCs w:val="20"/>
                <w:color w:val="auto"/>
              </w:rPr>
            </w:pPr>
            <w:r>
              <w:rPr>
                <w:rFonts w:ascii="Arial" w:cs="Arial" w:eastAsia="Arial" w:hAnsi="Arial"/>
                <w:sz w:val="14"/>
                <w:szCs w:val="14"/>
                <w:color w:val="auto"/>
                <w:w w:val="94"/>
              </w:rPr>
              <w:t>incorporation or organization)</w:t>
            </w:r>
          </w:p>
        </w:tc>
        <w:tc>
          <w:tcPr>
            <w:tcW w:w="200" w:type="dxa"/>
            <w:vAlign w:val="bottom"/>
          </w:tcPr>
          <w:p>
            <w:pPr>
              <w:spacing w:after="0"/>
              <w:rPr>
                <w:sz w:val="15"/>
                <w:szCs w:val="15"/>
                <w:color w:val="auto"/>
              </w:rPr>
            </w:pPr>
          </w:p>
        </w:tc>
        <w:tc>
          <w:tcPr>
            <w:tcW w:w="4860" w:type="dxa"/>
            <w:vAlign w:val="bottom"/>
          </w:tcPr>
          <w:p>
            <w:pPr>
              <w:spacing w:after="0"/>
              <w:rPr>
                <w:sz w:val="15"/>
                <w:szCs w:val="15"/>
                <w:color w:val="auto"/>
              </w:rPr>
            </w:pPr>
          </w:p>
        </w:tc>
      </w:tr>
      <w:tr>
        <w:trPr>
          <w:trHeight w:val="282"/>
        </w:trPr>
        <w:tc>
          <w:tcPr>
            <w:tcW w:w="4860" w:type="dxa"/>
            <w:vAlign w:val="bottom"/>
          </w:tcPr>
          <w:p>
            <w:pPr>
              <w:jc w:val="center"/>
              <w:spacing w:after="0"/>
              <w:rPr>
                <w:sz w:val="20"/>
                <w:szCs w:val="20"/>
                <w:color w:val="auto"/>
              </w:rPr>
            </w:pPr>
            <w:r>
              <w:rPr>
                <w:rFonts w:ascii="Arial" w:cs="Arial" w:eastAsia="Arial" w:hAnsi="Arial"/>
                <w:sz w:val="14"/>
                <w:szCs w:val="14"/>
                <w:b w:val="1"/>
                <w:bCs w:val="1"/>
                <w:color w:val="auto"/>
                <w:w w:val="95"/>
              </w:rPr>
              <w:t>787 Watervliet Shaker Road, Latham, NY</w:t>
            </w:r>
          </w:p>
        </w:tc>
        <w:tc>
          <w:tcPr>
            <w:tcW w:w="5060" w:type="dxa"/>
            <w:vAlign w:val="bottom"/>
            <w:gridSpan w:val="2"/>
          </w:tcPr>
          <w:p>
            <w:pPr>
              <w:jc w:val="right"/>
              <w:ind w:right="2188"/>
              <w:spacing w:after="0"/>
              <w:rPr>
                <w:sz w:val="20"/>
                <w:szCs w:val="20"/>
                <w:color w:val="auto"/>
              </w:rPr>
            </w:pPr>
            <w:r>
              <w:rPr>
                <w:rFonts w:ascii="Arial" w:cs="Arial" w:eastAsia="Arial" w:hAnsi="Arial"/>
                <w:sz w:val="14"/>
                <w:szCs w:val="14"/>
                <w:b w:val="1"/>
                <w:bCs w:val="1"/>
                <w:color w:val="auto"/>
              </w:rPr>
              <w:t>12110</w:t>
            </w:r>
          </w:p>
        </w:tc>
      </w:tr>
      <w:tr>
        <w:trPr>
          <w:trHeight w:val="238"/>
        </w:trPr>
        <w:tc>
          <w:tcPr>
            <w:tcW w:w="48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200" w:type="dxa"/>
            <w:vAlign w:val="bottom"/>
          </w:tcPr>
          <w:p>
            <w:pPr>
              <w:spacing w:after="0"/>
              <w:rPr>
                <w:sz w:val="20"/>
                <w:szCs w:val="20"/>
                <w:color w:val="auto"/>
              </w:rPr>
            </w:pPr>
          </w:p>
        </w:tc>
        <w:tc>
          <w:tcPr>
            <w:tcW w:w="48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 833-3800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92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420" w:type="dxa"/>
            <w:vAlign w:val="bottom"/>
          </w:tcPr>
          <w:p>
            <w:pPr>
              <w:spacing w:after="0"/>
              <w:rPr>
                <w:sz w:val="15"/>
                <w:szCs w:val="15"/>
                <w:color w:val="auto"/>
              </w:rPr>
            </w:pPr>
          </w:p>
        </w:tc>
        <w:tc>
          <w:tcPr>
            <w:tcW w:w="3580" w:type="dxa"/>
            <w:vAlign w:val="bottom"/>
          </w:tcPr>
          <w:p>
            <w:pPr>
              <w:spacing w:after="0"/>
              <w:rPr>
                <w:sz w:val="15"/>
                <w:szCs w:val="15"/>
                <w:color w:val="auto"/>
              </w:rPr>
            </w:pPr>
          </w:p>
        </w:tc>
      </w:tr>
      <w:tr>
        <w:trPr>
          <w:trHeight w:val="268"/>
        </w:trPr>
        <w:tc>
          <w:tcPr>
            <w:tcW w:w="3920" w:type="dxa"/>
            <w:vAlign w:val="bottom"/>
            <w:tcBorders>
              <w:bottom w:val="single" w:sz="8" w:color="auto"/>
            </w:tcBorders>
          </w:tcPr>
          <w:p>
            <w:pPr>
              <w:jc w:val="center"/>
              <w:ind w:right="448"/>
              <w:spacing w:after="0"/>
              <w:rPr>
                <w:sz w:val="20"/>
                <w:szCs w:val="20"/>
                <w:color w:val="auto"/>
              </w:rPr>
            </w:pPr>
            <w:r>
              <w:rPr>
                <w:rFonts w:ascii="Arial" w:cs="Arial" w:eastAsia="Arial" w:hAnsi="Arial"/>
                <w:sz w:val="14"/>
                <w:szCs w:val="14"/>
                <w:color w:val="auto"/>
                <w:w w:val="92"/>
              </w:rPr>
              <w:t>Title of each class</w:t>
            </w:r>
          </w:p>
        </w:tc>
        <w:tc>
          <w:tcPr>
            <w:tcW w:w="24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w w:val="94"/>
              </w:rPr>
              <w:t>Trading Symbol(s)</w:t>
            </w:r>
          </w:p>
        </w:tc>
        <w:tc>
          <w:tcPr>
            <w:tcW w:w="35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color w:val="auto"/>
                <w:w w:val="91"/>
              </w:rPr>
              <w:t>Name of each exchange on which registered</w:t>
            </w:r>
          </w:p>
        </w:tc>
      </w:tr>
      <w:tr>
        <w:trPr>
          <w:trHeight w:val="238"/>
        </w:trPr>
        <w:tc>
          <w:tcPr>
            <w:tcW w:w="3920" w:type="dxa"/>
            <w:vAlign w:val="bottom"/>
          </w:tcPr>
          <w:p>
            <w:pPr>
              <w:jc w:val="center"/>
              <w:ind w:right="448"/>
              <w:spacing w:after="0"/>
              <w:rPr>
                <w:sz w:val="20"/>
                <w:szCs w:val="20"/>
                <w:color w:val="auto"/>
              </w:rPr>
            </w:pPr>
            <w:r>
              <w:rPr>
                <w:rFonts w:ascii="Arial" w:cs="Arial" w:eastAsia="Arial" w:hAnsi="Arial"/>
                <w:sz w:val="14"/>
                <w:szCs w:val="14"/>
                <w:b w:val="1"/>
                <w:bCs w:val="1"/>
                <w:color w:val="auto"/>
                <w:w w:val="91"/>
              </w:rPr>
              <w:t>Common stock, par value $0.0001 per share</w:t>
            </w:r>
          </w:p>
        </w:tc>
        <w:tc>
          <w:tcPr>
            <w:tcW w:w="2420" w:type="dxa"/>
            <w:vAlign w:val="bottom"/>
          </w:tcPr>
          <w:p>
            <w:pPr>
              <w:jc w:val="center"/>
              <w:ind w:right="48"/>
              <w:spacing w:after="0"/>
              <w:rPr>
                <w:sz w:val="20"/>
                <w:szCs w:val="20"/>
                <w:color w:val="auto"/>
              </w:rPr>
            </w:pPr>
            <w:r>
              <w:rPr>
                <w:rFonts w:ascii="Arial" w:cs="Arial" w:eastAsia="Arial" w:hAnsi="Arial"/>
                <w:sz w:val="14"/>
                <w:szCs w:val="14"/>
                <w:b w:val="1"/>
                <w:bCs w:val="1"/>
                <w:color w:val="auto"/>
              </w:rPr>
              <w:t>SWIM</w:t>
            </w:r>
          </w:p>
        </w:tc>
        <w:tc>
          <w:tcPr>
            <w:tcW w:w="3580" w:type="dxa"/>
            <w:vAlign w:val="bottom"/>
          </w:tcPr>
          <w:p>
            <w:pPr>
              <w:jc w:val="center"/>
              <w:ind w:left="328"/>
              <w:spacing w:after="0"/>
              <w:rPr>
                <w:sz w:val="20"/>
                <w:szCs w:val="20"/>
                <w:color w:val="auto"/>
              </w:rPr>
            </w:pPr>
            <w:r>
              <w:rPr>
                <w:rFonts w:ascii="Arial" w:cs="Arial" w:eastAsia="Arial" w:hAnsi="Arial"/>
                <w:sz w:val="14"/>
                <w:szCs w:val="14"/>
                <w:b w:val="1"/>
                <w:bCs w:val="1"/>
                <w:color w:val="auto"/>
                <w:w w:val="96"/>
              </w:rPr>
              <w:t>The Nasdaq Stock Market LLC</w:t>
            </w:r>
          </w:p>
        </w:tc>
      </w:tr>
    </w:tbl>
    <w:p>
      <w:pPr>
        <w:spacing w:after="0" w:line="182" w:lineRule="exact"/>
        <w:rPr>
          <w:sz w:val="24"/>
          <w:szCs w:val="24"/>
          <w:color w:val="auto"/>
        </w:rPr>
      </w:pPr>
    </w:p>
    <w:p>
      <w:pPr>
        <w:ind w:right="460"/>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6" w:lineRule="exact"/>
        <w:rPr>
          <w:sz w:val="24"/>
          <w:szCs w:val="24"/>
          <w:color w:val="auto"/>
        </w:rPr>
      </w:pPr>
    </w:p>
    <w:p>
      <w:pPr>
        <w:ind w:right="300"/>
        <w:spacing w:after="0" w:line="18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8" w:lineRule="exact"/>
        <w:rPr>
          <w:sz w:val="24"/>
          <w:szCs w:val="24"/>
          <w:color w:val="auto"/>
        </w:rPr>
      </w:pPr>
    </w:p>
    <w:p>
      <w:pPr>
        <w:ind w:right="4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0" w:lineRule="exact"/>
        <w:rPr>
          <w:sz w:val="24"/>
          <w:szCs w:val="24"/>
          <w:color w:val="auto"/>
        </w:rPr>
      </w:pPr>
    </w:p>
    <w:p>
      <w:pPr>
        <w:ind w:left="100"/>
        <w:spacing w:after="0" w:line="161" w:lineRule="exact"/>
        <w:tabs>
          <w:tab w:leader="none" w:pos="1760" w:val="left"/>
          <w:tab w:leader="none" w:pos="2100" w:val="left"/>
          <w:tab w:leader="none" w:pos="3380" w:val="left"/>
          <w:tab w:leader="none" w:pos="3700" w:val="left"/>
          <w:tab w:leader="none" w:pos="5240" w:val="left"/>
          <w:tab w:leader="none" w:pos="5560" w:val="left"/>
          <w:tab w:leader="none" w:pos="7460" w:val="left"/>
          <w:tab w:leader="none" w:pos="7800" w:val="left"/>
          <w:tab w:leader="none" w:pos="96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58" w:lineRule="exact"/>
        <w:rPr>
          <w:sz w:val="24"/>
          <w:szCs w:val="24"/>
          <w:color w:val="auto"/>
        </w:rPr>
      </w:pPr>
    </w:p>
    <w:p>
      <w:pPr>
        <w:ind w:right="46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2480"/>
        <w:spacing w:after="0" w:line="211"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August 4, 2023, 114,841,362 shares of the registrant’s common stock, $0.0001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470535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50800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93345</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420" w:type="dxa"/>
            <w:vAlign w:val="bottom"/>
            <w:gridSpan w:val="14"/>
          </w:tcPr>
          <w:p>
            <w:pPr>
              <w:spacing w:after="0"/>
              <w:rPr>
                <w:sz w:val="20"/>
                <w:szCs w:val="20"/>
                <w:color w:val="auto"/>
              </w:rPr>
            </w:pPr>
            <w:r>
              <w:rPr>
                <w:rFonts w:ascii="Arial" w:cs="Arial" w:eastAsia="Arial" w:hAnsi="Arial"/>
                <w:sz w:val="18"/>
                <w:szCs w:val="18"/>
                <w:color w:val="0000EE"/>
              </w:rPr>
              <w:t>Table of Contents</w:t>
            </w:r>
          </w:p>
        </w:tc>
        <w:tc>
          <w:tcPr>
            <w:tcW w:w="2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80" w:type="dxa"/>
            <w:vAlign w:val="bottom"/>
            <w:gridSpan w:val="3"/>
          </w:tcPr>
          <w:p>
            <w:pPr>
              <w:ind w:left="92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20" w:type="dxa"/>
            <w:vAlign w:val="bottom"/>
            <w:gridSpan w:val="2"/>
          </w:tcPr>
          <w:p>
            <w:pPr>
              <w:spacing w:after="0"/>
              <w:rPr>
                <w:sz w:val="18"/>
                <w:szCs w:val="18"/>
                <w:color w:val="auto"/>
              </w:rPr>
            </w:pPr>
          </w:p>
        </w:tc>
        <w:tc>
          <w:tcPr>
            <w:tcW w:w="4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PART I — FINANCIAL INFORMATION</w:t>
            </w:r>
          </w:p>
        </w:tc>
        <w:tc>
          <w:tcPr>
            <w:tcW w:w="2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3220" w:type="dxa"/>
            <w:vAlign w:val="bottom"/>
            <w:tcBorders>
              <w:top w:val="single" w:sz="8" w:color="0000EE"/>
            </w:tcBorders>
            <w:gridSpan w:val="10"/>
          </w:tcPr>
          <w:p>
            <w:pPr>
              <w:spacing w:after="0" w:line="176" w:lineRule="exact"/>
              <w:rPr>
                <w:sz w:val="20"/>
                <w:szCs w:val="20"/>
                <w:color w:val="auto"/>
              </w:rPr>
            </w:pPr>
            <w:r>
              <w:rPr>
                <w:rFonts w:ascii="Arial" w:cs="Arial" w:eastAsia="Arial" w:hAnsi="Arial"/>
                <w:sz w:val="18"/>
                <w:szCs w:val="18"/>
                <w:b w:val="1"/>
                <w:bCs w:val="1"/>
                <w:color w:val="0000EE"/>
              </w:rPr>
              <w:t>Item 1. Financial Statements</w:t>
            </w:r>
          </w:p>
        </w:tc>
        <w:tc>
          <w:tcPr>
            <w:tcW w:w="4180" w:type="dxa"/>
            <w:vAlign w:val="bottom"/>
            <w:tcBorders>
              <w:top w:val="single" w:sz="8" w:color="CCEEFF"/>
            </w:tcBorders>
            <w:gridSpan w:val="3"/>
          </w:tcPr>
          <w:p>
            <w:pPr>
              <w:spacing w:after="0"/>
              <w:rPr>
                <w:sz w:val="15"/>
                <w:szCs w:val="15"/>
                <w:color w:val="auto"/>
              </w:rPr>
            </w:pPr>
          </w:p>
        </w:tc>
        <w:tc>
          <w:tcPr>
            <w:tcW w:w="25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Borders>
              <w:bottom w:val="single" w:sz="8" w:color="0000EE"/>
            </w:tcBorders>
            <w:vMerge w:val="continue"/>
          </w:tcPr>
          <w:p>
            <w:pPr>
              <w:spacing w:after="0"/>
              <w:rPr>
                <w:sz w:val="17"/>
                <w:szCs w:val="17"/>
                <w:color w:val="auto"/>
              </w:rPr>
            </w:pPr>
          </w:p>
        </w:tc>
        <w:tc>
          <w:tcPr>
            <w:tcW w:w="7400" w:type="dxa"/>
            <w:vAlign w:val="bottom"/>
            <w:tcBorders>
              <w:bottom w:val="single" w:sz="8" w:color="0000EE"/>
            </w:tcBorders>
            <w:gridSpan w:val="13"/>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89"/>
              </w:rPr>
              <w:t>Item 2. Management’s Discussion and Analysis of Financial Condition and Results of Operations</w:t>
            </w: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0" w:type="dxa"/>
            <w:vAlign w:val="bottom"/>
            <w:tcBorders>
              <w:top w:val="single" w:sz="8" w:color="CCEEFF"/>
            </w:tcBorders>
            <w:gridSpan w:val="13"/>
          </w:tcPr>
          <w:p>
            <w:pPr>
              <w:spacing w:after="0" w:line="176" w:lineRule="exact"/>
              <w:rPr>
                <w:sz w:val="20"/>
                <w:szCs w:val="20"/>
                <w:color w:val="auto"/>
              </w:rPr>
            </w:pPr>
            <w:r>
              <w:rPr>
                <w:rFonts w:ascii="Arial" w:cs="Arial" w:eastAsia="Arial" w:hAnsi="Arial"/>
                <w:sz w:val="18"/>
                <w:szCs w:val="18"/>
                <w:b w:val="1"/>
                <w:bCs w:val="1"/>
                <w:color w:val="0000EE"/>
              </w:rPr>
              <w:t>Item 3. Quantitative and Qualitative Disclosures About Market Risk</w:t>
            </w:r>
          </w:p>
        </w:tc>
        <w:tc>
          <w:tcPr>
            <w:tcW w:w="25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00" w:type="dxa"/>
            <w:vAlign w:val="bottom"/>
            <w:gridSpan w:val="13"/>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Item 4. Controls and Procedures</w:t>
            </w:r>
          </w:p>
        </w:tc>
        <w:tc>
          <w:tcPr>
            <w:tcW w:w="2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7400" w:type="dxa"/>
            <w:vAlign w:val="bottom"/>
            <w:gridSpan w:val="13"/>
          </w:tcPr>
          <w:p>
            <w:pPr>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250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56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4"/>
              </w:rPr>
              <w:t>Item 1.</w:t>
            </w:r>
          </w:p>
        </w:tc>
        <w:tc>
          <w:tcPr>
            <w:tcW w:w="1420" w:type="dxa"/>
            <w:vAlign w:val="bottom"/>
            <w:tcBorders>
              <w:bottom w:val="single" w:sz="8" w:color="0000EE"/>
            </w:tcBorders>
            <w:gridSpan w:val="4"/>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0000EE"/>
                <w:w w:val="86"/>
              </w:rPr>
              <w:t>Legal Proceedings</w:t>
            </w:r>
          </w:p>
        </w:tc>
        <w:tc>
          <w:tcPr>
            <w:tcW w:w="5420" w:type="dxa"/>
            <w:vAlign w:val="bottom"/>
            <w:tcBorders>
              <w:bottom w:val="single" w:sz="8" w:color="CCEEFF"/>
            </w:tcBorders>
            <w:gridSpan w:val="8"/>
            <w:shd w:val="clear" w:color="auto" w:fill="CCEEFF"/>
          </w:tcPr>
          <w:p>
            <w:pPr>
              <w:spacing w:after="0"/>
              <w:rPr>
                <w:sz w:val="17"/>
                <w:szCs w:val="17"/>
                <w:color w:val="auto"/>
              </w:rPr>
            </w:pPr>
          </w:p>
        </w:tc>
        <w:tc>
          <w:tcPr>
            <w:tcW w:w="25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0" w:type="dxa"/>
            <w:vAlign w:val="bottom"/>
            <w:gridSpan w:val="13"/>
          </w:tcPr>
          <w:p>
            <w:pPr>
              <w:spacing w:after="0" w:line="176" w:lineRule="exact"/>
              <w:rPr>
                <w:sz w:val="20"/>
                <w:szCs w:val="20"/>
                <w:color w:val="auto"/>
              </w:rPr>
            </w:pPr>
            <w:r>
              <w:rPr>
                <w:rFonts w:ascii="Arial" w:cs="Arial" w:eastAsia="Arial" w:hAnsi="Arial"/>
                <w:sz w:val="18"/>
                <w:szCs w:val="18"/>
                <w:b w:val="1"/>
                <w:bCs w:val="1"/>
                <w:color w:val="0000EE"/>
              </w:rPr>
              <w:t>Item 1A. Risk Factors</w:t>
            </w:r>
          </w:p>
        </w:tc>
        <w:tc>
          <w:tcPr>
            <w:tcW w:w="2500" w:type="dxa"/>
            <w:vAlign w:val="bottom"/>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4"/>
              </w:rPr>
              <w:t>Item 2.</w:t>
            </w:r>
          </w:p>
        </w:tc>
        <w:tc>
          <w:tcPr>
            <w:tcW w:w="6840" w:type="dxa"/>
            <w:vAlign w:val="bottom"/>
            <w:gridSpan w:val="1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0000EE"/>
              </w:rPr>
              <w:t>Unregistered Sales of Equity Securities and Use of Proceeds</w:t>
            </w:r>
          </w:p>
        </w:tc>
        <w:tc>
          <w:tcPr>
            <w:tcW w:w="2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line="176" w:lineRule="exact"/>
              <w:rPr>
                <w:sz w:val="20"/>
                <w:szCs w:val="20"/>
                <w:color w:val="auto"/>
              </w:rPr>
            </w:pPr>
            <w:r>
              <w:rPr>
                <w:rFonts w:ascii="Arial" w:cs="Arial" w:eastAsia="Arial" w:hAnsi="Arial"/>
                <w:sz w:val="18"/>
                <w:szCs w:val="18"/>
                <w:b w:val="1"/>
                <w:bCs w:val="1"/>
                <w:color w:val="0000EE"/>
                <w:w w:val="94"/>
              </w:rPr>
              <w:t>Item 5.</w:t>
            </w:r>
          </w:p>
        </w:tc>
        <w:tc>
          <w:tcPr>
            <w:tcW w:w="4580" w:type="dxa"/>
            <w:vAlign w:val="bottom"/>
            <w:tcBorders>
              <w:top w:val="single" w:sz="8" w:color="0000EE"/>
            </w:tcBorders>
            <w:gridSpan w:val="10"/>
          </w:tcPr>
          <w:p>
            <w:pPr>
              <w:ind w:left="20"/>
              <w:spacing w:after="0" w:line="176" w:lineRule="exact"/>
              <w:rPr>
                <w:sz w:val="20"/>
                <w:szCs w:val="20"/>
                <w:color w:val="auto"/>
              </w:rPr>
            </w:pPr>
            <w:r>
              <w:rPr>
                <w:rFonts w:ascii="Arial" w:cs="Arial" w:eastAsia="Arial" w:hAnsi="Arial"/>
                <w:sz w:val="18"/>
                <w:szCs w:val="18"/>
                <w:b w:val="1"/>
                <w:bCs w:val="1"/>
                <w:color w:val="0000EE"/>
              </w:rPr>
              <w:t>Other Information</w:t>
            </w:r>
          </w:p>
        </w:tc>
        <w:tc>
          <w:tcPr>
            <w:tcW w:w="2260" w:type="dxa"/>
            <w:vAlign w:val="bottom"/>
            <w:tcBorders>
              <w:top w:val="single" w:sz="8" w:color="CCEEFF"/>
            </w:tcBorders>
            <w:gridSpan w:val="2"/>
          </w:tcPr>
          <w:p>
            <w:pPr>
              <w:spacing w:after="0"/>
              <w:rPr>
                <w:sz w:val="15"/>
                <w:szCs w:val="15"/>
                <w:color w:val="auto"/>
              </w:rPr>
            </w:pPr>
          </w:p>
        </w:tc>
        <w:tc>
          <w:tcPr>
            <w:tcW w:w="25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5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0000EE"/>
                <w:w w:val="94"/>
              </w:rPr>
              <w:t>Item 6.</w:t>
            </w:r>
          </w:p>
        </w:tc>
        <w:tc>
          <w:tcPr>
            <w:tcW w:w="6840" w:type="dxa"/>
            <w:vAlign w:val="bottom"/>
            <w:gridSpan w:val="12"/>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0000EE"/>
              </w:rPr>
              <w:t>Exhibits</w:t>
            </w:r>
          </w:p>
        </w:tc>
        <w:tc>
          <w:tcPr>
            <w:tcW w:w="2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u w:val="single" w:color="auto"/>
          <w:color w:val="0000EE"/>
        </w:rPr>
        <w:t>SIGNATURES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60" w:type="dxa"/>
            <w:vAlign w:val="bottom"/>
            <w:gridSpan w:val="9"/>
          </w:tcPr>
          <w:p>
            <w:pPr>
              <w:spacing w:after="0"/>
              <w:rPr>
                <w:sz w:val="20"/>
                <w:szCs w:val="20"/>
                <w:color w:val="auto"/>
              </w:rPr>
            </w:pPr>
            <w:r>
              <w:rPr>
                <w:rFonts w:ascii="Arial" w:cs="Arial" w:eastAsia="Arial" w:hAnsi="Arial"/>
                <w:sz w:val="18"/>
                <w:szCs w:val="18"/>
                <w:color w:val="0000EE"/>
              </w:rPr>
              <w:t>Table of Contents</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5720" w:type="dxa"/>
            <w:vAlign w:val="bottom"/>
            <w:gridSpan w:val="6"/>
          </w:tcPr>
          <w:p>
            <w:pPr>
              <w:jc w:val="center"/>
              <w:ind w:right="1680"/>
              <w:spacing w:after="0"/>
              <w:rPr>
                <w:sz w:val="20"/>
                <w:szCs w:val="20"/>
                <w:color w:val="auto"/>
              </w:rPr>
            </w:pPr>
            <w:r>
              <w:rPr>
                <w:rFonts w:ascii="Arial" w:cs="Arial" w:eastAsia="Arial" w:hAnsi="Arial"/>
                <w:sz w:val="18"/>
                <w:szCs w:val="18"/>
                <w:b w:val="1"/>
                <w:bCs w:val="1"/>
                <w:color w:val="auto"/>
              </w:rPr>
              <w:t>PART I — FINANCIAL INFORMATION</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60" w:type="dxa"/>
            <w:vAlign w:val="bottom"/>
            <w:gridSpan w:val="9"/>
          </w:tcPr>
          <w:p>
            <w:pPr>
              <w:spacing w:after="0"/>
              <w:rPr>
                <w:sz w:val="20"/>
                <w:szCs w:val="20"/>
                <w:color w:val="auto"/>
              </w:rPr>
            </w:pPr>
            <w:r>
              <w:rPr>
                <w:rFonts w:ascii="Arial" w:cs="Arial" w:eastAsia="Arial" w:hAnsi="Arial"/>
                <w:sz w:val="18"/>
                <w:szCs w:val="18"/>
                <w:b w:val="1"/>
                <w:bCs w:val="1"/>
                <w:color w:val="auto"/>
              </w:rPr>
              <w:t>Item 1. Financial Statements</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38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Index to Condensed Consolidated Financial Statements (Unaudited)</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920" w:type="dxa"/>
            <w:vAlign w:val="bottom"/>
            <w:gridSpan w:val="2"/>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Balance Sheets</w:t>
            </w:r>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40" w:type="dxa"/>
            <w:vAlign w:val="bottom"/>
            <w:gridSpan w:val="8"/>
          </w:tcPr>
          <w:p>
            <w:pPr>
              <w:spacing w:after="0" w:line="176" w:lineRule="exact"/>
              <w:rPr>
                <w:sz w:val="20"/>
                <w:szCs w:val="20"/>
                <w:color w:val="auto"/>
              </w:rPr>
            </w:pPr>
            <w:r>
              <w:rPr>
                <w:rFonts w:ascii="Arial" w:cs="Arial" w:eastAsia="Arial" w:hAnsi="Arial"/>
                <w:sz w:val="18"/>
                <w:szCs w:val="18"/>
                <w:color w:val="0000EE"/>
              </w:rPr>
              <w:t>Condensed Consolidated Statements of Operations</w:t>
            </w:r>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508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Comprehensive Income (Loss)</w:t>
            </w:r>
          </w:p>
        </w:tc>
        <w:tc>
          <w:tcPr>
            <w:tcW w:w="35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40" w:type="dxa"/>
            <w:vAlign w:val="bottom"/>
            <w:gridSpan w:val="8"/>
          </w:tcPr>
          <w:p>
            <w:pPr>
              <w:spacing w:after="0" w:line="176" w:lineRule="exact"/>
              <w:rPr>
                <w:sz w:val="20"/>
                <w:szCs w:val="20"/>
                <w:color w:val="auto"/>
              </w:rPr>
            </w:pPr>
            <w:r>
              <w:rPr>
                <w:rFonts w:ascii="Arial" w:cs="Arial" w:eastAsia="Arial" w:hAnsi="Arial"/>
                <w:sz w:val="18"/>
                <w:szCs w:val="18"/>
                <w:color w:val="0000EE"/>
              </w:rPr>
              <w:t>Condensed Consolidated Statements of Stockholders’ Equity</w:t>
            </w:r>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66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4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0000EE"/>
              </w:rPr>
              <w:t>Condensed Consolidated Statements of Cash Flows</w:t>
            </w:r>
          </w:p>
        </w:tc>
        <w:tc>
          <w:tcPr>
            <w:tcW w:w="12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260" w:type="dxa"/>
            <w:vAlign w:val="bottom"/>
            <w:tcBorders>
              <w:top w:val="single" w:sz="8" w:color="0000EE"/>
            </w:tcBorders>
            <w:shd w:val="clear" w:color="auto" w:fill="CCEEFF"/>
          </w:tcPr>
          <w:p>
            <w:pPr>
              <w:spacing w:after="0" w:line="20" w:lineRule="exact"/>
              <w:rPr>
                <w:sz w:val="1"/>
                <w:szCs w:val="1"/>
                <w:color w:val="auto"/>
              </w:rPr>
            </w:pPr>
          </w:p>
        </w:tc>
        <w:tc>
          <w:tcPr>
            <w:tcW w:w="166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35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640" w:type="dxa"/>
            <w:vAlign w:val="bottom"/>
            <w:gridSpan w:val="8"/>
          </w:tcPr>
          <w:p>
            <w:pPr>
              <w:spacing w:after="0" w:line="176" w:lineRule="exact"/>
              <w:rPr>
                <w:sz w:val="20"/>
                <w:szCs w:val="20"/>
                <w:color w:val="auto"/>
              </w:rPr>
            </w:pPr>
            <w:r>
              <w:rPr>
                <w:rFonts w:ascii="Arial" w:cs="Arial" w:eastAsia="Arial" w:hAnsi="Arial"/>
                <w:sz w:val="18"/>
                <w:szCs w:val="18"/>
                <w:color w:val="0000EE"/>
              </w:rPr>
              <w:t>Notes to Condensed Consolidated Financial Statements</w:t>
            </w:r>
          </w:p>
        </w:tc>
        <w:tc>
          <w:tcPr>
            <w:tcW w:w="1260" w:type="dxa"/>
            <w:vAlign w:val="bottom"/>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1,</w:t>
            </w:r>
          </w:p>
        </w:tc>
        <w:tc>
          <w:tcPr>
            <w:tcW w:w="14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r>
      <w:tr>
        <w:trPr>
          <w:trHeight w:val="209"/>
        </w:trPr>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32,626</w:t>
            </w:r>
          </w:p>
        </w:tc>
        <w:tc>
          <w:tcPr>
            <w:tcW w:w="20" w:type="dxa"/>
            <w:vAlign w:val="bottom"/>
            <w:shd w:val="clear" w:color="auto" w:fill="CCEEFF"/>
          </w:tcPr>
          <w:p>
            <w:pPr>
              <w:spacing w:after="0"/>
              <w:rPr>
                <w:sz w:val="18"/>
                <w:szCs w:val="18"/>
                <w:color w:val="auto"/>
              </w:rPr>
            </w:pP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Trade receivables,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81,797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48,847</w:t>
            </w:r>
          </w:p>
        </w:tc>
        <w:tc>
          <w:tcPr>
            <w:tcW w:w="20" w:type="dxa"/>
            <w:vAlign w:val="bottom"/>
          </w:tcPr>
          <w:p>
            <w:pPr>
              <w:spacing w:after="0"/>
              <w:rPr>
                <w:sz w:val="18"/>
                <w:szCs w:val="18"/>
                <w:color w:val="auto"/>
              </w:rPr>
            </w:pP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165,220</w:t>
            </w:r>
          </w:p>
        </w:tc>
        <w:tc>
          <w:tcPr>
            <w:tcW w:w="20" w:type="dxa"/>
            <w:vAlign w:val="bottom"/>
            <w:shd w:val="clear" w:color="auto" w:fill="CCEEFF"/>
          </w:tcPr>
          <w:p>
            <w:pPr>
              <w:spacing w:after="0"/>
              <w:rPr>
                <w:sz w:val="18"/>
                <w:szCs w:val="18"/>
                <w:color w:val="auto"/>
              </w:rPr>
            </w:pP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Income tax receivable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2,316</w:t>
            </w:r>
          </w:p>
        </w:tc>
        <w:tc>
          <w:tcPr>
            <w:tcW w:w="20" w:type="dxa"/>
            <w:vAlign w:val="bottom"/>
          </w:tcPr>
          <w:p>
            <w:pPr>
              <w:spacing w:after="0"/>
              <w:rPr>
                <w:sz w:val="18"/>
                <w:szCs w:val="18"/>
                <w:color w:val="auto"/>
              </w:rPr>
            </w:pPr>
          </w:p>
        </w:tc>
      </w:tr>
      <w:tr>
        <w:trPr>
          <w:trHeight w:val="216"/>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6,908</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09"/>
        </w:trPr>
        <w:tc>
          <w:tcPr>
            <w:tcW w:w="706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262,064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255,007</w:t>
            </w:r>
          </w:p>
        </w:tc>
        <w:tc>
          <w:tcPr>
            <w:tcW w:w="2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98,184</w:t>
            </w:r>
          </w:p>
        </w:tc>
        <w:tc>
          <w:tcPr>
            <w:tcW w:w="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Equity method investment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25,792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25,095</w:t>
            </w:r>
          </w:p>
        </w:tc>
        <w:tc>
          <w:tcPr>
            <w:tcW w:w="2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w:t>
            </w:r>
          </w:p>
        </w:tc>
        <w:tc>
          <w:tcPr>
            <w:tcW w:w="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33,462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38,308</w:t>
            </w:r>
          </w:p>
        </w:tc>
        <w:tc>
          <w:tcPr>
            <w:tcW w:w="2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131,168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131,383</w:t>
            </w:r>
          </w:p>
        </w:tc>
        <w:tc>
          <w:tcPr>
            <w:tcW w:w="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295,656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309,215</w:t>
            </w:r>
          </w:p>
        </w:tc>
        <w:tc>
          <w:tcPr>
            <w:tcW w:w="20" w:type="dxa"/>
            <w:vAlign w:val="bottom"/>
          </w:tcPr>
          <w:p>
            <w:pPr>
              <w:spacing w:after="0"/>
              <w:rPr>
                <w:sz w:val="18"/>
                <w:szCs w:val="18"/>
                <w:color w:val="auto"/>
              </w:rPr>
            </w:pPr>
          </w:p>
        </w:tc>
      </w:tr>
      <w:tr>
        <w:trPr>
          <w:trHeight w:val="216"/>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10"/>
        </w:trPr>
        <w:tc>
          <w:tcPr>
            <w:tcW w:w="7060" w:type="dxa"/>
            <w:vAlign w:val="bottom"/>
          </w:tcPr>
          <w:p>
            <w:pPr>
              <w:spacing w:after="0"/>
              <w:rPr>
                <w:sz w:val="20"/>
                <w:szCs w:val="20"/>
                <w:color w:val="auto"/>
              </w:rPr>
            </w:pPr>
            <w:r>
              <w:rPr>
                <w:rFonts w:ascii="Arial" w:cs="Arial" w:eastAsia="Arial" w:hAnsi="Arial"/>
                <w:sz w:val="18"/>
                <w:szCs w:val="18"/>
                <w:color w:val="auto"/>
              </w:rPr>
              <w:t>Total assets</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871,141</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869,683</w:t>
            </w:r>
          </w:p>
        </w:tc>
        <w:tc>
          <w:tcPr>
            <w:tcW w:w="20" w:type="dxa"/>
            <w:vAlign w:val="bottom"/>
          </w:tcPr>
          <w:p>
            <w:pPr>
              <w:spacing w:after="0"/>
              <w:rPr>
                <w:sz w:val="18"/>
                <w:szCs w:val="18"/>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r>
      <w:tr>
        <w:trPr>
          <w:trHeight w:val="197"/>
        </w:trPr>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25,449</w:t>
            </w:r>
          </w:p>
        </w:tc>
        <w:tc>
          <w:tcPr>
            <w:tcW w:w="20" w:type="dxa"/>
            <w:vAlign w:val="bottom"/>
            <w:shd w:val="clear" w:color="auto" w:fill="CCEEFF"/>
          </w:tcPr>
          <w:p>
            <w:pPr>
              <w:spacing w:after="0"/>
              <w:rPr>
                <w:sz w:val="18"/>
                <w:szCs w:val="18"/>
                <w:color w:val="auto"/>
              </w:rPr>
            </w:pP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Accounts payable – related party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18"/>
                <w:szCs w:val="18"/>
                <w:color w:val="auto"/>
              </w:rPr>
            </w:pP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20" w:type="dxa"/>
            <w:vAlign w:val="bottom"/>
            <w:shd w:val="clear" w:color="auto" w:fill="CCEEFF"/>
          </w:tcPr>
          <w:p>
            <w:pPr>
              <w:spacing w:after="0"/>
              <w:rPr>
                <w:sz w:val="18"/>
                <w:szCs w:val="18"/>
                <w:color w:val="auto"/>
              </w:rPr>
            </w:pP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Current operating lease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6,923</w:t>
            </w:r>
          </w:p>
        </w:tc>
        <w:tc>
          <w:tcPr>
            <w:tcW w:w="20" w:type="dxa"/>
            <w:vAlign w:val="bottom"/>
          </w:tcPr>
          <w:p>
            <w:pPr>
              <w:spacing w:after="0"/>
              <w:rPr>
                <w:sz w:val="18"/>
                <w:szCs w:val="18"/>
                <w:color w:val="auto"/>
              </w:rPr>
            </w:pPr>
          </w:p>
        </w:tc>
      </w:tr>
      <w:tr>
        <w:trPr>
          <w:trHeight w:val="216"/>
        </w:trPr>
        <w:tc>
          <w:tcPr>
            <w:tcW w:w="7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42,875</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10"/>
        </w:trPr>
        <w:tc>
          <w:tcPr>
            <w:tcW w:w="706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87,843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86,865</w:t>
            </w:r>
          </w:p>
        </w:tc>
        <w:tc>
          <w:tcPr>
            <w:tcW w:w="2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discount, debt issuance costs, and current portion</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308,791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309,631</w:t>
            </w:r>
          </w:p>
        </w:tc>
        <w:tc>
          <w:tcPr>
            <w:tcW w:w="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Deferred income tax liabilities,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50,181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50,181</w:t>
            </w:r>
          </w:p>
        </w:tc>
        <w:tc>
          <w:tcPr>
            <w:tcW w:w="2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Liability for uncertain tax positions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w:t>
            </w:r>
          </w:p>
        </w:tc>
        <w:tc>
          <w:tcPr>
            <w:tcW w:w="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27,526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32,391</w:t>
            </w:r>
          </w:p>
        </w:tc>
        <w:tc>
          <w:tcPr>
            <w:tcW w:w="20" w:type="dxa"/>
            <w:vAlign w:val="bottom"/>
          </w:tcPr>
          <w:p>
            <w:pPr>
              <w:spacing w:after="0"/>
              <w:rPr>
                <w:sz w:val="18"/>
                <w:szCs w:val="18"/>
                <w:color w:val="auto"/>
              </w:rPr>
            </w:pPr>
          </w:p>
        </w:tc>
      </w:tr>
      <w:tr>
        <w:trPr>
          <w:trHeight w:val="216"/>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3,229</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10"/>
        </w:trPr>
        <w:tc>
          <w:tcPr>
            <w:tcW w:w="7060" w:type="dxa"/>
            <w:vAlign w:val="bottom"/>
          </w:tcPr>
          <w:p>
            <w:pPr>
              <w:ind w:left="1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484,944</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486,893</w:t>
            </w:r>
          </w:p>
        </w:tc>
        <w:tc>
          <w:tcPr>
            <w:tcW w:w="20" w:type="dxa"/>
            <w:vAlign w:val="bottom"/>
          </w:tcPr>
          <w:p>
            <w:pPr>
              <w:spacing w:after="0"/>
              <w:rPr>
                <w:sz w:val="18"/>
                <w:szCs w:val="18"/>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7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Preferred stock, $0.0001 par value; 100,000,000 shares authorized as of both July 1, 2023 and</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w w:val="90"/>
              </w:rPr>
              <w:t>December 31, 2022; no shares issued and outstanding as of both July 1, 2023 and December 31,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060" w:type="dxa"/>
            <w:vAlign w:val="bottom"/>
          </w:tcPr>
          <w:p>
            <w:pPr>
              <w:spacing w:after="0" w:line="201" w:lineRule="exact"/>
              <w:rPr>
                <w:sz w:val="20"/>
                <w:szCs w:val="20"/>
                <w:color w:val="auto"/>
              </w:rPr>
            </w:pPr>
            <w:r>
              <w:rPr>
                <w:rFonts w:ascii="Arial" w:cs="Arial" w:eastAsia="Arial" w:hAnsi="Arial"/>
                <w:sz w:val="18"/>
                <w:szCs w:val="18"/>
                <w:color w:val="auto"/>
                <w:w w:val="98"/>
              </w:rPr>
              <w:t>Common stock, $0.0001 par value; 900,000,000 shares authorized as of July 1, 2023 and</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w w:val="92"/>
              </w:rPr>
              <w:t>December 31, 2022; 114,734,756 and 114,667,975 shares issued and outstanding, as of July 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2023 and December 31, 2022, respectively</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20"/>
                <w:szCs w:val="20"/>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440,880</w:t>
            </w:r>
          </w:p>
        </w:tc>
        <w:tc>
          <w:tcPr>
            <w:tcW w:w="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(63,221)</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(54,568)</w:t>
            </w:r>
          </w:p>
        </w:tc>
        <w:tc>
          <w:tcPr>
            <w:tcW w:w="2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(4,006)</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20" w:type="dxa"/>
            <w:vAlign w:val="bottom"/>
            <w:shd w:val="clear" w:color="auto" w:fill="CCEEFF"/>
          </w:tcPr>
          <w:p>
            <w:pPr>
              <w:spacing w:after="0"/>
              <w:rPr>
                <w:sz w:val="18"/>
                <w:szCs w:val="18"/>
                <w:color w:val="auto"/>
              </w:rPr>
            </w:pPr>
          </w:p>
        </w:tc>
      </w:tr>
      <w:tr>
        <w:trPr>
          <w:trHeight w:val="210"/>
        </w:trPr>
        <w:tc>
          <w:tcPr>
            <w:tcW w:w="7060" w:type="dxa"/>
            <w:vAlign w:val="bottom"/>
            <w:tcBorders>
              <w:top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386,197</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382,790</w:t>
            </w:r>
          </w:p>
        </w:tc>
        <w:tc>
          <w:tcPr>
            <w:tcW w:w="20" w:type="dxa"/>
            <w:vAlign w:val="bottom"/>
            <w:tcBorders>
              <w:top w:val="single" w:sz="8" w:color="CCEEFF"/>
            </w:tcBorders>
          </w:tcPr>
          <w:p>
            <w:pPr>
              <w:spacing w:after="0"/>
              <w:rPr>
                <w:sz w:val="18"/>
                <w:szCs w:val="18"/>
                <w:color w:val="auto"/>
              </w:rPr>
            </w:pPr>
          </w:p>
        </w:tc>
      </w:tr>
      <w:tr>
        <w:trPr>
          <w:trHeight w:val="229"/>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871,141</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869,683</w:t>
            </w:r>
          </w:p>
        </w:tc>
        <w:tc>
          <w:tcPr>
            <w:tcW w:w="20" w:type="dxa"/>
            <w:vAlign w:val="bottom"/>
            <w:shd w:val="clear" w:color="auto" w:fill="CCEEFF"/>
          </w:tcPr>
          <w:p>
            <w:pPr>
              <w:spacing w:after="0"/>
              <w:rPr>
                <w:sz w:val="19"/>
                <w:szCs w:val="19"/>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Fiscal Quarter Ended</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rPr>
              <w:t>Two Fiscal Quarters Ended</w:t>
            </w: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9"/>
              </w:rPr>
              <w:t>July 1, 2023</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w w:val="99"/>
              </w:rPr>
              <w:t>July 2, 2022</w:t>
            </w: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9"/>
              </w:rPr>
              <w:t>July 1, 2023</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9"/>
              </w:rPr>
              <w:t>July 2, 2022</w:t>
            </w: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177,128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398,414</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126,895</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139,193</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231,244</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260,153</w:t>
            </w:r>
          </w:p>
        </w:tc>
      </w:tr>
      <w:tr>
        <w:trPr>
          <w:trHeight w:val="209"/>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50,233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67,607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83,603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138,261</w:t>
            </w: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41,804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63,266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87,029</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Underwriting fees related to offering of common stock</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6,635</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7,156</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13,267</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14,348</w:t>
            </w:r>
          </w:p>
        </w:tc>
      </w:tr>
      <w:tr>
        <w:trPr>
          <w:trHeight w:val="209"/>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25,447</w:t>
            </w: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expense (income):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w:t>
            </w:r>
          </w:p>
        </w:tc>
      </w:tr>
      <w:tr>
        <w:trPr>
          <w:trHeight w:val="216"/>
        </w:trPr>
        <w:tc>
          <w:tcPr>
            <w:tcW w:w="20" w:type="dxa"/>
            <w:vAlign w:val="bottom"/>
          </w:tcPr>
          <w:p>
            <w:pPr>
              <w:spacing w:after="0"/>
              <w:rPr>
                <w:sz w:val="18"/>
                <w:szCs w:val="18"/>
                <w:color w:val="auto"/>
              </w:rPr>
            </w:pPr>
          </w:p>
        </w:tc>
        <w:tc>
          <w:tcPr>
            <w:tcW w:w="4860" w:type="dxa"/>
            <w:vAlign w:val="bottom"/>
          </w:tcPr>
          <w:p>
            <w:pPr>
              <w:ind w:left="100"/>
              <w:spacing w:after="0"/>
              <w:rPr>
                <w:sz w:val="20"/>
                <w:szCs w:val="20"/>
                <w:color w:val="auto"/>
              </w:rPr>
            </w:pPr>
            <w:r>
              <w:rPr>
                <w:rFonts w:ascii="Arial" w:cs="Arial" w:eastAsia="Arial" w:hAnsi="Arial"/>
                <w:sz w:val="18"/>
                <w:szCs w:val="18"/>
                <w:color w:val="auto"/>
              </w:rPr>
              <w:t>Loss on extinguishment of debt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3,465</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tcPr>
          <w:p>
            <w:pPr>
              <w:ind w:left="100"/>
              <w:spacing w:after="0"/>
              <w:rPr>
                <w:sz w:val="20"/>
                <w:szCs w:val="20"/>
                <w:color w:val="auto"/>
              </w:rPr>
            </w:pPr>
            <w:r>
              <w:rPr>
                <w:rFonts w:ascii="Arial" w:cs="Arial" w:eastAsia="Arial" w:hAnsi="Arial"/>
                <w:sz w:val="18"/>
                <w:szCs w:val="18"/>
                <w:color w:val="auto"/>
              </w:rPr>
              <w:t>Total other expense, net</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3,450</w:t>
            </w: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4,081</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14,464</w:t>
            </w: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8,956</w:t>
            </w:r>
          </w:p>
        </w:tc>
      </w:tr>
      <w:tr>
        <w:trPr>
          <w:trHeight w:val="216"/>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from equity method investment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r>
      <w:tr>
        <w:trPr>
          <w:trHeight w:val="209"/>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(6,697)</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17,753</w:t>
            </w:r>
          </w:p>
        </w:tc>
      </w:tr>
      <w:tr>
        <w:trPr>
          <w:trHeight w:val="216"/>
        </w:trPr>
        <w:tc>
          <w:tcPr>
            <w:tcW w:w="20" w:type="dxa"/>
            <w:vAlign w:val="bottom"/>
          </w:tcPr>
          <w:p>
            <w:pPr>
              <w:spacing w:after="0"/>
              <w:rPr>
                <w:sz w:val="18"/>
                <w:szCs w:val="18"/>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16,290</w:t>
            </w:r>
          </w:p>
        </w:tc>
      </w:tr>
      <w:tr>
        <w:trPr>
          <w:trHeight w:val="209"/>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5,715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4,303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(8,653)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1,463</w:t>
            </w:r>
          </w:p>
        </w:tc>
      </w:tr>
      <w:tr>
        <w:trPr>
          <w:trHeight w:val="20"/>
        </w:trPr>
        <w:tc>
          <w:tcPr>
            <w:tcW w:w="20" w:type="dxa"/>
            <w:vAlign w:val="bottom"/>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3"/>
              </w:rPr>
              <w:t>Net income (loss) per share attributable to common stockholders: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Basic</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w w:val="91"/>
              </w:rPr>
              <w:t>Weighted-average common shares outstanding – basic and diluted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112,248,822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113,692,160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112,175,510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113,695,354</w:t>
            </w:r>
          </w:p>
        </w:tc>
      </w:tr>
      <w:tr>
        <w:trPr>
          <w:trHeight w:val="23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112,692,543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9"/>
              </w:rPr>
              <w:t>115,384,273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9"/>
              </w:rPr>
              <w:t>112,175,510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1"/>
              </w:rPr>
              <w:t>115,698,368</w:t>
            </w:r>
          </w:p>
        </w:tc>
      </w:tr>
    </w:tbl>
    <w:p>
      <w:pPr>
        <w:spacing w:after="0" w:line="18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right"/>
              <w:ind w:right="334"/>
              <w:spacing w:after="0"/>
              <w:rPr>
                <w:sz w:val="20"/>
                <w:szCs w:val="20"/>
                <w:color w:val="auto"/>
              </w:rPr>
            </w:pPr>
            <w:r>
              <w:rPr>
                <w:rFonts w:ascii="Arial" w:cs="Arial" w:eastAsia="Arial" w:hAnsi="Arial"/>
                <w:sz w:val="14"/>
                <w:szCs w:val="14"/>
                <w:b w:val="1"/>
                <w:bCs w:val="1"/>
                <w:color w:val="auto"/>
              </w:rPr>
              <w:t>Fiscal Quarter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ind w:left="140"/>
              <w:spacing w:after="0"/>
              <w:rPr>
                <w:sz w:val="20"/>
                <w:szCs w:val="20"/>
                <w:color w:val="auto"/>
              </w:rPr>
            </w:pPr>
            <w:r>
              <w:rPr>
                <w:rFonts w:ascii="Arial" w:cs="Arial" w:eastAsia="Arial" w:hAnsi="Arial"/>
                <w:sz w:val="14"/>
                <w:szCs w:val="14"/>
                <w:b w:val="1"/>
                <w:bCs w:val="1"/>
                <w:color w:val="auto"/>
              </w:rPr>
              <w:t>Two Fiscal Quarters Ended</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94"/>
              </w:rPr>
              <w:t>July 1, 2023</w:t>
            </w: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1"/>
              </w:rPr>
              <w:t>July 2, 2022</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July 1, 2023</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1"/>
              </w:rPr>
              <w:t>July 2, 2022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tcPr>
          <w:p>
            <w:pPr>
              <w:ind w:left="220"/>
              <w:spacing w:after="0"/>
              <w:rPr>
                <w:sz w:val="20"/>
                <w:szCs w:val="20"/>
                <w:color w:val="auto"/>
              </w:rPr>
            </w:pPr>
            <w:r>
              <w:rPr>
                <w:rFonts w:ascii="Arial" w:cs="Arial" w:eastAsia="Arial" w:hAnsi="Arial"/>
                <w:sz w:val="18"/>
                <w:szCs w:val="18"/>
                <w:color w:val="auto"/>
              </w:rPr>
              <w:t>Total other comprehensive loss, net of tax</w:t>
            </w:r>
          </w:p>
        </w:tc>
        <w:tc>
          <w:tcPr>
            <w:tcW w:w="1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6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5"/>
              </w:rPr>
              <w:t>Accumulated</w:t>
            </w:r>
          </w:p>
        </w:tc>
        <w:tc>
          <w:tcPr>
            <w:tcW w:w="20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3"/>
              </w:rPr>
              <w:t>Comprehensive</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40" w:type="dxa"/>
            <w:vAlign w:val="bottom"/>
          </w:tcPr>
          <w:p>
            <w:pPr>
              <w:jc w:val="right"/>
              <w:ind w:right="23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4"/>
                <w:szCs w:val="14"/>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119,445,611</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401,846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(48,583)</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353,645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rPr>
              <w:t>Cumulative effect of adoption of new accounting</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standard - leases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Sale of common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13,800,000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269,099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Repurchase and retirement of common stock</w:t>
            </w: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(13,800,244)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(257,662)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5"/>
              </w:rPr>
              <w:t>(257,663)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Retirement of restricted stock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w w:val="93"/>
              </w:rPr>
              <w:t>Issuance of common stock upon release of restricted</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stock units</w:t>
            </w:r>
          </w:p>
        </w:tc>
        <w:tc>
          <w:tcPr>
            <w:tcW w:w="1040" w:type="dxa"/>
            <w:vAlign w:val="bottom"/>
          </w:tcPr>
          <w:p>
            <w:pPr>
              <w:jc w:val="right"/>
              <w:spacing w:after="0"/>
              <w:rPr>
                <w:sz w:val="20"/>
                <w:szCs w:val="20"/>
                <w:color w:val="auto"/>
              </w:rPr>
            </w:pPr>
            <w:r>
              <w:rPr>
                <w:rFonts w:ascii="Arial" w:cs="Arial" w:eastAsia="Arial" w:hAnsi="Arial"/>
                <w:sz w:val="18"/>
                <w:szCs w:val="18"/>
                <w:color w:val="auto"/>
              </w:rPr>
              <w:t>78,341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16,925</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Balances at April 2, 2022</w:t>
            </w:r>
          </w:p>
        </w:tc>
        <w:tc>
          <w:tcPr>
            <w:tcW w:w="1040" w:type="dxa"/>
            <w:vAlign w:val="bottom"/>
          </w:tcPr>
          <w:p>
            <w:pPr>
              <w:jc w:val="right"/>
              <w:spacing w:after="0"/>
              <w:rPr>
                <w:sz w:val="20"/>
                <w:szCs w:val="20"/>
                <w:color w:val="auto"/>
              </w:rPr>
            </w:pPr>
            <w:r>
              <w:rPr>
                <w:rFonts w:ascii="Arial" w:cs="Arial" w:eastAsia="Arial" w:hAnsi="Arial"/>
                <w:sz w:val="18"/>
                <w:szCs w:val="18"/>
                <w:color w:val="auto"/>
                <w:w w:val="93"/>
              </w:rPr>
              <w:t>119,469,747</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430,208</w:t>
            </w:r>
          </w:p>
        </w:tc>
        <w:tc>
          <w:tcPr>
            <w:tcW w:w="60" w:type="dxa"/>
            <w:vAlign w:val="bottom"/>
          </w:tcPr>
          <w:p>
            <w:pPr>
              <w:spacing w:after="0"/>
              <w:rPr>
                <w:sz w:val="18"/>
                <w:szCs w:val="18"/>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(51,714)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1,590</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380,096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w w:val="95"/>
              </w:rPr>
              <w:t>Repurchase and retirement of common stock under</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gridSpan w:val="2"/>
          </w:tcPr>
          <w:p>
            <w:pPr>
              <w:spacing w:after="0"/>
              <w:rPr>
                <w:sz w:val="20"/>
                <w:szCs w:val="20"/>
                <w:color w:val="auto"/>
              </w:rPr>
            </w:pPr>
            <w:r>
              <w:rPr>
                <w:rFonts w:ascii="Arial" w:cs="Arial" w:eastAsia="Arial" w:hAnsi="Arial"/>
                <w:sz w:val="18"/>
                <w:szCs w:val="18"/>
                <w:color w:val="auto"/>
              </w:rPr>
              <w:t>repurchase program</w:t>
            </w:r>
          </w:p>
        </w:tc>
        <w:tc>
          <w:tcPr>
            <w:tcW w:w="1040" w:type="dxa"/>
            <w:vAlign w:val="bottom"/>
          </w:tcPr>
          <w:p>
            <w:pPr>
              <w:jc w:val="right"/>
              <w:spacing w:after="0"/>
              <w:rPr>
                <w:sz w:val="20"/>
                <w:szCs w:val="20"/>
                <w:color w:val="auto"/>
              </w:rPr>
            </w:pPr>
            <w:r>
              <w:rPr>
                <w:rFonts w:ascii="Arial" w:cs="Arial" w:eastAsia="Arial" w:hAnsi="Arial"/>
                <w:sz w:val="18"/>
                <w:szCs w:val="18"/>
                <w:color w:val="auto"/>
              </w:rPr>
              <w:t>(2,026,231)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Issuance of common stock upon release of restricted</w:t>
            </w: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stock units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104,042</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16,429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July 2,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117,547,558</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431,637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381,911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center"/>
              <w:ind w:right="93"/>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800" w:type="dxa"/>
            <w:vAlign w:val="bottom"/>
          </w:tcPr>
          <w:p>
            <w:pPr>
              <w:jc w:val="right"/>
              <w:ind w:right="95"/>
              <w:spacing w:after="0" w:line="149"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Comprehensive</w:t>
            </w:r>
          </w:p>
        </w:tc>
        <w:tc>
          <w:tcPr>
            <w:tcW w:w="14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Borders>
              <w:bottom w:val="single" w:sz="8" w:color="auto"/>
            </w:tcBorders>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114,667,975</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$ 440,880</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(54,568)</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382,790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(14,368)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tcPr>
          <w:p>
            <w:pPr>
              <w:spacing w:after="0" w:line="201" w:lineRule="exact"/>
              <w:rPr>
                <w:sz w:val="20"/>
                <w:szCs w:val="20"/>
                <w:color w:val="auto"/>
              </w:rPr>
            </w:pPr>
            <w:r>
              <w:rPr>
                <w:rFonts w:ascii="Arial" w:cs="Arial" w:eastAsia="Arial" w:hAnsi="Arial"/>
                <w:sz w:val="18"/>
                <w:szCs w:val="18"/>
                <w:color w:val="auto"/>
                <w:w w:val="94"/>
              </w:rPr>
              <w:t>Issuance of common stock upon release of restricted</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stock units</w:t>
            </w:r>
          </w:p>
        </w:tc>
        <w:tc>
          <w:tcPr>
            <w:tcW w:w="1020" w:type="dxa"/>
            <w:vAlign w:val="bottom"/>
          </w:tcPr>
          <w:p>
            <w:pPr>
              <w:jc w:val="right"/>
              <w:spacing w:after="0"/>
              <w:rPr>
                <w:sz w:val="20"/>
                <w:szCs w:val="20"/>
                <w:color w:val="auto"/>
              </w:rPr>
            </w:pPr>
            <w:r>
              <w:rPr>
                <w:rFonts w:ascii="Arial" w:cs="Arial" w:eastAsia="Arial" w:hAnsi="Arial"/>
                <w:sz w:val="18"/>
                <w:szCs w:val="18"/>
                <w:color w:val="auto"/>
              </w:rPr>
              <w:t>22,078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b w:val="1"/>
                <w:bCs w:val="1"/>
                <w:color w:val="auto"/>
              </w:rPr>
              <w:t>Balances at April 1, 2023</w:t>
            </w: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114,690,053</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$ 447,649</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(68,936)</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(3,677)</w:t>
            </w:r>
          </w:p>
        </w:tc>
        <w:tc>
          <w:tcPr>
            <w:tcW w:w="3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375,047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5,715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Retirement of restricted stock</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(54,271)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Issuance of common stock upon release of restricted</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stock units</w:t>
            </w:r>
          </w:p>
        </w:tc>
        <w:tc>
          <w:tcPr>
            <w:tcW w:w="102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98,974</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5,764</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July 1, 2023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114,734,756</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$ 453,413</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(63,221)</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386,197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Latham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5"/>
          </w:tcPr>
          <w:p>
            <w:pPr>
              <w:jc w:val="right"/>
              <w:ind w:right="388"/>
              <w:spacing w:after="0"/>
              <w:rPr>
                <w:sz w:val="20"/>
                <w:szCs w:val="20"/>
                <w:color w:val="auto"/>
              </w:rPr>
            </w:pPr>
            <w:r>
              <w:rPr>
                <w:rFonts w:ascii="Arial" w:cs="Arial" w:eastAsia="Arial" w:hAnsi="Arial"/>
                <w:sz w:val="14"/>
                <w:szCs w:val="14"/>
                <w:b w:val="1"/>
                <w:bCs w:val="1"/>
                <w:color w:val="auto"/>
              </w:rPr>
              <w:t>Two Fiscal Quarters Ended</w:t>
            </w:r>
          </w:p>
        </w:tc>
      </w:tr>
      <w:tr>
        <w:trPr>
          <w:trHeight w:val="119"/>
        </w:trPr>
        <w:tc>
          <w:tcPr>
            <w:tcW w:w="6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July 1,</w:t>
            </w: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348"/>
              <w:spacing w:after="0" w:line="119" w:lineRule="exact"/>
              <w:rPr>
                <w:sz w:val="20"/>
                <w:szCs w:val="20"/>
                <w:color w:val="auto"/>
              </w:rPr>
            </w:pPr>
            <w:r>
              <w:rPr>
                <w:rFonts w:ascii="Arial" w:cs="Arial" w:eastAsia="Arial" w:hAnsi="Arial"/>
                <w:sz w:val="13"/>
                <w:szCs w:val="13"/>
                <w:b w:val="1"/>
                <w:bCs w:val="1"/>
                <w:color w:val="auto"/>
              </w:rPr>
              <w:t>July 2,</w:t>
            </w:r>
          </w:p>
        </w:tc>
      </w:tr>
      <w:tr>
        <w:trPr>
          <w:trHeight w:val="185"/>
        </w:trPr>
        <w:tc>
          <w:tcPr>
            <w:tcW w:w="628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r>
      <w:tr>
        <w:trPr>
          <w:trHeight w:val="142"/>
        </w:trPr>
        <w:tc>
          <w:tcPr>
            <w:tcW w:w="628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r>
      <w:tr>
        <w:trPr>
          <w:trHeight w:val="148"/>
        </w:trPr>
        <w:tc>
          <w:tcPr>
            <w:tcW w:w="6280" w:type="dxa"/>
            <w:vAlign w:val="bottom"/>
          </w:tcPr>
          <w:p>
            <w:pPr>
              <w:spacing w:after="0"/>
              <w:rPr>
                <w:sz w:val="20"/>
                <w:szCs w:val="20"/>
                <w:color w:val="auto"/>
              </w:rPr>
            </w:pPr>
            <w:r>
              <w:rPr>
                <w:rFonts w:ascii="Arial" w:cs="Arial" w:eastAsia="Arial" w:hAnsi="Arial"/>
                <w:sz w:val="13"/>
                <w:szCs w:val="13"/>
                <w:color w:val="auto"/>
              </w:rPr>
              <w:t>Net income (loss)</w:t>
            </w: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(8,653)</w:t>
            </w:r>
          </w:p>
        </w:tc>
        <w:tc>
          <w:tcPr>
            <w:tcW w:w="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1,463</w:t>
            </w:r>
          </w:p>
        </w:tc>
      </w:tr>
      <w:tr>
        <w:trPr>
          <w:trHeight w:val="149"/>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Adjustments to reconcile net income (loss) to net cash provided by (used in) operating activities: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spacing w:after="0"/>
              <w:rPr>
                <w:sz w:val="12"/>
                <w:szCs w:val="12"/>
                <w:color w:val="auto"/>
              </w:rPr>
            </w:pPr>
          </w:p>
        </w:tc>
      </w:tr>
      <w:tr>
        <w:trPr>
          <w:trHeight w:val="148"/>
        </w:trPr>
        <w:tc>
          <w:tcPr>
            <w:tcW w:w="6280" w:type="dxa"/>
            <w:vAlign w:val="bottom"/>
          </w:tcPr>
          <w:p>
            <w:pPr>
              <w:ind w:left="120"/>
              <w:spacing w:after="0"/>
              <w:rPr>
                <w:sz w:val="20"/>
                <w:szCs w:val="20"/>
                <w:color w:val="auto"/>
              </w:rPr>
            </w:pPr>
            <w:r>
              <w:rPr>
                <w:rFonts w:ascii="Arial" w:cs="Arial" w:eastAsia="Arial" w:hAnsi="Arial"/>
                <w:sz w:val="13"/>
                <w:szCs w:val="13"/>
                <w:color w:val="auto"/>
              </w:rPr>
              <w:t>Depreciation and amortization</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19,284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19,274</w:t>
            </w:r>
          </w:p>
        </w:tc>
      </w:tr>
      <w:tr>
        <w:trPr>
          <w:trHeight w:val="148"/>
        </w:trPr>
        <w:tc>
          <w:tcPr>
            <w:tcW w:w="6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Amortization of deferred financing costs and debt discount</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709</w:t>
            </w:r>
          </w:p>
        </w:tc>
      </w:tr>
      <w:tr>
        <w:trPr>
          <w:trHeight w:val="148"/>
        </w:trPr>
        <w:tc>
          <w:tcPr>
            <w:tcW w:w="6280" w:type="dxa"/>
            <w:vAlign w:val="bottom"/>
          </w:tcPr>
          <w:p>
            <w:pPr>
              <w:ind w:left="120"/>
              <w:spacing w:after="0"/>
              <w:rPr>
                <w:sz w:val="20"/>
                <w:szCs w:val="20"/>
                <w:color w:val="auto"/>
              </w:rPr>
            </w:pPr>
            <w:r>
              <w:rPr>
                <w:rFonts w:ascii="Arial" w:cs="Arial" w:eastAsia="Arial" w:hAnsi="Arial"/>
                <w:sz w:val="13"/>
                <w:szCs w:val="13"/>
                <w:color w:val="auto"/>
              </w:rPr>
              <w:t>Non-cash lease expense</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3,738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8"/>
              <w:spacing w:after="0" w:line="149" w:lineRule="exact"/>
              <w:rPr>
                <w:sz w:val="20"/>
                <w:szCs w:val="20"/>
                <w:color w:val="auto"/>
              </w:rPr>
            </w:pPr>
            <w:r>
              <w:rPr>
                <w:rFonts w:ascii="Arial" w:cs="Arial" w:eastAsia="Arial" w:hAnsi="Arial"/>
                <w:sz w:val="14"/>
                <w:szCs w:val="14"/>
                <w:color w:val="auto"/>
              </w:rPr>
              <w:t>3,731</w:t>
            </w:r>
          </w:p>
        </w:tc>
      </w:tr>
      <w:tr>
        <w:trPr>
          <w:trHeight w:val="148"/>
        </w:trPr>
        <w:tc>
          <w:tcPr>
            <w:tcW w:w="6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Change in fair value of interest rate swaps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(3,889)</w:t>
            </w:r>
          </w:p>
        </w:tc>
      </w:tr>
      <w:tr>
        <w:trPr>
          <w:trHeight w:val="148"/>
        </w:trPr>
        <w:tc>
          <w:tcPr>
            <w:tcW w:w="6280" w:type="dxa"/>
            <w:vAlign w:val="bottom"/>
          </w:tcPr>
          <w:p>
            <w:pPr>
              <w:ind w:left="120"/>
              <w:spacing w:after="0"/>
              <w:rPr>
                <w:sz w:val="20"/>
                <w:szCs w:val="20"/>
                <w:color w:val="auto"/>
              </w:rPr>
            </w:pPr>
            <w:r>
              <w:rPr>
                <w:rFonts w:ascii="Arial" w:cs="Arial" w:eastAsia="Arial" w:hAnsi="Arial"/>
                <w:sz w:val="13"/>
                <w:szCs w:val="13"/>
                <w:color w:val="auto"/>
              </w:rPr>
              <w:t>Stock-based compensation expense</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12,533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8"/>
              <w:spacing w:after="0" w:line="149" w:lineRule="exact"/>
              <w:rPr>
                <w:sz w:val="20"/>
                <w:szCs w:val="20"/>
                <w:color w:val="auto"/>
              </w:rPr>
            </w:pPr>
            <w:r>
              <w:rPr>
                <w:rFonts w:ascii="Arial" w:cs="Arial" w:eastAsia="Arial" w:hAnsi="Arial"/>
                <w:sz w:val="14"/>
                <w:szCs w:val="14"/>
                <w:color w:val="auto"/>
              </w:rPr>
              <w:t>33,354</w:t>
            </w:r>
          </w:p>
        </w:tc>
      </w:tr>
      <w:tr>
        <w:trPr>
          <w:trHeight w:val="149"/>
        </w:trPr>
        <w:tc>
          <w:tcPr>
            <w:tcW w:w="6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Underwriting fees related to offering of common stock</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11,437</w:t>
            </w:r>
          </w:p>
        </w:tc>
      </w:tr>
      <w:tr>
        <w:trPr>
          <w:trHeight w:val="148"/>
        </w:trPr>
        <w:tc>
          <w:tcPr>
            <w:tcW w:w="6280" w:type="dxa"/>
            <w:vAlign w:val="bottom"/>
          </w:tcPr>
          <w:p>
            <w:pPr>
              <w:ind w:left="120"/>
              <w:spacing w:after="0"/>
              <w:rPr>
                <w:sz w:val="20"/>
                <w:szCs w:val="20"/>
                <w:color w:val="auto"/>
              </w:rPr>
            </w:pPr>
            <w:r>
              <w:rPr>
                <w:rFonts w:ascii="Arial" w:cs="Arial" w:eastAsia="Arial" w:hAnsi="Arial"/>
                <w:sz w:val="13"/>
                <w:szCs w:val="13"/>
                <w:color w:val="auto"/>
              </w:rPr>
              <w:t>Loss on extinguishment of debt</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8"/>
              <w:spacing w:after="0" w:line="149" w:lineRule="exact"/>
              <w:rPr>
                <w:sz w:val="20"/>
                <w:szCs w:val="20"/>
                <w:color w:val="auto"/>
              </w:rPr>
            </w:pPr>
            <w:r>
              <w:rPr>
                <w:rFonts w:ascii="Arial" w:cs="Arial" w:eastAsia="Arial" w:hAnsi="Arial"/>
                <w:sz w:val="14"/>
                <w:szCs w:val="14"/>
                <w:color w:val="auto"/>
              </w:rPr>
              <w:t>3,465</w:t>
            </w:r>
          </w:p>
        </w:tc>
      </w:tr>
      <w:tr>
        <w:trPr>
          <w:trHeight w:val="148"/>
        </w:trPr>
        <w:tc>
          <w:tcPr>
            <w:tcW w:w="6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Bad debt expense</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4,390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1,191</w:t>
            </w:r>
          </w:p>
        </w:tc>
      </w:tr>
      <w:tr>
        <w:trPr>
          <w:trHeight w:val="148"/>
        </w:trPr>
        <w:tc>
          <w:tcPr>
            <w:tcW w:w="6280" w:type="dxa"/>
            <w:vAlign w:val="bottom"/>
          </w:tcPr>
          <w:p>
            <w:pPr>
              <w:ind w:left="120"/>
              <w:spacing w:after="0"/>
              <w:rPr>
                <w:sz w:val="20"/>
                <w:szCs w:val="20"/>
                <w:color w:val="auto"/>
              </w:rPr>
            </w:pPr>
            <w:r>
              <w:rPr>
                <w:rFonts w:ascii="Arial" w:cs="Arial" w:eastAsia="Arial" w:hAnsi="Arial"/>
                <w:sz w:val="13"/>
                <w:szCs w:val="13"/>
                <w:color w:val="auto"/>
              </w:rPr>
              <w:t>Other non-cash, net</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1,166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1,615</w:t>
            </w:r>
          </w:p>
        </w:tc>
      </w:tr>
      <w:tr>
        <w:trPr>
          <w:trHeight w:val="148"/>
        </w:trPr>
        <w:tc>
          <w:tcPr>
            <w:tcW w:w="6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Earnings from equity method investment</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(697)</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(1,262)</w:t>
            </w:r>
          </w:p>
        </w:tc>
      </w:tr>
      <w:tr>
        <w:trPr>
          <w:trHeight w:val="149"/>
        </w:trPr>
        <w:tc>
          <w:tcPr>
            <w:tcW w:w="6280" w:type="dxa"/>
            <w:vAlign w:val="bottom"/>
          </w:tcPr>
          <w:p>
            <w:pPr>
              <w:ind w:left="120"/>
              <w:spacing w:after="0"/>
              <w:rPr>
                <w:sz w:val="20"/>
                <w:szCs w:val="20"/>
                <w:color w:val="auto"/>
              </w:rPr>
            </w:pPr>
            <w:r>
              <w:rPr>
                <w:rFonts w:ascii="Arial" w:cs="Arial" w:eastAsia="Arial" w:hAnsi="Arial"/>
                <w:sz w:val="13"/>
                <w:szCs w:val="13"/>
                <w:color w:val="auto"/>
              </w:rPr>
              <w:t>Changes in operating assets and liabilities: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Trade receivables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(37,276)</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(45,696)</w:t>
            </w:r>
          </w:p>
        </w:tc>
      </w:tr>
      <w:tr>
        <w:trPr>
          <w:trHeight w:val="162"/>
        </w:trPr>
        <w:tc>
          <w:tcPr>
            <w:tcW w:w="6280" w:type="dxa"/>
            <w:vAlign w:val="bottom"/>
          </w:tcPr>
          <w:p>
            <w:pPr>
              <w:ind w:left="220"/>
              <w:spacing w:after="0"/>
              <w:rPr>
                <w:sz w:val="20"/>
                <w:szCs w:val="20"/>
                <w:color w:val="auto"/>
              </w:rPr>
            </w:pPr>
            <w:r>
              <w:rPr>
                <w:rFonts w:ascii="Arial" w:cs="Arial" w:eastAsia="Arial" w:hAnsi="Arial"/>
                <w:sz w:val="13"/>
                <w:szCs w:val="13"/>
                <w:color w:val="auto"/>
              </w:rPr>
              <w:t>Inventories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38,902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(53,182)</w:t>
            </w:r>
          </w:p>
        </w:tc>
      </w:tr>
      <w:tr>
        <w:trPr>
          <w:trHeight w:val="148"/>
        </w:trPr>
        <w:tc>
          <w:tcPr>
            <w:tcW w:w="62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Prepaid expenses and other current assets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(916)</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759</w:t>
            </w:r>
          </w:p>
        </w:tc>
      </w:tr>
      <w:tr>
        <w:trPr>
          <w:trHeight w:val="149"/>
        </w:trPr>
        <w:tc>
          <w:tcPr>
            <w:tcW w:w="6280" w:type="dxa"/>
            <w:vAlign w:val="bottom"/>
          </w:tcPr>
          <w:p>
            <w:pPr>
              <w:ind w:left="220"/>
              <w:spacing w:after="0"/>
              <w:rPr>
                <w:sz w:val="20"/>
                <w:szCs w:val="20"/>
                <w:color w:val="auto"/>
              </w:rPr>
            </w:pPr>
            <w:r>
              <w:rPr>
                <w:rFonts w:ascii="Arial" w:cs="Arial" w:eastAsia="Arial" w:hAnsi="Arial"/>
                <w:sz w:val="13"/>
                <w:szCs w:val="13"/>
                <w:color w:val="auto"/>
              </w:rPr>
              <w:t>Income tax receivable</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(1,409)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(1,349)</w:t>
            </w:r>
          </w:p>
        </w:tc>
      </w:tr>
      <w:tr>
        <w:trPr>
          <w:trHeight w:val="148"/>
        </w:trPr>
        <w:tc>
          <w:tcPr>
            <w:tcW w:w="62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assets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(392)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(375)</w:t>
            </w:r>
          </w:p>
        </w:tc>
      </w:tr>
      <w:tr>
        <w:trPr>
          <w:trHeight w:val="148"/>
        </w:trPr>
        <w:tc>
          <w:tcPr>
            <w:tcW w:w="6280" w:type="dxa"/>
            <w:vAlign w:val="bottom"/>
          </w:tcPr>
          <w:p>
            <w:pPr>
              <w:ind w:left="220"/>
              <w:spacing w:after="0"/>
              <w:rPr>
                <w:sz w:val="20"/>
                <w:szCs w:val="20"/>
                <w:color w:val="auto"/>
              </w:rPr>
            </w:pPr>
            <w:r>
              <w:rPr>
                <w:rFonts w:ascii="Arial" w:cs="Arial" w:eastAsia="Arial" w:hAnsi="Arial"/>
                <w:sz w:val="13"/>
                <w:szCs w:val="13"/>
                <w:color w:val="auto"/>
              </w:rPr>
              <w:t>Accounts payable</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8,935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15,865</w:t>
            </w:r>
          </w:p>
        </w:tc>
      </w:tr>
      <w:tr>
        <w:trPr>
          <w:trHeight w:val="148"/>
        </w:trPr>
        <w:tc>
          <w:tcPr>
            <w:tcW w:w="62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Accrued expenses and other current liabilities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(6,882)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(2,428)</w:t>
            </w:r>
          </w:p>
        </w:tc>
      </w:tr>
      <w:tr>
        <w:trPr>
          <w:trHeight w:val="148"/>
        </w:trPr>
        <w:tc>
          <w:tcPr>
            <w:tcW w:w="6280" w:type="dxa"/>
            <w:vAlign w:val="bottom"/>
          </w:tcPr>
          <w:p>
            <w:pPr>
              <w:ind w:left="220"/>
              <w:spacing w:after="0"/>
              <w:rPr>
                <w:sz w:val="20"/>
                <w:szCs w:val="20"/>
                <w:color w:val="auto"/>
              </w:rPr>
            </w:pPr>
            <w:r>
              <w:rPr>
                <w:rFonts w:ascii="Arial" w:cs="Arial" w:eastAsia="Arial" w:hAnsi="Arial"/>
                <w:sz w:val="13"/>
                <w:szCs w:val="13"/>
                <w:color w:val="auto"/>
              </w:rPr>
              <w:t>Other long-term liabilities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(224)</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232</w:t>
            </w:r>
          </w:p>
        </w:tc>
      </w:tr>
      <w:tr>
        <w:trPr>
          <w:trHeight w:val="142"/>
        </w:trPr>
        <w:tc>
          <w:tcPr>
            <w:tcW w:w="6280" w:type="dxa"/>
            <w:vAlign w:val="bottom"/>
            <w:tcBorders>
              <w:top w:val="single" w:sz="8" w:color="CCEEFF"/>
            </w:tcBorders>
            <w:shd w:val="clear" w:color="auto" w:fill="CCEEFF"/>
          </w:tcPr>
          <w:p>
            <w:pPr>
              <w:ind w:left="220"/>
              <w:spacing w:after="0" w:line="142" w:lineRule="exact"/>
              <w:rPr>
                <w:sz w:val="20"/>
                <w:szCs w:val="20"/>
                <w:color w:val="auto"/>
              </w:rPr>
            </w:pPr>
            <w:r>
              <w:rPr>
                <w:rFonts w:ascii="Arial" w:cs="Arial" w:eastAsia="Arial" w:hAnsi="Arial"/>
                <w:sz w:val="13"/>
                <w:szCs w:val="13"/>
                <w:color w:val="auto"/>
              </w:rPr>
              <w:t>Net cash provided by (used in) operating activities</w:t>
            </w:r>
          </w:p>
        </w:tc>
        <w:tc>
          <w:tcPr>
            <w:tcW w:w="10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36,289</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(15,086)</w:t>
            </w:r>
          </w:p>
        </w:tc>
      </w:tr>
      <w:tr>
        <w:trPr>
          <w:trHeight w:val="142"/>
        </w:trPr>
        <w:tc>
          <w:tcPr>
            <w:tcW w:w="6280" w:type="dxa"/>
            <w:vAlign w:val="bottom"/>
          </w:tcPr>
          <w:p>
            <w:pPr>
              <w:spacing w:after="0" w:line="142" w:lineRule="exact"/>
              <w:rPr>
                <w:sz w:val="20"/>
                <w:szCs w:val="20"/>
                <w:color w:val="auto"/>
              </w:rPr>
            </w:pPr>
            <w:r>
              <w:rPr>
                <w:rFonts w:ascii="Arial" w:cs="Arial" w:eastAsia="Arial" w:hAnsi="Arial"/>
                <w:sz w:val="13"/>
                <w:szCs w:val="13"/>
                <w:b w:val="1"/>
                <w:bCs w:val="1"/>
                <w:color w:val="auto"/>
              </w:rPr>
              <w:t>Cash flows from investing activities</w:t>
            </w:r>
            <w:r>
              <w:rPr>
                <w:rFonts w:ascii="Arial" w:cs="Arial" w:eastAsia="Arial" w:hAnsi="Arial"/>
                <w:sz w:val="13"/>
                <w:szCs w:val="13"/>
                <w:color w:val="auto"/>
              </w:rPr>
              <w:t>:</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Purchases of property and equipment</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(23,365)</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(16,750)</w:t>
            </w:r>
          </w:p>
        </w:tc>
      </w:tr>
      <w:tr>
        <w:trPr>
          <w:trHeight w:val="148"/>
        </w:trPr>
        <w:tc>
          <w:tcPr>
            <w:tcW w:w="6280" w:type="dxa"/>
            <w:vAlign w:val="bottom"/>
          </w:tcPr>
          <w:p>
            <w:pPr>
              <w:spacing w:after="0"/>
              <w:rPr>
                <w:sz w:val="20"/>
                <w:szCs w:val="20"/>
                <w:color w:val="auto"/>
              </w:rPr>
            </w:pPr>
            <w:r>
              <w:rPr>
                <w:rFonts w:ascii="Arial" w:cs="Arial" w:eastAsia="Arial" w:hAnsi="Arial"/>
                <w:sz w:val="13"/>
                <w:szCs w:val="13"/>
                <w:color w:val="auto"/>
              </w:rPr>
              <w:t>Proceeds from the sale of property and equipment</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8"/>
              <w:spacing w:after="0" w:line="149" w:lineRule="exact"/>
              <w:rPr>
                <w:sz w:val="20"/>
                <w:szCs w:val="20"/>
                <w:color w:val="auto"/>
              </w:rPr>
            </w:pPr>
            <w:r>
              <w:rPr>
                <w:rFonts w:ascii="Arial" w:cs="Arial" w:eastAsia="Arial" w:hAnsi="Arial"/>
                <w:sz w:val="14"/>
                <w:szCs w:val="14"/>
                <w:color w:val="auto"/>
              </w:rPr>
              <w:t>23</w:t>
            </w:r>
          </w:p>
        </w:tc>
      </w:tr>
      <w:tr>
        <w:trPr>
          <w:trHeight w:val="149"/>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Acquisitions of businesses, net of cash acquired</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(384)</w:t>
            </w:r>
          </w:p>
        </w:tc>
      </w:tr>
      <w:tr>
        <w:trPr>
          <w:trHeight w:val="20"/>
        </w:trPr>
        <w:tc>
          <w:tcPr>
            <w:tcW w:w="62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r>
      <w:tr>
        <w:trPr>
          <w:trHeight w:val="142"/>
        </w:trPr>
        <w:tc>
          <w:tcPr>
            <w:tcW w:w="6280" w:type="dxa"/>
            <w:vAlign w:val="bottom"/>
          </w:tcPr>
          <w:p>
            <w:pPr>
              <w:ind w:left="220"/>
              <w:spacing w:after="0" w:line="142" w:lineRule="exact"/>
              <w:rPr>
                <w:sz w:val="20"/>
                <w:szCs w:val="20"/>
                <w:color w:val="auto"/>
              </w:rPr>
            </w:pPr>
            <w:r>
              <w:rPr>
                <w:rFonts w:ascii="Arial" w:cs="Arial" w:eastAsia="Arial" w:hAnsi="Arial"/>
                <w:sz w:val="13"/>
                <w:szCs w:val="13"/>
                <w:color w:val="auto"/>
              </w:rPr>
              <w:t>Net cash used in investing activities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(23,365)</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color w:val="auto"/>
              </w:rPr>
              <w:t>(17,111)</w:t>
            </w:r>
          </w:p>
        </w:tc>
      </w:tr>
      <w:tr>
        <w:trPr>
          <w:trHeight w:val="142"/>
        </w:trPr>
        <w:tc>
          <w:tcPr>
            <w:tcW w:w="628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from financing activities</w:t>
            </w:r>
            <w:r>
              <w:rPr>
                <w:rFonts w:ascii="Arial" w:cs="Arial" w:eastAsia="Arial" w:hAnsi="Arial"/>
                <w:sz w:val="13"/>
                <w:szCs w:val="13"/>
                <w:color w:val="auto"/>
              </w:rPr>
              <w:t>:</w:t>
            </w:r>
          </w:p>
        </w:tc>
        <w:tc>
          <w:tcPr>
            <w:tcW w:w="106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right w:val="single" w:sz="8" w:color="CCEEFF"/>
            </w:tcBorders>
            <w:shd w:val="clear" w:color="auto" w:fill="CCEEFF"/>
          </w:tcPr>
          <w:p>
            <w:pPr>
              <w:spacing w:after="0"/>
              <w:rPr>
                <w:sz w:val="12"/>
                <w:szCs w:val="12"/>
                <w:color w:val="auto"/>
              </w:rPr>
            </w:pPr>
          </w:p>
        </w:tc>
      </w:tr>
      <w:tr>
        <w:trPr>
          <w:trHeight w:val="149"/>
        </w:trPr>
        <w:tc>
          <w:tcPr>
            <w:tcW w:w="6280" w:type="dxa"/>
            <w:vAlign w:val="bottom"/>
          </w:tcPr>
          <w:p>
            <w:pPr>
              <w:spacing w:after="0"/>
              <w:rPr>
                <w:sz w:val="20"/>
                <w:szCs w:val="20"/>
                <w:color w:val="auto"/>
              </w:rPr>
            </w:pPr>
            <w:r>
              <w:rPr>
                <w:rFonts w:ascii="Arial" w:cs="Arial" w:eastAsia="Arial" w:hAnsi="Arial"/>
                <w:sz w:val="13"/>
                <w:szCs w:val="13"/>
                <w:color w:val="auto"/>
              </w:rPr>
              <w:t>Proceeds from long-term debt borrowings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8"/>
              <w:spacing w:after="0" w:line="149" w:lineRule="exact"/>
              <w:rPr>
                <w:sz w:val="20"/>
                <w:szCs w:val="20"/>
                <w:color w:val="auto"/>
              </w:rPr>
            </w:pPr>
            <w:r>
              <w:rPr>
                <w:rFonts w:ascii="Arial" w:cs="Arial" w:eastAsia="Arial" w:hAnsi="Arial"/>
                <w:sz w:val="14"/>
                <w:szCs w:val="14"/>
                <w:color w:val="auto"/>
              </w:rPr>
              <w:t>320,125</w:t>
            </w:r>
          </w:p>
        </w:tc>
      </w:tr>
      <w:tr>
        <w:trPr>
          <w:trHeight w:val="148"/>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Payments on long-term debt borrowings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(1,625)</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(284,822)</w:t>
            </w:r>
          </w:p>
        </w:tc>
      </w:tr>
      <w:tr>
        <w:trPr>
          <w:trHeight w:val="162"/>
        </w:trPr>
        <w:tc>
          <w:tcPr>
            <w:tcW w:w="6280" w:type="dxa"/>
            <w:vAlign w:val="bottom"/>
          </w:tcPr>
          <w:p>
            <w:pPr>
              <w:spacing w:after="0"/>
              <w:rPr>
                <w:sz w:val="20"/>
                <w:szCs w:val="20"/>
                <w:color w:val="auto"/>
              </w:rPr>
            </w:pPr>
            <w:r>
              <w:rPr>
                <w:rFonts w:ascii="Arial" w:cs="Arial" w:eastAsia="Arial" w:hAnsi="Arial"/>
                <w:sz w:val="13"/>
                <w:szCs w:val="13"/>
                <w:color w:val="auto"/>
              </w:rPr>
              <w:t>Proceeds from borrowings on revolving credit facilities</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48,000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25,000</w:t>
            </w:r>
          </w:p>
        </w:tc>
      </w:tr>
      <w:tr>
        <w:trPr>
          <w:trHeight w:val="148"/>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Payments on revolving credit facilities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(48,000)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(25,000)</w:t>
            </w:r>
          </w:p>
        </w:tc>
      </w:tr>
      <w:tr>
        <w:trPr>
          <w:trHeight w:val="148"/>
        </w:trPr>
        <w:tc>
          <w:tcPr>
            <w:tcW w:w="6280" w:type="dxa"/>
            <w:vAlign w:val="bottom"/>
          </w:tcPr>
          <w:p>
            <w:pPr>
              <w:spacing w:after="0"/>
              <w:rPr>
                <w:sz w:val="20"/>
                <w:szCs w:val="20"/>
                <w:color w:val="auto"/>
              </w:rPr>
            </w:pPr>
            <w:r>
              <w:rPr>
                <w:rFonts w:ascii="Arial" w:cs="Arial" w:eastAsia="Arial" w:hAnsi="Arial"/>
                <w:sz w:val="13"/>
                <w:szCs w:val="13"/>
                <w:color w:val="auto"/>
              </w:rPr>
              <w:t>Deferred financing fees paid</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(6,865)</w:t>
            </w:r>
          </w:p>
        </w:tc>
      </w:tr>
      <w:tr>
        <w:trPr>
          <w:trHeight w:val="149"/>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Proceeds from the issuance of common stock</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257,663</w:t>
            </w:r>
          </w:p>
        </w:tc>
      </w:tr>
      <w:tr>
        <w:trPr>
          <w:trHeight w:val="148"/>
        </w:trPr>
        <w:tc>
          <w:tcPr>
            <w:tcW w:w="6280" w:type="dxa"/>
            <w:vAlign w:val="bottom"/>
          </w:tcPr>
          <w:p>
            <w:pPr>
              <w:spacing w:after="0"/>
              <w:rPr>
                <w:sz w:val="20"/>
                <w:szCs w:val="20"/>
                <w:color w:val="auto"/>
              </w:rPr>
            </w:pPr>
            <w:r>
              <w:rPr>
                <w:rFonts w:ascii="Arial" w:cs="Arial" w:eastAsia="Arial" w:hAnsi="Arial"/>
                <w:sz w:val="13"/>
                <w:szCs w:val="13"/>
                <w:color w:val="auto"/>
              </w:rPr>
              <w:t>Repayments of finance lease obligations</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(259)</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r>
      <w:tr>
        <w:trPr>
          <w:trHeight w:val="149"/>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Repurchases and retirements of common stock</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(272,663)</w:t>
            </w:r>
          </w:p>
        </w:tc>
      </w:tr>
      <w:tr>
        <w:trPr>
          <w:trHeight w:val="142"/>
        </w:trPr>
        <w:tc>
          <w:tcPr>
            <w:tcW w:w="6280" w:type="dxa"/>
            <w:vAlign w:val="bottom"/>
          </w:tcPr>
          <w:p>
            <w:pPr>
              <w:ind w:left="120"/>
              <w:spacing w:after="0" w:line="142" w:lineRule="exact"/>
              <w:rPr>
                <w:sz w:val="20"/>
                <w:szCs w:val="20"/>
                <w:color w:val="auto"/>
              </w:rPr>
            </w:pPr>
            <w:r>
              <w:rPr>
                <w:rFonts w:ascii="Arial" w:cs="Arial" w:eastAsia="Arial" w:hAnsi="Arial"/>
                <w:sz w:val="13"/>
                <w:szCs w:val="13"/>
                <w:color w:val="auto"/>
              </w:rPr>
              <w:t>Net cash (used in) provided by financing activities</w:t>
            </w:r>
          </w:p>
        </w:tc>
        <w:tc>
          <w:tcPr>
            <w:tcW w:w="10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(1,884)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13,438</w:t>
            </w:r>
          </w:p>
        </w:tc>
      </w:tr>
      <w:tr>
        <w:trPr>
          <w:trHeight w:val="149"/>
        </w:trPr>
        <w:tc>
          <w:tcPr>
            <w:tcW w:w="6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Effect of exchange rate changes on cash</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(550)</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27</w:t>
            </w:r>
          </w:p>
        </w:tc>
      </w:tr>
      <w:tr>
        <w:trPr>
          <w:trHeight w:val="142"/>
        </w:trPr>
        <w:tc>
          <w:tcPr>
            <w:tcW w:w="6280" w:type="dxa"/>
            <w:vAlign w:val="bottom"/>
          </w:tcPr>
          <w:p>
            <w:pPr>
              <w:spacing w:after="0" w:line="142" w:lineRule="exact"/>
              <w:rPr>
                <w:sz w:val="20"/>
                <w:szCs w:val="20"/>
                <w:color w:val="auto"/>
              </w:rPr>
            </w:pPr>
            <w:r>
              <w:rPr>
                <w:rFonts w:ascii="Arial" w:cs="Arial" w:eastAsia="Arial" w:hAnsi="Arial"/>
                <w:sz w:val="13"/>
                <w:szCs w:val="13"/>
                <w:b w:val="1"/>
                <w:bCs w:val="1"/>
                <w:color w:val="auto"/>
              </w:rPr>
              <w:t>Net increase (decrease) in cash</w:t>
            </w:r>
          </w:p>
        </w:tc>
        <w:tc>
          <w:tcPr>
            <w:tcW w:w="10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10,490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(18,732)</w:t>
            </w:r>
          </w:p>
        </w:tc>
      </w:tr>
      <w:tr>
        <w:trPr>
          <w:trHeight w:val="148"/>
        </w:trPr>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Cash at beginning of period</w:t>
            </w:r>
          </w:p>
        </w:tc>
        <w:tc>
          <w:tcPr>
            <w:tcW w:w="10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32,626</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43,952</w:t>
            </w:r>
          </w:p>
        </w:tc>
      </w:tr>
      <w:tr>
        <w:trPr>
          <w:trHeight w:val="142"/>
        </w:trPr>
        <w:tc>
          <w:tcPr>
            <w:tcW w:w="6280" w:type="dxa"/>
            <w:vAlign w:val="bottom"/>
          </w:tcPr>
          <w:p>
            <w:pPr>
              <w:spacing w:after="0" w:line="129" w:lineRule="exact"/>
              <w:rPr>
                <w:sz w:val="20"/>
                <w:szCs w:val="20"/>
                <w:color w:val="auto"/>
              </w:rPr>
            </w:pPr>
            <w:r>
              <w:rPr>
                <w:rFonts w:ascii="Arial" w:cs="Arial" w:eastAsia="Arial" w:hAnsi="Arial"/>
                <w:sz w:val="13"/>
                <w:szCs w:val="13"/>
                <w:color w:val="auto"/>
              </w:rPr>
              <w:t>Cash at end of period</w:t>
            </w:r>
          </w:p>
        </w:tc>
        <w:tc>
          <w:tcPr>
            <w:tcW w:w="1280" w:type="dxa"/>
            <w:vAlign w:val="bottom"/>
            <w:gridSpan w:val="2"/>
          </w:tcPr>
          <w:p>
            <w:pPr>
              <w:jc w:val="right"/>
              <w:ind w:right="160"/>
              <w:spacing w:after="0" w:line="12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29" w:lineRule="exact"/>
              <w:rPr>
                <w:sz w:val="20"/>
                <w:szCs w:val="20"/>
                <w:color w:val="auto"/>
              </w:rPr>
            </w:pPr>
            <w:r>
              <w:rPr>
                <w:rFonts w:ascii="Arial" w:cs="Arial" w:eastAsia="Arial" w:hAnsi="Arial"/>
                <w:sz w:val="14"/>
                <w:szCs w:val="14"/>
                <w:color w:val="auto"/>
              </w:rPr>
              <w:t>43,116</w:t>
            </w:r>
          </w:p>
        </w:tc>
        <w:tc>
          <w:tcPr>
            <w:tcW w:w="140" w:type="dxa"/>
            <w:vAlign w:val="bottom"/>
          </w:tcPr>
          <w:p>
            <w:pPr>
              <w:spacing w:after="0"/>
              <w:rPr>
                <w:sz w:val="12"/>
                <w:szCs w:val="12"/>
                <w:color w:val="auto"/>
              </w:rPr>
            </w:pPr>
          </w:p>
        </w:tc>
        <w:tc>
          <w:tcPr>
            <w:tcW w:w="340" w:type="dxa"/>
            <w:vAlign w:val="bottom"/>
            <w:gridSpan w:val="2"/>
          </w:tcPr>
          <w:p>
            <w:pPr>
              <w:jc w:val="right"/>
              <w:ind w:right="160"/>
              <w:spacing w:after="0" w:line="12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line="129" w:lineRule="exact"/>
              <w:rPr>
                <w:sz w:val="20"/>
                <w:szCs w:val="20"/>
                <w:color w:val="auto"/>
              </w:rPr>
            </w:pPr>
            <w:r>
              <w:rPr>
                <w:rFonts w:ascii="Arial" w:cs="Arial" w:eastAsia="Arial" w:hAnsi="Arial"/>
                <w:sz w:val="14"/>
                <w:szCs w:val="14"/>
                <w:color w:val="auto"/>
              </w:rPr>
              <w:t>25,220</w:t>
            </w: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62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Supplemental cash flow information</w:t>
            </w:r>
            <w:r>
              <w:rPr>
                <w:rFonts w:ascii="Arial" w:cs="Arial" w:eastAsia="Arial" w:hAnsi="Arial"/>
                <w:sz w:val="13"/>
                <w:szCs w:val="13"/>
                <w:color w:val="auto"/>
              </w:rPr>
              <w:t>:</w:t>
            </w: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tcBorders>
              <w:right w:val="single" w:sz="8" w:color="CCEEFF"/>
            </w:tcBorders>
            <w:shd w:val="clear" w:color="auto" w:fill="CCEEFF"/>
          </w:tcPr>
          <w:p>
            <w:pPr>
              <w:spacing w:after="0"/>
              <w:rPr>
                <w:sz w:val="11"/>
                <w:szCs w:val="11"/>
                <w:color w:val="auto"/>
              </w:rPr>
            </w:pPr>
          </w:p>
        </w:tc>
      </w:tr>
      <w:tr>
        <w:trPr>
          <w:trHeight w:val="149"/>
        </w:trPr>
        <w:tc>
          <w:tcPr>
            <w:tcW w:w="6280" w:type="dxa"/>
            <w:vAlign w:val="bottom"/>
          </w:tcPr>
          <w:p>
            <w:pPr>
              <w:spacing w:after="0"/>
              <w:rPr>
                <w:sz w:val="20"/>
                <w:szCs w:val="20"/>
                <w:color w:val="auto"/>
              </w:rPr>
            </w:pPr>
            <w:r>
              <w:rPr>
                <w:rFonts w:ascii="Arial" w:cs="Arial" w:eastAsia="Arial" w:hAnsi="Arial"/>
                <w:sz w:val="13"/>
                <w:szCs w:val="13"/>
                <w:color w:val="auto"/>
              </w:rPr>
              <w:t>Cash paid for interest</w:t>
            </w: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11,247</w:t>
            </w:r>
          </w:p>
        </w:tc>
        <w:tc>
          <w:tcPr>
            <w:tcW w:w="140" w:type="dxa"/>
            <w:vAlign w:val="bottom"/>
          </w:tcPr>
          <w:p>
            <w:pPr>
              <w:spacing w:after="0"/>
              <w:rPr>
                <w:sz w:val="12"/>
                <w:szCs w:val="12"/>
                <w:color w:val="auto"/>
              </w:rPr>
            </w:pPr>
          </w:p>
        </w:tc>
        <w:tc>
          <w:tcPr>
            <w:tcW w:w="3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8"/>
              <w:spacing w:after="0" w:line="149" w:lineRule="exact"/>
              <w:rPr>
                <w:sz w:val="20"/>
                <w:szCs w:val="20"/>
                <w:color w:val="auto"/>
              </w:rPr>
            </w:pPr>
            <w:r>
              <w:rPr>
                <w:rFonts w:ascii="Arial" w:cs="Arial" w:eastAsia="Arial" w:hAnsi="Arial"/>
                <w:sz w:val="14"/>
                <w:szCs w:val="14"/>
                <w:color w:val="auto"/>
              </w:rPr>
              <w:t>5,080</w:t>
            </w:r>
          </w:p>
        </w:tc>
      </w:tr>
      <w:tr>
        <w:trPr>
          <w:trHeight w:val="148"/>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Income taxes paid, net</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13,353</w:t>
            </w:r>
          </w:p>
        </w:tc>
      </w:tr>
      <w:tr>
        <w:trPr>
          <w:trHeight w:val="149"/>
        </w:trPr>
        <w:tc>
          <w:tcPr>
            <w:tcW w:w="6280" w:type="dxa"/>
            <w:vAlign w:val="bottom"/>
          </w:tcPr>
          <w:p>
            <w:pPr>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r>
              <w:rPr>
                <w:rFonts w:ascii="Arial" w:cs="Arial" w:eastAsia="Arial" w:hAnsi="Arial"/>
                <w:sz w:val="13"/>
                <w:szCs w:val="13"/>
                <w:color w:val="auto"/>
              </w:rPr>
              <w:t>:</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8"/>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Purchases of property and equipment included in accounts payable and accrued expenses</w:t>
            </w:r>
          </w:p>
        </w:tc>
        <w:tc>
          <w:tcPr>
            <w:tcW w:w="12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1,111</w:t>
            </w:r>
          </w:p>
        </w:tc>
        <w:tc>
          <w:tcPr>
            <w:tcW w:w="1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990</w:t>
            </w:r>
          </w:p>
        </w:tc>
      </w:tr>
      <w:tr>
        <w:trPr>
          <w:trHeight w:val="162"/>
        </w:trPr>
        <w:tc>
          <w:tcPr>
            <w:tcW w:w="6280" w:type="dxa"/>
            <w:vAlign w:val="bottom"/>
          </w:tcPr>
          <w:p>
            <w:pPr>
              <w:spacing w:after="0"/>
              <w:rPr>
                <w:sz w:val="20"/>
                <w:szCs w:val="20"/>
                <w:color w:val="auto"/>
              </w:rPr>
            </w:pPr>
            <w:r>
              <w:rPr>
                <w:rFonts w:ascii="Arial" w:cs="Arial" w:eastAsia="Arial" w:hAnsi="Arial"/>
                <w:sz w:val="13"/>
                <w:szCs w:val="13"/>
                <w:color w:val="auto"/>
              </w:rPr>
              <w:t>Capitalized internal-use software included in accounts payable – related party</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900</w:t>
            </w:r>
          </w:p>
        </w:tc>
      </w:tr>
      <w:tr>
        <w:trPr>
          <w:trHeight w:val="148"/>
        </w:trPr>
        <w:tc>
          <w:tcPr>
            <w:tcW w:w="6280" w:type="dxa"/>
            <w:vAlign w:val="bottom"/>
            <w:shd w:val="clear" w:color="auto" w:fill="CCEEFF"/>
          </w:tcPr>
          <w:p>
            <w:pPr>
              <w:spacing w:after="0"/>
              <w:rPr>
                <w:sz w:val="20"/>
                <w:szCs w:val="20"/>
                <w:color w:val="auto"/>
              </w:rPr>
            </w:pPr>
            <w:r>
              <w:rPr>
                <w:rFonts w:ascii="Arial" w:cs="Arial" w:eastAsia="Arial" w:hAnsi="Arial"/>
                <w:sz w:val="13"/>
                <w:szCs w:val="13"/>
                <w:color w:val="auto"/>
              </w:rPr>
              <w:t>Right-of-use operating and finance lease assets obtained in exchange for lease liabilities</w:t>
            </w: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4,108</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tcBorders>
              <w:right w:val="single" w:sz="8" w:color="CCEEFF"/>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39,501</w:t>
            </w:r>
          </w:p>
        </w:tc>
      </w:tr>
    </w:tbl>
    <w:p>
      <w:pPr>
        <w:spacing w:after="0" w:line="202"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229" w:lineRule="exact"/>
        <w:rPr>
          <w:sz w:val="20"/>
          <w:szCs w:val="20"/>
          <w:color w:val="auto"/>
        </w:rPr>
      </w:pPr>
    </w:p>
    <w:p>
      <w:pPr>
        <w:jc w:val="both"/>
        <w:ind w:right="160" w:firstLine="324"/>
        <w:spacing w:after="0" w:line="286" w:lineRule="auto"/>
        <w:rPr>
          <w:sz w:val="20"/>
          <w:szCs w:val="20"/>
          <w:color w:val="auto"/>
        </w:rPr>
      </w:pPr>
      <w:r>
        <w:rPr>
          <w:rFonts w:ascii="Arial" w:cs="Arial" w:eastAsia="Arial" w:hAnsi="Arial"/>
          <w:sz w:val="17"/>
          <w:szCs w:val="17"/>
          <w:color w:val="auto"/>
        </w:rPr>
        <w:t>Latham Group, Inc. (the “Company”) wholly owns Latham Pool Products, Inc. (“Latham Pool Products”) (together, “Latham”), a designer, manufacturer, and marketer of in-ground residential swimming pools in North America, Australia, and New Zealand. Latham offers a portfolio of pools and related products, including in-ground swimming pools, pool liners, and pool covers.</w:t>
      </w:r>
    </w:p>
    <w:p>
      <w:pPr>
        <w:spacing w:after="0" w:line="16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December 18, 2018, Latham Investment Holdings, LP (“Parent”), an investment fund managed by affiliates of Pamplona Capital Management (the “Sponsor”), Wynnchurch Capital, L.P. and management acquired all of the outstanding equity interests of Latham Topco., Inc., a newly incorporated entity in the State of Delaware. Latham Topco, Inc. changed its name to Latham Group, Inc. on March 3, 2021.</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accompanying unaudited condensed consolidated financial statements and accompanying notes have been prepared in accordance with generally accepted accounting principles in the United States (“GAAP”). The Company’s unaudited condensed consolidated financial statements include the accounts of the Company and its subsidiaries. All intercompany balances and transactions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unaudited condensed consolidated balance sheet at December 31, 2022 was derived from audited financial statements but does not include all disclosures required by GAAP. The accompanying unaudited condensed consolidated financial statements as of July 1, 2023 and for the fiscal and two fiscal quarters ended July 1, 2023 and July 2, 2022 have been prepared by the Company pursuant to the rules and regulations of the Securities and Exchange Commission (“SEC”) for interim financial statements. Certain information and footnote disclosures normally included in the financial statements prepared in accordance with GAAP have been condensed or omitted pursuant to such rules and regulations. These condensed consolidated financial statements should be read in conjunction with Latham Group, Inc.’s audited consolidated financial statements and the notes thereto for the fiscal year ended December 31, 2022 included in the Company’s 2022 Annual Report on Form 10-K, filed with the SEC on March 7, 2023 (the “Annual Report”). In the opinion of management, all adjustments, consisting only of normal recurring adjustments necessary for a fair statement of these condensed consolidated financial statements, have been included. The Company’s results of operations for the fiscal quarter and two fiscal quarters ended July 1, 2023 are not necessarily indicative of the results of operations that may be expected for the fiscal year ending December 31, 2023.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from those estimates. The Company bases its estimates on historical experience, known trends, and other market-specific relevant factors that it believes to be reasonable under the circumstances. Estimates are evaluated on an ongoing basis and revised as there are changes in circumstances, facts, and experience. Changes in estimates are recorded in the period in which they become known.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Certain prior period balances have been reclassified to conform to the current period presentation in the condensed consolidated financial statements and the accompanying notes.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Although the Company generally has demand for its products throughout the fiscal year, its business is seasonal and weather is one of the principal external factors affecting the business. Historically, net sales and net income are highest during the second and third fiscal quarters, representing the peak months of swimming pool use, pool installation, and remodeling and repair activities. Severe weather may also affect net sales in all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the Annual Report for a discussion of the Company’s significant accounting policies, as updated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Company qualifies as “emerging growth company” as defined in the Jumpstart Our Business Startups Act of 2012 and has elected to “opt in” to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private companies.</w:t>
      </w:r>
    </w:p>
    <w:p>
      <w:pPr>
        <w:spacing w:after="0" w:line="195"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on Financial Instruments </w:t>
      </w:r>
      <w:r>
        <w:rPr>
          <w:rFonts w:ascii="Arial" w:cs="Arial" w:eastAsia="Arial" w:hAnsi="Arial"/>
          <w:sz w:val="16"/>
          <w:szCs w:val="16"/>
          <w:color w:val="auto"/>
        </w:rPr>
        <w:t>(“ASU 2016-13”), which requires the measurement and recognition of expected credit losses for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assets held at 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earlier recognition of credit losses. In November 2018, the FASB issued ASU 2018-19, </w:t>
      </w:r>
      <w:r>
        <w:rPr>
          <w:rFonts w:ascii="Arial" w:cs="Arial" w:eastAsia="Arial" w:hAnsi="Arial"/>
          <w:sz w:val="16"/>
          <w:szCs w:val="16"/>
          <w:i w:val="1"/>
          <w:iCs w:val="1"/>
          <w:color w:val="auto"/>
        </w:rPr>
        <w:t>Codification Improvements to Topic 326,</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which narrowed the scope and changed the effective date for nonpublic entities for ASU 2016-</w:t>
      </w:r>
    </w:p>
    <w:p>
      <w:pPr>
        <w:spacing w:after="0" w:line="2" w:lineRule="exact"/>
        <w:rPr>
          <w:sz w:val="20"/>
          <w:szCs w:val="20"/>
          <w:color w:val="auto"/>
        </w:rPr>
      </w:pPr>
    </w:p>
    <w:p>
      <w:pPr>
        <w:ind w:right="60" w:firstLine="8"/>
        <w:spacing w:after="0" w:line="269" w:lineRule="auto"/>
        <w:tabs>
          <w:tab w:leader="none" w:pos="267"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The FASB subsequently issued supplemental guidance within ASU 2019-05,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Targeted Transition Relief </w:t>
      </w:r>
      <w:r>
        <w:rPr>
          <w:rFonts w:ascii="Arial" w:cs="Arial" w:eastAsia="Arial" w:hAnsi="Arial"/>
          <w:sz w:val="17"/>
          <w:szCs w:val="17"/>
          <w:color w:val="auto"/>
        </w:rPr>
        <w:t>(“ASU 2019-05”). ASU 2019-05 provides an option to irrevocably elect the fair value option for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assets previously measured at amortized cost basis. For public entities that are SEC filers, excluding entities eligible to be smaller reporting companies, ASU 2016-13 is effective for annual periods beginning after December 15, 2019, including interim periods within those fiscal years. For all other entities, ASU 2016-13 is effective for annual periods beginning after December 15, 2022, including interim periods within those fiscal years. The adoption of this standard on January 1, 2023 did not have a material impact on the Company’s condensed consolidated financial statements.</w:t>
      </w:r>
    </w:p>
    <w:p>
      <w:pPr>
        <w:spacing w:after="0" w:line="18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 Contract Assets and Contract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Liabilities from Contracts with Customers </w:t>
      </w:r>
      <w:r>
        <w:rPr>
          <w:rFonts w:ascii="Arial" w:cs="Arial" w:eastAsia="Arial" w:hAnsi="Arial"/>
          <w:sz w:val="17"/>
          <w:szCs w:val="17"/>
          <w:color w:val="auto"/>
        </w:rPr>
        <w:t>(“ASU 2021-08”), which amends ASC 805 by requiring acquiring entities to apply ASC 606</w:t>
      </w:r>
      <w:r>
        <w:rPr>
          <w:rFonts w:ascii="Arial" w:cs="Arial" w:eastAsia="Arial" w:hAnsi="Arial"/>
          <w:sz w:val="17"/>
          <w:szCs w:val="17"/>
          <w:i w:val="1"/>
          <w:iCs w:val="1"/>
          <w:color w:val="auto"/>
        </w:rPr>
        <w:t xml:space="preserve"> </w:t>
      </w:r>
      <w:r>
        <w:rPr>
          <w:rFonts w:ascii="Arial" w:cs="Arial" w:eastAsia="Arial" w:hAnsi="Arial"/>
          <w:sz w:val="17"/>
          <w:szCs w:val="17"/>
          <w:color w:val="auto"/>
        </w:rPr>
        <w:t>to recognize and measure contract assets and contract liabilities in a business combination. For public entities, ASU 2021-08 is effective for fiscal years, including interim periods within those fiscal years, beginning after December 15, 2022. For all other entities, ASU 2021-08 is effective for fiscal years, including interim periods within those fiscal years, beginning after December 15, 2023. The amendments should be applied prospectively to business combinations occurring on or after the effective date of the amendments, with early adoption permitted. The adoption of this standard on January 1, 2023 did not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right="440" w:firstLine="324"/>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Level 3 — Unobservable inputs that reflect the Company’s own assumptions incorporated into valuation techniques. These valuations require significant judgment.</w:t>
      </w:r>
    </w:p>
    <w:p>
      <w:pPr>
        <w:spacing w:after="0" w:line="17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When there is more than one input at different levels within the hierarchy, the fair value is determined based on the lowest level input that is significant to the fair value measurement in its entirety. Assessment of the significance of a particular input to the fair value measurement in its entirety requires substantial judgment and consideration of factors specific to the asset or liability. Level 3 inputs are inherently difficult to estimate. Changes to these inputs can have significant impact on fair value measurements. Assets and liabilities measured at fair value using Level 3 inputs are based on one or more of the following valuation techniques: market approach, income approach or cost approach. There were no transfers between fair value measurement levels during the two fiscal quarters ended July 1, 2023 or July 2,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Company’s non-financial assets such as goodwill, intangible assets, and property and equipment are measured at fair value upon acquisition and remeasured to fair value when an impairment charge is recognized. Such fair value measurements are based predominantly on Level 2 and Level 3 inputs.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right="620" w:firstLine="324"/>
        <w:spacing w:after="0" w:line="263" w:lineRule="auto"/>
        <w:rPr>
          <w:sz w:val="20"/>
          <w:szCs w:val="20"/>
          <w:color w:val="auto"/>
        </w:rPr>
      </w:pPr>
      <w:r>
        <w:rPr>
          <w:rFonts w:ascii="Arial" w:cs="Arial" w:eastAsia="Arial" w:hAnsi="Arial"/>
          <w:sz w:val="18"/>
          <w:szCs w:val="18"/>
          <w:color w:val="auto"/>
        </w:rPr>
        <w:t>The Company considers the carrying amounts of cash, trade receivables, prepaid expenses and other current assets, accounts payable, and accrued expenses and other current liabilities to approximate fair value because of the short-term maturities of these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Company’s term loan (see Note 6) is carried at amortized cost; however, the Company estimates the fair value of the term loan for disclosure purposes. The fair value of the term loan is determined using inputs based on observable market data of a non-public exchange, which are classified as Level 2 inputs. The following table sets forth the carrying amount and fair value of its term loan (in thousands):</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1, 2023</w:t>
            </w:r>
          </w:p>
        </w:tc>
        <w:tc>
          <w:tcPr>
            <w:tcW w:w="9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662"/>
              <w:spacing w:after="0"/>
              <w:rPr>
                <w:sz w:val="20"/>
                <w:szCs w:val="20"/>
                <w:color w:val="auto"/>
              </w:rPr>
            </w:pPr>
            <w:r>
              <w:rPr>
                <w:rFonts w:ascii="Arial" w:cs="Arial" w:eastAsia="Arial" w:hAnsi="Arial"/>
                <w:sz w:val="14"/>
                <w:szCs w:val="14"/>
                <w:b w:val="1"/>
                <w:bCs w:val="1"/>
                <w:color w:val="auto"/>
              </w:rPr>
              <w:t>December 31, 2022</w:t>
            </w:r>
          </w:p>
        </w:tc>
        <w:tc>
          <w:tcPr>
            <w:tcW w:w="40" w:type="dxa"/>
            <w:vAlign w:val="bottom"/>
          </w:tcPr>
          <w:p>
            <w:pPr>
              <w:spacing w:after="0"/>
              <w:rPr>
                <w:sz w:val="14"/>
                <w:szCs w:val="14"/>
                <w:color w:val="auto"/>
              </w:rPr>
            </w:pPr>
          </w:p>
        </w:tc>
      </w:tr>
      <w:tr>
        <w:trPr>
          <w:trHeight w:val="146"/>
        </w:trPr>
        <w:tc>
          <w:tcPr>
            <w:tcW w:w="4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24"/>
              <w:spacing w:after="0" w:line="147" w:lineRule="exact"/>
              <w:rPr>
                <w:sz w:val="20"/>
                <w:szCs w:val="20"/>
                <w:color w:val="auto"/>
              </w:rPr>
            </w:pPr>
            <w:r>
              <w:rPr>
                <w:rFonts w:ascii="Arial" w:cs="Arial" w:eastAsia="Arial" w:hAnsi="Arial"/>
                <w:sz w:val="14"/>
                <w:szCs w:val="14"/>
                <w:b w:val="1"/>
                <w:bCs w:val="1"/>
                <w:color w:val="auto"/>
                <w:w w:val="97"/>
              </w:rPr>
              <w:t>Carrying</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ind w:left="20"/>
              <w:spacing w:after="0" w:line="147" w:lineRule="exact"/>
              <w:rPr>
                <w:sz w:val="20"/>
                <w:szCs w:val="20"/>
                <w:color w:val="auto"/>
              </w:rPr>
            </w:pPr>
            <w:r>
              <w:rPr>
                <w:rFonts w:ascii="Arial" w:cs="Arial" w:eastAsia="Arial" w:hAnsi="Arial"/>
                <w:sz w:val="14"/>
                <w:szCs w:val="14"/>
                <w:b w:val="1"/>
                <w:bCs w:val="1"/>
                <w:color w:val="auto"/>
              </w:rPr>
              <w:t>Estimated</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24"/>
              <w:spacing w:after="0" w:line="147" w:lineRule="exact"/>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Estimated</w:t>
            </w:r>
          </w:p>
        </w:tc>
      </w:tr>
      <w:tr>
        <w:trPr>
          <w:trHeight w:val="171"/>
        </w:trPr>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center"/>
              <w:ind w:right="124"/>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312,041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297,999</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312,881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290,979</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25"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The Company estimates the fair value of interest rate swaps (see Note 6) on a fiscal quarterly basis using Level 2 inputs, including the forward SOFR curve. The fair value is estimated by comparing (i) the present value of all future monthly fixed rate payments versus</w:t>
      </w:r>
    </w:p>
    <w:p>
      <w:pPr>
        <w:ind w:left="280" w:hanging="272"/>
        <w:spacing w:after="0"/>
        <w:tabs>
          <w:tab w:leader="none" w:pos="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variable payments based on the forward SOFR curve. As of July 1, 2023 and December 31, 2022, the net fair value of the</w:t>
      </w:r>
    </w:p>
    <w:p>
      <w:pPr>
        <w:spacing w:after="0" w:line="20" w:lineRule="exact"/>
        <w:rPr>
          <w:rFonts w:ascii="Arial" w:cs="Arial" w:eastAsia="Arial" w:hAnsi="Arial"/>
          <w:sz w:val="17"/>
          <w:szCs w:val="17"/>
          <w:color w:val="auto"/>
        </w:rPr>
      </w:pPr>
    </w:p>
    <w:p>
      <w:pPr>
        <w:ind w:right="380"/>
        <w:spacing w:after="0" w:line="260" w:lineRule="auto"/>
        <w:rPr>
          <w:rFonts w:ascii="Arial" w:cs="Arial" w:eastAsia="Arial" w:hAnsi="Arial"/>
          <w:sz w:val="17"/>
          <w:szCs w:val="17"/>
          <w:color w:val="auto"/>
        </w:rPr>
      </w:pPr>
      <w:r>
        <w:rPr>
          <w:rFonts w:ascii="Arial" w:cs="Arial" w:eastAsia="Arial" w:hAnsi="Arial"/>
          <w:sz w:val="18"/>
          <w:szCs w:val="18"/>
          <w:color w:val="auto"/>
        </w:rPr>
        <w:t>Company’s interest rate swaps was an asset balance of $0.6 million and $3.5 million, respectively, which were recorded within other assets on the condensed consolidated balance sheets.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The carrying amount of goodwill as of July 1, 2023 and as of December 31, 2022 was $131.2 million and $131.4 million, respectively. The change in the carrying value during the two fiscal quarters ended July 1, 2023 was solely because of fluctuations in foreign currency exchange rates.</w:t>
      </w:r>
    </w:p>
    <w:p>
      <w:pPr>
        <w:sectPr>
          <w:pgSz w:w="11900" w:h="16838" w:orient="portrait"/>
          <w:cols w:equalWidth="0" w:num="1">
            <w:col w:w="9920"/>
          </w:cols>
          <w:pgMar w:left="980" w:top="665"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Intangible assets, net as of July 1, 2023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July 1, 2023</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240" w:type="dxa"/>
            <w:vAlign w:val="bottom"/>
          </w:tcPr>
          <w:p>
            <w:pPr>
              <w:spacing w:after="0"/>
              <w:rPr>
                <w:sz w:val="12"/>
                <w:szCs w:val="12"/>
                <w:color w:val="auto"/>
              </w:rPr>
            </w:pP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300"/>
              <w:spacing w:after="0" w:line="147" w:lineRule="exact"/>
              <w:rPr>
                <w:sz w:val="20"/>
                <w:szCs w:val="20"/>
                <w:color w:val="auto"/>
              </w:rPr>
            </w:pPr>
            <w:r>
              <w:rPr>
                <w:rFonts w:ascii="Arial" w:cs="Arial" w:eastAsia="Arial" w:hAnsi="Arial"/>
                <w:sz w:val="14"/>
                <w:szCs w:val="14"/>
                <w:b w:val="1"/>
                <w:bCs w:val="1"/>
                <w:color w:val="auto"/>
                <w:w w:val="89"/>
              </w:rPr>
              <w:t>Foreign</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2"/>
                <w:szCs w:val="12"/>
                <w:color w:val="auto"/>
              </w:rPr>
            </w:pPr>
          </w:p>
        </w:tc>
        <w:tc>
          <w:tcPr>
            <w:tcW w:w="80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Currency</w:t>
            </w: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Translation</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$ 148,100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26,281</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$ 121,485</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Patented technology</w:t>
            </w:r>
          </w:p>
        </w:tc>
        <w:tc>
          <w:tcPr>
            <w:tcW w:w="800" w:type="dxa"/>
            <w:vAlign w:val="bottom"/>
          </w:tcPr>
          <w:p>
            <w:pPr>
              <w:jc w:val="right"/>
              <w:spacing w:after="0"/>
              <w:rPr>
                <w:sz w:val="20"/>
                <w:szCs w:val="20"/>
                <w:color w:val="auto"/>
              </w:rPr>
            </w:pPr>
            <w:r>
              <w:rPr>
                <w:rFonts w:ascii="Arial" w:cs="Arial" w:eastAsia="Arial" w:hAnsi="Arial"/>
                <w:sz w:val="18"/>
                <w:szCs w:val="18"/>
                <w:color w:val="auto"/>
              </w:rPr>
              <w:t>16,126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7,835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8,375</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11,628</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Pool designs</w:t>
            </w:r>
          </w:p>
        </w:tc>
        <w:tc>
          <w:tcPr>
            <w:tcW w:w="800" w:type="dxa"/>
            <w:vAlign w:val="bottom"/>
          </w:tcPr>
          <w:p>
            <w:pPr>
              <w:jc w:val="right"/>
              <w:spacing w:after="0"/>
              <w:rPr>
                <w:sz w:val="20"/>
                <w:szCs w:val="20"/>
                <w:color w:val="auto"/>
              </w:rPr>
            </w:pPr>
            <w:r>
              <w:rPr>
                <w:rFonts w:ascii="Arial" w:cs="Arial" w:eastAsia="Arial" w:hAnsi="Arial"/>
                <w:sz w:val="18"/>
                <w:szCs w:val="18"/>
                <w:color w:val="auto"/>
              </w:rPr>
              <w:t>13,628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11,032</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Franchise relationships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Dealer relationships</w:t>
            </w:r>
          </w:p>
        </w:tc>
        <w:tc>
          <w:tcPr>
            <w:tcW w:w="800" w:type="dxa"/>
            <w:vAlign w:val="bottom"/>
          </w:tcPr>
          <w:p>
            <w:pPr>
              <w:jc w:val="right"/>
              <w:spacing w:after="0"/>
              <w:rPr>
                <w:sz w:val="20"/>
                <w:szCs w:val="20"/>
                <w:color w:val="auto"/>
              </w:rPr>
            </w:pPr>
            <w:r>
              <w:rPr>
                <w:rFonts w:ascii="Arial" w:cs="Arial" w:eastAsia="Arial" w:hAnsi="Arial"/>
                <w:sz w:val="18"/>
                <w:szCs w:val="18"/>
                <w:color w:val="auto"/>
              </w:rPr>
              <w:t>197,376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54,578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142,826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Order backlog</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9"/>
        </w:trPr>
        <w:tc>
          <w:tcPr>
            <w:tcW w:w="6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$ 393,493</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$ 295,656</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324"/>
        <w:spacing w:after="0" w:line="263" w:lineRule="auto"/>
        <w:rPr>
          <w:sz w:val="20"/>
          <w:szCs w:val="20"/>
          <w:color w:val="auto"/>
        </w:rPr>
      </w:pPr>
      <w:r>
        <w:rPr>
          <w:rFonts w:ascii="Arial" w:cs="Arial" w:eastAsia="Arial" w:hAnsi="Arial"/>
          <w:sz w:val="18"/>
          <w:szCs w:val="18"/>
          <w:color w:val="auto"/>
        </w:rPr>
        <w:t>The Company recognized $6.6 million and $13.3 million of amortization expense related to intangible assets during the fiscal quarter and two fiscal quarters ended July 1, 2023. The Company recognized $7.2 million and $14.3 million of amortization expense related to intangible assets during the fiscal quarter and two fiscal quarters ended July 2, 2022.</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Intangible assets, net as of December 31, 2022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240" w:type="dxa"/>
            <w:vAlign w:val="bottom"/>
          </w:tcPr>
          <w:p>
            <w:pPr>
              <w:spacing w:after="0"/>
              <w:rPr>
                <w:sz w:val="12"/>
                <w:szCs w:val="12"/>
                <w:color w:val="auto"/>
              </w:rPr>
            </w:pPr>
          </w:p>
        </w:tc>
        <w:tc>
          <w:tcPr>
            <w:tcW w:w="7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93"/>
              </w:rPr>
              <w:t>Foreign</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2"/>
                <w:szCs w:val="12"/>
                <w:color w:val="auto"/>
              </w:rPr>
            </w:pPr>
          </w:p>
        </w:tc>
        <w:tc>
          <w:tcPr>
            <w:tcW w:w="80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9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Currency</w:t>
            </w: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Translation</w:t>
            </w:r>
          </w:p>
        </w:tc>
        <w:tc>
          <w:tcPr>
            <w:tcW w:w="160" w:type="dxa"/>
            <w:vAlign w:val="bottom"/>
          </w:tcPr>
          <w:p>
            <w:pPr>
              <w:spacing w:after="0"/>
              <w:rPr>
                <w:sz w:val="14"/>
                <w:szCs w:val="14"/>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8"/>
              </w:rPr>
              <w:t>Amortization</w:t>
            </w:r>
          </w:p>
        </w:tc>
        <w:tc>
          <w:tcPr>
            <w:tcW w:w="140" w:type="dxa"/>
            <w:vAlign w:val="bottom"/>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$ 148,100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22,982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$ 125,034</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Patented technology</w:t>
            </w:r>
          </w:p>
        </w:tc>
        <w:tc>
          <w:tcPr>
            <w:tcW w:w="780" w:type="dxa"/>
            <w:vAlign w:val="bottom"/>
          </w:tcPr>
          <w:p>
            <w:pPr>
              <w:jc w:val="right"/>
              <w:spacing w:after="0"/>
              <w:rPr>
                <w:sz w:val="20"/>
                <w:szCs w:val="20"/>
                <w:color w:val="auto"/>
              </w:rPr>
            </w:pPr>
            <w:r>
              <w:rPr>
                <w:rFonts w:ascii="Arial" w:cs="Arial" w:eastAsia="Arial" w:hAnsi="Arial"/>
                <w:sz w:val="18"/>
                <w:szCs w:val="18"/>
                <w:color w:val="auto"/>
              </w:rPr>
              <w:t>16,126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6,959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9,204</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Pool designs</w:t>
            </w:r>
          </w:p>
        </w:tc>
        <w:tc>
          <w:tcPr>
            <w:tcW w:w="780" w:type="dxa"/>
            <w:vAlign w:val="bottom"/>
          </w:tcPr>
          <w:p>
            <w:pPr>
              <w:jc w:val="right"/>
              <w:spacing w:after="0"/>
              <w:rPr>
                <w:sz w:val="20"/>
                <w:szCs w:val="20"/>
                <w:color w:val="auto"/>
              </w:rPr>
            </w:pPr>
            <w:r>
              <w:rPr>
                <w:rFonts w:ascii="Arial" w:cs="Arial" w:eastAsia="Arial" w:hAnsi="Arial"/>
                <w:sz w:val="18"/>
                <w:szCs w:val="18"/>
                <w:color w:val="auto"/>
              </w:rPr>
              <w:t>13,628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2,037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11,581</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Franchise relationships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Dealer relationships</w:t>
            </w:r>
          </w:p>
        </w:tc>
        <w:tc>
          <w:tcPr>
            <w:tcW w:w="780" w:type="dxa"/>
            <w:vAlign w:val="bottom"/>
          </w:tcPr>
          <w:p>
            <w:pPr>
              <w:jc w:val="right"/>
              <w:spacing w:after="0"/>
              <w:rPr>
                <w:sz w:val="20"/>
                <w:szCs w:val="20"/>
                <w:color w:val="auto"/>
              </w:rPr>
            </w:pPr>
            <w:r>
              <w:rPr>
                <w:rFonts w:ascii="Arial" w:cs="Arial" w:eastAsia="Arial" w:hAnsi="Arial"/>
                <w:sz w:val="18"/>
                <w:szCs w:val="18"/>
                <w:color w:val="auto"/>
              </w:rPr>
              <w:t>197,376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46,699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150,690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Order backlog</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2,476</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50"/>
        </w:trPr>
        <w:tc>
          <w:tcPr>
            <w:tcW w:w="6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$ 393,493</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84,279</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$ 309,215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Company estimates that amortization expense related to definite-lived intangible assets will be as follows in each of the next five years and thereafter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75"/>
              <w:spacing w:after="0"/>
              <w:rPr>
                <w:sz w:val="20"/>
                <w:szCs w:val="20"/>
                <w:color w:val="auto"/>
              </w:rPr>
            </w:pPr>
            <w:r>
              <w:rPr>
                <w:rFonts w:ascii="Arial" w:cs="Arial" w:eastAsia="Arial" w:hAnsi="Arial"/>
                <w:sz w:val="14"/>
                <w:szCs w:val="14"/>
                <w:b w:val="1"/>
                <w:bCs w:val="1"/>
                <w:color w:val="auto"/>
                <w:w w:val="94"/>
              </w:rPr>
              <w:t>Estimated Future</w:t>
            </w:r>
          </w:p>
        </w:tc>
        <w:tc>
          <w:tcPr>
            <w:tcW w:w="0" w:type="dxa"/>
            <w:vAlign w:val="bottom"/>
          </w:tcPr>
          <w:p>
            <w:pPr>
              <w:spacing w:after="0"/>
              <w:rPr>
                <w:sz w:val="1"/>
                <w:szCs w:val="1"/>
                <w:color w:val="auto"/>
              </w:rPr>
            </w:pPr>
          </w:p>
        </w:tc>
      </w:tr>
      <w:tr>
        <w:trPr>
          <w:trHeight w:val="149"/>
        </w:trPr>
        <w:tc>
          <w:tcPr>
            <w:tcW w:w="8220" w:type="dxa"/>
            <w:vAlign w:val="bottom"/>
            <w:vMerge w:val="restart"/>
          </w:tcPr>
          <w:p>
            <w:pPr>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82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Expense</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Remainder of fiscal 2023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13,264</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25,708</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25,550</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25,550</w:t>
            </w:r>
          </w:p>
        </w:tc>
        <w:tc>
          <w:tcPr>
            <w:tcW w:w="0" w:type="dxa"/>
            <w:vAlign w:val="bottom"/>
          </w:tcPr>
          <w:p>
            <w:pPr>
              <w:spacing w:after="0"/>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25,550</w:t>
            </w:r>
          </w:p>
        </w:tc>
        <w:tc>
          <w:tcPr>
            <w:tcW w:w="0" w:type="dxa"/>
            <w:vAlign w:val="bottom"/>
          </w:tcPr>
          <w:p>
            <w:pPr>
              <w:spacing w:after="0"/>
              <w:rPr>
                <w:sz w:val="1"/>
                <w:szCs w:val="1"/>
                <w:color w:val="auto"/>
              </w:rPr>
            </w:pPr>
          </w:p>
        </w:tc>
      </w:tr>
      <w:tr>
        <w:trPr>
          <w:trHeight w:val="216"/>
        </w:trPr>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180,034</w:t>
            </w:r>
          </w:p>
        </w:tc>
        <w:tc>
          <w:tcPr>
            <w:tcW w:w="0" w:type="dxa"/>
            <w:vAlign w:val="bottom"/>
          </w:tcPr>
          <w:p>
            <w:pPr>
              <w:spacing w:after="0"/>
              <w:rPr>
                <w:sz w:val="1"/>
                <w:szCs w:val="1"/>
                <w:color w:val="auto"/>
              </w:rPr>
            </w:pPr>
          </w:p>
        </w:tc>
      </w:tr>
      <w:tr>
        <w:trPr>
          <w:trHeight w:val="210"/>
        </w:trPr>
        <w:tc>
          <w:tcPr>
            <w:tcW w:w="8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295,656</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 NET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Inventories, net consisted of the following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July 1, 2023</w:t>
            </w: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9"/>
              </w:rPr>
              <w:t>December 31, 2022</w:t>
            </w:r>
          </w:p>
        </w:tc>
        <w:tc>
          <w:tcPr>
            <w:tcW w:w="60" w:type="dxa"/>
            <w:vAlign w:val="bottom"/>
          </w:tcPr>
          <w:p>
            <w:pPr>
              <w:spacing w:after="0"/>
              <w:rPr>
                <w:sz w:val="14"/>
                <w:szCs w:val="14"/>
                <w:color w:val="auto"/>
              </w:rPr>
            </w:pPr>
          </w:p>
        </w:tc>
      </w:tr>
      <w:tr>
        <w:trPr>
          <w:trHeight w:val="209"/>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74,047</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95,388</w:t>
            </w:r>
          </w:p>
        </w:tc>
        <w:tc>
          <w:tcPr>
            <w:tcW w:w="6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Finished goods</w:t>
            </w: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52,471</w:t>
            </w:r>
          </w:p>
        </w:tc>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69,832</w:t>
            </w:r>
          </w:p>
        </w:tc>
        <w:tc>
          <w:tcPr>
            <w:tcW w:w="60" w:type="dxa"/>
            <w:vAlign w:val="bottom"/>
          </w:tcPr>
          <w:p>
            <w:pPr>
              <w:spacing w:after="0"/>
              <w:rPr>
                <w:sz w:val="18"/>
                <w:szCs w:val="18"/>
                <w:color w:val="auto"/>
              </w:rPr>
            </w:pPr>
          </w:p>
        </w:tc>
      </w:tr>
      <w:tr>
        <w:trPr>
          <w:trHeight w:val="230"/>
        </w:trPr>
        <w:tc>
          <w:tcPr>
            <w:tcW w:w="59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126,518</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165,220</w:t>
            </w:r>
          </w:p>
        </w:tc>
        <w:tc>
          <w:tcPr>
            <w:tcW w:w="60" w:type="dxa"/>
            <w:vAlign w:val="bottom"/>
            <w:shd w:val="clear" w:color="auto" w:fill="CCEEFF"/>
          </w:tcPr>
          <w:p>
            <w:pPr>
              <w:spacing w:after="0"/>
              <w:rPr>
                <w:sz w:val="19"/>
                <w:szCs w:val="19"/>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Company’s outstanding long-term debt obligations consisted of the following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July 1, 2023</w:t>
            </w:r>
          </w:p>
        </w:tc>
        <w:tc>
          <w:tcPr>
            <w:tcW w:w="16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2022</w:t>
            </w:r>
          </w:p>
        </w:tc>
      </w:tr>
      <w:tr>
        <w:trPr>
          <w:trHeight w:val="209"/>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320,938</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322,562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Less: Unamortized discount and debt issuance costs</w:t>
            </w:r>
          </w:p>
        </w:tc>
        <w:tc>
          <w:tcPr>
            <w:tcW w:w="2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(8,897)</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(9,681)</w:t>
            </w:r>
          </w:p>
        </w:tc>
        <w:tc>
          <w:tcPr>
            <w:tcW w:w="60" w:type="dxa"/>
            <w:vAlign w:val="bottom"/>
          </w:tcPr>
          <w:p>
            <w:pPr>
              <w:spacing w:after="0"/>
              <w:rPr>
                <w:sz w:val="18"/>
                <w:szCs w:val="18"/>
                <w:color w:val="auto"/>
              </w:rPr>
            </w:pPr>
          </w:p>
        </w:tc>
      </w:tr>
      <w:tr>
        <w:trPr>
          <w:trHeight w:val="210"/>
        </w:trPr>
        <w:tc>
          <w:tcPr>
            <w:tcW w:w="64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debt</w:t>
            </w:r>
          </w:p>
        </w:tc>
        <w:tc>
          <w:tcPr>
            <w:tcW w:w="2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312,041</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312,881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260" w:type="dxa"/>
            <w:vAlign w:val="bottom"/>
          </w:tcPr>
          <w:p>
            <w:pPr>
              <w:spacing w:after="0"/>
              <w:rPr>
                <w:sz w:val="18"/>
                <w:szCs w:val="18"/>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(3,250)</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(3,250)</w:t>
            </w:r>
          </w:p>
        </w:tc>
        <w:tc>
          <w:tcPr>
            <w:tcW w:w="60" w:type="dxa"/>
            <w:vAlign w:val="bottom"/>
          </w:tcPr>
          <w:p>
            <w:pPr>
              <w:spacing w:after="0"/>
              <w:rPr>
                <w:sz w:val="18"/>
                <w:szCs w:val="18"/>
                <w:color w:val="auto"/>
              </w:rPr>
            </w:pPr>
          </w:p>
        </w:tc>
      </w:tr>
      <w:tr>
        <w:trPr>
          <w:trHeight w:val="209"/>
        </w:trPr>
        <w:tc>
          <w:tcPr>
            <w:tcW w:w="64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long-term debt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308,791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309,631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On February 23, 2022, Latham Pool Products entered into an agreement (the “Credit Agreement”) with Barclays Bank PLC, which provides a senior secured multicurrency revolving line of credit (the “Revolving Credit Facility”) in an initial principal amount of $75.0 million and a U.S. Dollar senior secured term loan facility (the “Term Loan”) in an initial principal amount of $325.0 million. On such date, proceeds under the Credit Agreement were used to terminate the previous credit agreement by repayment of $294.0 million of outstanding debt thereunder and for general corporate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ind w:right="160" w:firstLine="324"/>
        <w:spacing w:after="0" w:line="284" w:lineRule="auto"/>
        <w:rPr>
          <w:sz w:val="20"/>
          <w:szCs w:val="20"/>
          <w:color w:val="auto"/>
        </w:rPr>
      </w:pPr>
      <w:r>
        <w:rPr>
          <w:rFonts w:ascii="Arial" w:cs="Arial" w:eastAsia="Arial" w:hAnsi="Arial"/>
          <w:sz w:val="16"/>
          <w:szCs w:val="16"/>
          <w:color w:val="auto"/>
        </w:rPr>
        <w:t>The Revolving Credit Facility may be utilized to finance ongoing general corporate and working capital needs and permits Latham Pools Products to borrow loans in U.S. Dollars, Canadian Dollars, Euros and Australian Dollars. The Revolving Credit Facility matures on February 23, 2027. Loans outstanding under the Revolving Credit Facility 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w:t>
      </w:r>
    </w:p>
    <w:p>
      <w:pPr>
        <w:spacing w:after="0" w:line="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3.50%. A commitment fee accrues on any unused portion of the commitments under the Revolving Credit Facility. The commitment fee is due and payable quarterly in arrears and is, initially, 0.375% per annum and will, thereafter, accrue at a rate per annum ranging from 0.25% to 0.50%, depending on the First Lien Net Leverage Ratio (as defined in the Credit Agreement, the “First Lien Net Leverage Ratio”). Borrowings under the Revolving Credit Facility are due at maturity.</w:t>
      </w:r>
    </w:p>
    <w:p>
      <w:pPr>
        <w:spacing w:after="0" w:line="193"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Company incurred debt issuance costs of $0.8 million related to the Revolving Credit Facility. The debt issuance costs were recorded within other assets on the condensed consolidated balance sheet as of the applicable period and are being amortized over the life of the Revolving Credit Facility.</w:t>
      </w:r>
    </w:p>
    <w:p>
      <w:pPr>
        <w:spacing w:after="0" w:line="184"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is required to meet certain financial covenants, including maintaining specific liquidity measurements. There are also negative covenants, including certain restrictions on the Company’s and its subsidiaries’ ability to incur additional indebtedness, create liens, make investments, consolidate, or merge with other entities, enter into transactions with affiliates, make prepayments with respect to certain indebtedness, make dividend payments, loans, or advances to the Company, declare dividends and make restricted payments and other distributions.</w:t>
      </w:r>
    </w:p>
    <w:p>
      <w:pPr>
        <w:spacing w:after="0" w:line="18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July 1, 2023, there were no outstanding borrowings on the Revolving Credit Facility and $75.0 million was available for future borrowing.</w:t>
      </w:r>
    </w:p>
    <w:p>
      <w:pPr>
        <w:sectPr>
          <w:pgSz w:w="11900" w:h="16838" w:orient="portrait"/>
          <w:cols w:equalWidth="0" w:num="1">
            <w:col w:w="9920"/>
          </w:cols>
          <w:pgMar w:left="980" w:top="665"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 Term Loan matures on February 23, 2029. Loans outstanding under the Term Loan bear interest, at the borrower’s option, at a rate per annum based on Term SOFR (as defined in the Credit Agreement), plus a margin ranging from 3.75% to 4.00%, depending on the First Lien Net Leverage Ratio, or based on the Base Rate (as defined in the Credit Agreement), plus a margin ranging from 2.75% to 3.00%, depending on the First Lien Net Leverage Ratio. Loans under the Term Loan are subject to scheduled quarterly amortization payments of $812,500, equal to 0.25% of the initial principal amount of the Term Loan. The Credit Agreement contains customary mandatory prepayment provisions, including requirements to make mandatory prepayments with 50% of any excess cash flow and with 100% of the net cash proceeds from the incurrence of indebtedness not otherwise permitted to be incurred by the covenants, asset sales, and casualty and condemnation events, in each case, subject to customary exceptions.</w:t>
      </w:r>
    </w:p>
    <w:p>
      <w:pPr>
        <w:spacing w:after="0" w:line="165"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The Company recorded $6.1 million of debt issuance costs and $4.9 million of debt discount related to the Term Loan as a direct reduction to the carrying amount of long-term debt on the condensed consolidated balance sheet as of the applicable period.</w:t>
      </w:r>
    </w:p>
    <w:p>
      <w:pPr>
        <w:spacing w:after="0" w:line="124" w:lineRule="exact"/>
        <w:rPr>
          <w:sz w:val="20"/>
          <w:szCs w:val="20"/>
          <w:color w:val="auto"/>
        </w:rPr>
      </w:pPr>
    </w:p>
    <w:p>
      <w:pPr>
        <w:jc w:val="both"/>
        <w:ind w:right="700" w:firstLine="324"/>
        <w:spacing w:after="0" w:line="263" w:lineRule="auto"/>
        <w:rPr>
          <w:sz w:val="20"/>
          <w:szCs w:val="20"/>
          <w:color w:val="auto"/>
        </w:rPr>
      </w:pPr>
      <w:r>
        <w:rPr>
          <w:rFonts w:ascii="Arial" w:cs="Arial" w:eastAsia="Arial" w:hAnsi="Arial"/>
          <w:sz w:val="18"/>
          <w:szCs w:val="18"/>
          <w:color w:val="auto"/>
        </w:rPr>
        <w:t>Outstanding borrowings as of July 1, 2023 were $312.0 million, net of discount and debt issuance costs of $8.9 million. In connection with the Term Loan, the Company is subject to various negative, reporting, financial, and other covenants, including maintaining specific liquidity measurements.</w:t>
      </w:r>
    </w:p>
    <w:p>
      <w:pPr>
        <w:spacing w:after="0" w:line="184" w:lineRule="exact"/>
        <w:rPr>
          <w:sz w:val="20"/>
          <w:szCs w:val="20"/>
          <w:color w:val="auto"/>
        </w:rPr>
      </w:pPr>
    </w:p>
    <w:p>
      <w:pPr>
        <w:jc w:val="both"/>
        <w:ind w:right="720" w:firstLine="324"/>
        <w:spacing w:after="0" w:line="342" w:lineRule="auto"/>
        <w:rPr>
          <w:sz w:val="20"/>
          <w:szCs w:val="20"/>
          <w:color w:val="auto"/>
        </w:rPr>
      </w:pPr>
      <w:r>
        <w:rPr>
          <w:rFonts w:ascii="Arial" w:cs="Arial" w:eastAsia="Arial" w:hAnsi="Arial"/>
          <w:sz w:val="16"/>
          <w:szCs w:val="16"/>
          <w:color w:val="auto"/>
        </w:rPr>
        <w:t>As of July 1, 2023, the unamortized debt issuance costs and discount on the Term Loan were $5.0 million and $3.9 million, respectively. The effective interest rate was 10.23% at July 1, 2023, including the impact of the Company’s interest rate swaps.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July 1, 2023, the Company was in compliance with all financial covenants under the 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rate risk associated with the Credit Agreement is mitigated partially through interest rate swaps.</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executed an interest rate swap on April 30, 2020. The swap had an effective date of May 18, 2020 and a termination date of May 18, 2023. In February of 2022, the Company amended its interest rate swap to change the index rate from LIBOR to SOFR in connection with the entry into the Credit Agreement. Under the terms of the amended swap, the Company fixed its SOFR borrowing rate at 0.496% on a notional amount of $200.0 million. The interest rate swap was not designated as a hedging instrument for accounting purposes (see Note 3).</w:t>
      </w:r>
    </w:p>
    <w:p>
      <w:pPr>
        <w:spacing w:after="0" w:line="18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Additionally, the Company entered into an interest rate swap that was executed on March 10, 2023. The swap has an effective date of May 18, 2023 and a termination date of May 18, 2026. Under the terms of the swap, the Company fixed its SOFR borrowing rate at 4.3725% on a notional amount of $161.0 million. The interest rate swap is not designated as a hedging instrument for accounting purposes (see Note 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Maturities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Principal payments due on the outstanding debt, excluding the Revolving Credit Facility, in the next five fiscal years, excluding any potential payments based on excess cash flow levels, are as follows (in thousands):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20"/>
                <w:szCs w:val="20"/>
                <w:color w:val="auto"/>
              </w:rPr>
            </w:pPr>
            <w:r>
              <w:rPr>
                <w:rFonts w:ascii="Arial" w:cs="Arial" w:eastAsia="Arial" w:hAnsi="Arial"/>
                <w:sz w:val="14"/>
                <w:szCs w:val="14"/>
                <w:b w:val="1"/>
                <w:bCs w:val="1"/>
                <w:color w:val="auto"/>
              </w:rPr>
              <w:t>Year Ended</w:t>
            </w:r>
          </w:p>
        </w:tc>
        <w:tc>
          <w:tcPr>
            <w:tcW w:w="30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Term Loan</w:t>
            </w:r>
          </w:p>
        </w:tc>
      </w:tr>
      <w:tr>
        <w:trPr>
          <w:trHeight w:val="209"/>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Remainder of fiscal 2023</w:t>
            </w:r>
          </w:p>
        </w:tc>
        <w:tc>
          <w:tcPr>
            <w:tcW w:w="3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2024</w:t>
            </w:r>
          </w:p>
        </w:tc>
        <w:tc>
          <w:tcPr>
            <w:tcW w:w="3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3,250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2026</w:t>
            </w:r>
          </w:p>
        </w:tc>
        <w:tc>
          <w:tcPr>
            <w:tcW w:w="3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3,250</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3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Thereafter</w:t>
            </w:r>
          </w:p>
        </w:tc>
        <w:tc>
          <w:tcPr>
            <w:tcW w:w="30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306,313</w:t>
            </w:r>
          </w:p>
        </w:tc>
      </w:tr>
      <w:tr>
        <w:trPr>
          <w:trHeight w:val="229"/>
        </w:trPr>
        <w:tc>
          <w:tcPr>
            <w:tcW w:w="4860" w:type="dxa"/>
            <w:vAlign w:val="bottom"/>
            <w:shd w:val="clear" w:color="auto" w:fill="CCEEFF"/>
          </w:tcPr>
          <w:p>
            <w:pPr>
              <w:spacing w:after="0"/>
              <w:rPr>
                <w:sz w:val="19"/>
                <w:szCs w:val="19"/>
                <w:color w:val="auto"/>
              </w:rPr>
            </w:pPr>
          </w:p>
        </w:tc>
        <w:tc>
          <w:tcPr>
            <w:tcW w:w="3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320,938</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The obligations under the Credit Agreement are guaranteed by certain wholly owned subsidiaries (the “Guarantors”) of the Company as defined in the security agreement. The obligations under the Credit Agreement are secured by substantially all of the</w:t>
      </w:r>
    </w:p>
    <w:p>
      <w:pPr>
        <w:sectPr>
          <w:pgSz w:w="11900" w:h="16838" w:orient="portrait"/>
          <w:cols w:equalWidth="0" w:num="1">
            <w:col w:w="9920"/>
          </w:cols>
          <w:pgMar w:left="980" w:top="665"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Guarantors’ tangible and intangible assets, including their accounts receivables, equipment, intellectual property, inventory, cash and cash equivalents, deposit accounts, and security accounts. The Credit Agreement also restricts payments and other distributions unless certain conditions are met, which could restrict the Company’s ability to pay dividends.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PRODUCT WARRANTIES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warranty reserve activity consisted of the following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358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Two Fiscal Quarters Ended</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5720" w:type="dxa"/>
            <w:vAlign w:val="bottom"/>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July 1, 2023</w:t>
            </w:r>
          </w:p>
        </w:tc>
        <w:tc>
          <w:tcPr>
            <w:tcW w:w="5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July 2, 2022</w:t>
            </w:r>
          </w:p>
        </w:tc>
        <w:tc>
          <w:tcPr>
            <w:tcW w:w="5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09"/>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fiscal year</w:t>
            </w:r>
          </w:p>
        </w:tc>
        <w:tc>
          <w:tcPr>
            <w:tcW w:w="1340" w:type="dxa"/>
            <w:vAlign w:val="bottom"/>
            <w:shd w:val="clear" w:color="auto" w:fill="CCEEFF"/>
          </w:tcPr>
          <w:p>
            <w:pPr>
              <w:jc w:val="right"/>
              <w:ind w:right="115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w:t>
            </w:r>
          </w:p>
        </w:tc>
        <w:tc>
          <w:tcPr>
            <w:tcW w:w="1680" w:type="dxa"/>
            <w:vAlign w:val="bottom"/>
            <w:gridSpan w:val="2"/>
            <w:shd w:val="clear" w:color="auto" w:fill="CCEEFF"/>
          </w:tcPr>
          <w:p>
            <w:pPr>
              <w:jc w:val="right"/>
              <w:ind w:right="116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4,909</w:t>
            </w:r>
          </w:p>
        </w:tc>
        <w:tc>
          <w:tcPr>
            <w:tcW w:w="60" w:type="dxa"/>
            <w:vAlign w:val="bottom"/>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Adjustments to reserve</w:t>
            </w:r>
          </w:p>
        </w:tc>
        <w:tc>
          <w:tcPr>
            <w:tcW w:w="1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2,280</w:t>
            </w: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4,110</w:t>
            </w:r>
          </w:p>
        </w:tc>
        <w:tc>
          <w:tcPr>
            <w:tcW w:w="60" w:type="dxa"/>
            <w:vAlign w:val="bottom"/>
          </w:tcPr>
          <w:p>
            <w:pPr>
              <w:spacing w:after="0"/>
              <w:rPr>
                <w:sz w:val="18"/>
                <w:szCs w:val="18"/>
                <w:color w:val="auto"/>
              </w:rPr>
            </w:pPr>
          </w:p>
        </w:tc>
      </w:tr>
      <w:tr>
        <w:trPr>
          <w:trHeight w:val="216"/>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Settlements made (in cash or in kind)</w:t>
            </w:r>
          </w:p>
        </w:tc>
        <w:tc>
          <w:tcPr>
            <w:tcW w:w="13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(2,871)</w:t>
            </w:r>
          </w:p>
        </w:tc>
        <w:tc>
          <w:tcPr>
            <w:tcW w:w="3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(3,534)</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8"/>
                <w:szCs w:val="18"/>
                <w:color w:val="auto"/>
              </w:rPr>
              <w:t>Balance at the end of the fiscal quarter</w:t>
            </w:r>
          </w:p>
        </w:tc>
        <w:tc>
          <w:tcPr>
            <w:tcW w:w="1340" w:type="dxa"/>
            <w:vAlign w:val="bottom"/>
          </w:tcPr>
          <w:p>
            <w:pPr>
              <w:jc w:val="right"/>
              <w:ind w:right="115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3,399</w:t>
            </w:r>
          </w:p>
        </w:tc>
        <w:tc>
          <w:tcPr>
            <w:tcW w:w="1680" w:type="dxa"/>
            <w:vAlign w:val="bottom"/>
            <w:gridSpan w:val="2"/>
          </w:tcPr>
          <w:p>
            <w:pPr>
              <w:jc w:val="right"/>
              <w:ind w:right="116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5,485</w:t>
            </w:r>
          </w:p>
        </w:tc>
        <w:tc>
          <w:tcPr>
            <w:tcW w:w="6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229"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On January 1, 2022, the Company adopted ASU 2016-02, “Leases (Topic 842),” and the related amendments. The optional transition method of adoption was used, in which the cumulative effect of initially applying the new standard to existing leases was $0.3 million to record the operating lease right-of-use assets and the related liabilities as of January 1, 2022. Under this method of adoption, the comparative information has not been revised and continues to be reported under the previously applicable lease accounting guidance.</w:t>
      </w:r>
    </w:p>
    <w:p>
      <w:pPr>
        <w:spacing w:after="0" w:line="157"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For leases with initial terms greater than 12 months, the Company considers these right-of-use assets and records the related asset and obligation at the present value of lease payments over the term. For leases with initial terms equal to or less than 12 months, the Company does not consider them as right-of-use assets and instead considers them short-term lease costs that are recognized on a straight-line basis over the lease term. The Company’s leases may include escalation clauses, renewal options, and/or termination options that are factored into the Company’s determination of lease term and lease payments when it is reasonably certain the option will be exercised. The Company elected to take the practical expedient and not separate lease and non-lease components of contracts. The Company estimates an incremental borrowing rate to discount the lease payments based on information available at lease commencement because the implicit rate of the lease is generally not known.</w:t>
      </w:r>
    </w:p>
    <w:p>
      <w:pPr>
        <w:spacing w:after="0" w:line="17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Company leases manufacturing facilities, office space, land, and certain vehicles and equipment under operating leases. The Company also leases certain vehicles and equipment under finance leases. The Company determines if an arrangement is a lease at inception. A contract is or contains a lease if the contract conveys the right to control the use of an identified asset for a period of time in exchange for consideration.</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components of lease expense for the fiscal quarters ended July 1, 2023 and July 2, 2022 were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Fiscal Quarter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ind w:left="300"/>
              <w:spacing w:after="0"/>
              <w:rPr>
                <w:sz w:val="20"/>
                <w:szCs w:val="20"/>
                <w:color w:val="auto"/>
              </w:rPr>
            </w:pPr>
            <w:r>
              <w:rPr>
                <w:rFonts w:ascii="Arial" w:cs="Arial" w:eastAsia="Arial" w:hAnsi="Arial"/>
                <w:sz w:val="14"/>
                <w:szCs w:val="14"/>
                <w:b w:val="1"/>
                <w:bCs w:val="1"/>
                <w:color w:val="auto"/>
              </w:rPr>
              <w:t>Two Fiscal Quarters Ended</w:t>
            </w:r>
          </w:p>
        </w:tc>
      </w:tr>
      <w:tr>
        <w:trPr>
          <w:trHeight w:val="142"/>
        </w:trPr>
        <w:tc>
          <w:tcPr>
            <w:tcW w:w="20" w:type="dxa"/>
            <w:vAlign w:val="bottom"/>
          </w:tcPr>
          <w:p>
            <w:pPr>
              <w:spacing w:after="0"/>
              <w:rPr>
                <w:sz w:val="12"/>
                <w:szCs w:val="12"/>
                <w:color w:val="auto"/>
              </w:rPr>
            </w:pPr>
          </w:p>
        </w:tc>
        <w:tc>
          <w:tcPr>
            <w:tcW w:w="43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99"/>
              </w:rPr>
              <w:t>July 1, 2023</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9"/>
              </w:rPr>
              <w:t>July 2, 2022</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July 1, 2023</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July 2, 2022</w:t>
            </w:r>
          </w:p>
        </w:tc>
        <w:tc>
          <w:tcPr>
            <w:tcW w:w="1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Finance lease amortization of assets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Finance lease interest on lease liabilities</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Short-term lease expense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Variable lease expense</w:t>
            </w: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Total lease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2,905</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2,511</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5,798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4,850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Operating and finance lease right-of-use assets and lease-related liabilities as of July 1, 2023 and December 31, 2022 were as follows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July 1, 2023</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3"/>
              </w:rPr>
              <w:t>December 31, 2022</w:t>
            </w:r>
          </w:p>
        </w:tc>
        <w:tc>
          <w:tcPr>
            <w:tcW w:w="3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Lease right-of-use assets: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38,308</w:t>
            </w: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lease right-of-use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Finance leases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3,459</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37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right-of-use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38,624</w:t>
            </w:r>
          </w:p>
        </w:tc>
        <w:tc>
          <w:tcPr>
            <w:tcW w:w="37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Lease-related liabilities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100"/>
              <w:spacing w:after="0"/>
              <w:rPr>
                <w:sz w:val="20"/>
                <w:szCs w:val="20"/>
                <w:color w:val="auto"/>
              </w:rPr>
            </w:pPr>
            <w:r>
              <w:rPr>
                <w:rFonts w:ascii="Arial" w:cs="Arial" w:eastAsia="Arial" w:hAnsi="Arial"/>
                <w:sz w:val="18"/>
                <w:szCs w:val="18"/>
                <w:color w:val="auto"/>
              </w:rPr>
              <w:t>Current</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3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operating lease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Finance leases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w:t>
            </w:r>
          </w:p>
        </w:tc>
        <w:tc>
          <w:tcPr>
            <w:tcW w:w="3700" w:type="dxa"/>
            <w:vAlign w:val="bottom"/>
          </w:tcPr>
          <w:p>
            <w:pPr>
              <w:ind w:left="160"/>
              <w:spacing w:after="0"/>
              <w:rPr>
                <w:sz w:val="20"/>
                <w:szCs w:val="20"/>
                <w:color w:val="auto"/>
              </w:rPr>
            </w:pPr>
            <w:r>
              <w:rPr>
                <w:rFonts w:ascii="Arial" w:cs="Arial" w:eastAsia="Arial" w:hAnsi="Arial"/>
                <w:sz w:val="18"/>
                <w:szCs w:val="18"/>
                <w:color w:val="auto"/>
                <w:w w:val="96"/>
              </w:rPr>
              <w:t>Accrued expenses and other current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Non-current</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32,391</w:t>
            </w:r>
          </w:p>
        </w:tc>
        <w:tc>
          <w:tcPr>
            <w:tcW w:w="3700" w:type="dxa"/>
            <w:vAlign w:val="bottom"/>
          </w:tcPr>
          <w:p>
            <w:pPr>
              <w:ind w:left="160"/>
              <w:spacing w:after="0"/>
              <w:rPr>
                <w:sz w:val="20"/>
                <w:szCs w:val="20"/>
                <w:color w:val="auto"/>
              </w:rPr>
            </w:pPr>
            <w:r>
              <w:rPr>
                <w:rFonts w:ascii="Arial" w:cs="Arial" w:eastAsia="Arial" w:hAnsi="Arial"/>
                <w:sz w:val="18"/>
                <w:szCs w:val="18"/>
                <w:color w:val="auto"/>
              </w:rPr>
              <w:t>Non-current operating lease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Finance leases</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3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long-term liabilities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37,950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39,612</w:t>
            </w: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supplemental information related to leases as of July 1, 2023 and December 31, 2022:</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July 1, 2023</w:t>
            </w: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December 31, 2022</w:t>
            </w: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16"/>
        </w:trPr>
        <w:tc>
          <w:tcPr>
            <w:tcW w:w="682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118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Weighted-average discount rate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r>
      <w:tr>
        <w:trPr>
          <w:trHeight w:val="230"/>
        </w:trPr>
        <w:tc>
          <w:tcPr>
            <w:tcW w:w="682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r>
    </w:tbl>
    <w:p>
      <w:pPr>
        <w:spacing w:after="0" w:line="187"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table below presents supplemental information related to the cash flows for operating leases recorded on the condensed consolidated statements of cash flows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ind w:left="340"/>
              <w:spacing w:after="0"/>
              <w:rPr>
                <w:sz w:val="20"/>
                <w:szCs w:val="20"/>
                <w:color w:val="auto"/>
              </w:rPr>
            </w:pPr>
            <w:r>
              <w:rPr>
                <w:rFonts w:ascii="Arial" w:cs="Arial" w:eastAsia="Arial" w:hAnsi="Arial"/>
                <w:sz w:val="14"/>
                <w:szCs w:val="14"/>
                <w:b w:val="1"/>
                <w:bCs w:val="1"/>
                <w:color w:val="auto"/>
              </w:rPr>
              <w:t>Two Fiscal Quarters Ended</w:t>
            </w:r>
          </w:p>
        </w:tc>
      </w:tr>
      <w:tr>
        <w:trPr>
          <w:trHeight w:val="171"/>
        </w:trPr>
        <w:tc>
          <w:tcPr>
            <w:tcW w:w="7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182"/>
              <w:spacing w:after="0"/>
              <w:rPr>
                <w:sz w:val="20"/>
                <w:szCs w:val="20"/>
                <w:color w:val="auto"/>
              </w:rPr>
            </w:pPr>
            <w:r>
              <w:rPr>
                <w:rFonts w:ascii="Arial" w:cs="Arial" w:eastAsia="Arial" w:hAnsi="Arial"/>
                <w:sz w:val="14"/>
                <w:szCs w:val="14"/>
                <w:b w:val="1"/>
                <w:bCs w:val="1"/>
                <w:color w:val="auto"/>
              </w:rPr>
              <w:t>July 1, 2023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2, 2022</w:t>
            </w:r>
          </w:p>
        </w:tc>
      </w:tr>
      <w:tr>
        <w:trPr>
          <w:trHeight w:val="223"/>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30"/>
        </w:trPr>
        <w:tc>
          <w:tcPr>
            <w:tcW w:w="7140" w:type="dxa"/>
            <w:vAlign w:val="bottom"/>
          </w:tcPr>
          <w:p>
            <w:pPr>
              <w:ind w:left="120"/>
              <w:spacing w:after="0"/>
              <w:rPr>
                <w:sz w:val="20"/>
                <w:szCs w:val="20"/>
                <w:color w:val="auto"/>
              </w:rPr>
            </w:pPr>
            <w:r>
              <w:rPr>
                <w:rFonts w:ascii="Arial" w:cs="Arial" w:eastAsia="Arial" w:hAnsi="Arial"/>
                <w:sz w:val="18"/>
                <w:szCs w:val="18"/>
                <w:color w:val="auto"/>
              </w:rPr>
              <w:t>Operating cash flows for operating leases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3,781</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3,526</w:t>
            </w:r>
          </w:p>
        </w:tc>
        <w:tc>
          <w:tcPr>
            <w:tcW w:w="40" w:type="dxa"/>
            <w:vAlign w:val="bottom"/>
          </w:tcPr>
          <w:p>
            <w:pPr>
              <w:spacing w:after="0"/>
              <w:rPr>
                <w:sz w:val="20"/>
                <w:szCs w:val="20"/>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maturities of operating lease liabilities as of July 1, 2023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Operating Leases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Finance Leases</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Total</w:t>
            </w: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Remainder of fiscal 2023</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8,802</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6,390</w:t>
            </w:r>
          </w:p>
        </w:tc>
      </w:tr>
      <w:tr>
        <w:trPr>
          <w:trHeight w:val="243"/>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r>
      <w:tr>
        <w:trPr>
          <w:trHeight w:val="243"/>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11,674</w:t>
            </w:r>
          </w:p>
        </w:tc>
      </w:tr>
      <w:tr>
        <w:trPr>
          <w:trHeight w:val="223"/>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44,340</w:t>
            </w:r>
          </w:p>
        </w:tc>
      </w:tr>
      <w:tr>
        <w:trPr>
          <w:trHeight w:val="243"/>
        </w:trPr>
        <w:tc>
          <w:tcPr>
            <w:tcW w:w="6200" w:type="dxa"/>
            <w:vAlign w:val="bottom"/>
          </w:tcPr>
          <w:p>
            <w:pPr>
              <w:spacing w:after="0"/>
              <w:rPr>
                <w:sz w:val="20"/>
                <w:szCs w:val="20"/>
                <w:color w:val="auto"/>
              </w:rPr>
            </w:pPr>
            <w:r>
              <w:rPr>
                <w:rFonts w:ascii="Arial" w:cs="Arial" w:eastAsia="Arial" w:hAnsi="Arial"/>
                <w:sz w:val="18"/>
                <w:szCs w:val="18"/>
                <w:color w:val="auto"/>
              </w:rPr>
              <w:t>Less: Interest</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w:t>
            </w:r>
          </w:p>
        </w:tc>
      </w:tr>
      <w:tr>
        <w:trPr>
          <w:trHeight w:val="230"/>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Present value of lease liability</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34,420</w:t>
            </w: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37,950</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SALES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Company’s disaggregation of net sales by product line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2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Fiscal Quarter Ended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5"/>
          </w:tcPr>
          <w:p>
            <w:pPr>
              <w:ind w:left="440"/>
              <w:spacing w:after="0"/>
              <w:rPr>
                <w:sz w:val="20"/>
                <w:szCs w:val="20"/>
                <w:color w:val="auto"/>
              </w:rPr>
            </w:pPr>
            <w:r>
              <w:rPr>
                <w:rFonts w:ascii="Arial" w:cs="Arial" w:eastAsia="Arial" w:hAnsi="Arial"/>
                <w:sz w:val="14"/>
                <w:szCs w:val="14"/>
                <w:b w:val="1"/>
                <w:bCs w:val="1"/>
                <w:color w:val="auto"/>
              </w:rPr>
              <w:t>Two Fiscal Quarters Ended</w:t>
            </w:r>
          </w:p>
        </w:tc>
      </w:tr>
      <w:tr>
        <w:trPr>
          <w:trHeight w:val="142"/>
        </w:trPr>
        <w:tc>
          <w:tcPr>
            <w:tcW w:w="37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July 1, 2023</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July 2, 2022</w:t>
            </w:r>
          </w:p>
        </w:tc>
        <w:tc>
          <w:tcPr>
            <w:tcW w:w="2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July 1, 2023</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July 2, 2022</w:t>
            </w:r>
          </w:p>
        </w:tc>
        <w:tc>
          <w:tcPr>
            <w:tcW w:w="40" w:type="dxa"/>
            <w:vAlign w:val="bottom"/>
          </w:tcPr>
          <w:p>
            <w:pPr>
              <w:spacing w:after="0"/>
              <w:rPr>
                <w:sz w:val="12"/>
                <w:szCs w:val="12"/>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In-ground Swimming Pools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90,534</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112,153</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169,146</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223,956</w:t>
            </w:r>
          </w:p>
        </w:tc>
        <w:tc>
          <w:tcPr>
            <w:tcW w:w="4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Covers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28,755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38,389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61,500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70,914</w:t>
            </w:r>
          </w:p>
        </w:tc>
        <w:tc>
          <w:tcPr>
            <w:tcW w:w="40" w:type="dxa"/>
            <w:vAlign w:val="bottom"/>
          </w:tcPr>
          <w:p>
            <w:pPr>
              <w:spacing w:after="0"/>
              <w:rPr>
                <w:sz w:val="18"/>
                <w:szCs w:val="18"/>
                <w:color w:val="auto"/>
              </w:rPr>
            </w:pPr>
          </w:p>
        </w:tc>
      </w:tr>
      <w:tr>
        <w:trPr>
          <w:trHeight w:val="216"/>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Liners</w:t>
            </w: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57,839</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56,258</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84,201</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103,544</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9"/>
        </w:trPr>
        <w:tc>
          <w:tcPr>
            <w:tcW w:w="378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177,128</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206,800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314,847</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398,414</w:t>
            </w:r>
          </w:p>
        </w:tc>
        <w:tc>
          <w:tcPr>
            <w:tcW w:w="40" w:type="dxa"/>
            <w:vAlign w:val="bottom"/>
          </w:tcPr>
          <w:p>
            <w:pPr>
              <w:spacing w:after="0"/>
              <w:rPr>
                <w:sz w:val="18"/>
                <w:szCs w:val="18"/>
                <w:color w:val="auto"/>
              </w:rPr>
            </w:pPr>
          </w:p>
        </w:tc>
      </w:tr>
      <w:tr>
        <w:trPr>
          <w:trHeight w:val="20"/>
        </w:trPr>
        <w:tc>
          <w:tcPr>
            <w:tcW w:w="3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effective income tax rate for the fiscal and two fiscal quarters ended July 1, 2023 was 46.1% and (29.2)%, respectively, compared to 71.9% and 91.8% for the fiscal and two fiscal quarters ended July 2, 2022, respectively. The differences between the U.S. federal statutory income tax rate and the Company’s effective income tax rates for the fiscal quarter ended July 1, 2023 and the fiscal quarter ended July 2, 2022 were primarily attributable to the discrete impacts of stock-based compensation expense for which there is no associated tax benefit.</w:t>
      </w:r>
    </w:p>
    <w:p>
      <w:pPr>
        <w:spacing w:after="0" w:line="18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Inflation Reduction Act ("IRA") is effective beginning in 2023. Key provisions from the IRA include the implementation of a 15% corporate alternative minimum tax for corporations with book income in excess of $1 billion, an excise tax on the fair market value of stock buybacks (offset by the fair market value of stock issued in the same tax year), and significant tax incentives for energy and climate initiatives. Enactment of the new law has not impacted the Company’s financial condition, results of operations or cash flows for the period ended July 1, 2023 and the Company does not expect a material impact on our future results at this time. The Company will continue to monitor any impacts of further guidance on the IRA as released and assess any impacts as applicable.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of Common Stock</w:t>
      </w:r>
    </w:p>
    <w:p>
      <w:pPr>
        <w:spacing w:after="0" w:line="22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On January 11, 2022, the Company completed an offering of 13,800,000 shares of common stock, par value $0.0001 per share, including the exercise in full by the underwriters of their option to purchase up to 1,800,000 additional shares of common stock, at a public offering price of $19.50 per share. The Company received proceeds of $257.7 million from this offering, net of $11.4 million of underwriting fees. The proceeds of $257.7 million were used to purchase 13,800,000 shares of common stock from certain of the Company’s stockholders, primarily investment funds managed by the Sponsor and Wynnchurch Capital, L.P., and also a small percentage of shares of common stock owned by some of the Company’s directors and executive officers.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Program</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On May 10, 2022, the Company approved a stock repurchase program (the “Repurchase Program”), which authorized the Company to repurchase up to $100 million of the Company’s shares of common stock over the next three years. The Company may effect these repurchases in open market transactions, privately negotiated purchases, or other acquisitions. The Company is not obligated to repurchase any of its shares of its common stock under the Repurchase Program and the timing and amount of any repurchases will depend on market conditions, the Company’s stock price, alternative uses of capital, the terms of the Company’s debt instruments, and other factors.</w:t>
      </w:r>
    </w:p>
    <w:p>
      <w:pPr>
        <w:spacing w:after="0" w:line="192"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As of July 1, 2023, approximately $77.0 million remained available for share repurchases pursuant to the Repurchase Program. The Company did not repurchase any shares of its common stock during the fiscal quarter ended July 1, 2023. The Company accounts for the excess of the repurchase price over the par value of shares acquired as a reduction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29"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On April 12, 2021, the Company’s stockholders approved the 2021 Omnibus Equity Incentive Plan (the “2021 Omnibus Equity Plan”), which became effective on April 22, 2021, upon pricing of its initial public offering. The Omnibus Equity Plan provides for the issuance of incentive stock options, non-qualified stock options, stock appreciation rights, restricted stock, restricted stock units, and other stock-based and cash-based awards. The maximum grant date fair value of cash and equity awards that may be awarded to a non-employee director under the Omnibus Equity Plan during any one fiscal year, together with any cash fees paid to such non-employee director during such fiscal year, is $750,000.</w:t>
      </w:r>
    </w:p>
    <w:p>
      <w:pPr>
        <w:spacing w:after="0" w:line="192"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On May 2, 2023, at the 2023 annual meeting of stockholders the Company, the stockholders approved the first amendment (the “First Amendment”) to the Latham Group, Inc. 2021 Omnibus Equity Plan, which was previously approved by the Board of Directors of the Company. The First Amendment became effective upon stockholder approval, and provides for (i) an increase by 8,000,000 shares of the share pool, i.e. the maximum number of shares of the Company’s common stock that may be issued pursuant to awards granted under the 2021 Omnibus Equity Plan, (ii) a prohibition on recycling of shares withheld or remitted to pay taxes for all awards, (iii) a minimum vesting period of one year for all awards, with an exception for shares representing 5% of the share pool, and (iv) a prohibition on the transfer of stock options and stock appreciation rights for value or to third-party financial institutions without stockholder approval.</w:t>
      </w:r>
    </w:p>
    <w:p>
      <w:pPr>
        <w:spacing w:after="0" w:line="166"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Except as amended by the First Amendment, the other terms of the 2021 Omnibus Equity Plan remain in full force and effect. Subsequent to the First Amendment, the maximum aggregate number of shares reserved for issuance under the Omnibus Equity Plan is 21,170,212 shares.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stock-based compensation expense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275"/>
              <w:spacing w:after="0"/>
              <w:rPr>
                <w:sz w:val="20"/>
                <w:szCs w:val="20"/>
                <w:color w:val="auto"/>
              </w:rPr>
            </w:pPr>
            <w:r>
              <w:rPr>
                <w:rFonts w:ascii="Arial" w:cs="Arial" w:eastAsia="Arial" w:hAnsi="Arial"/>
                <w:sz w:val="14"/>
                <w:szCs w:val="14"/>
                <w:b w:val="1"/>
                <w:bCs w:val="1"/>
                <w:color w:val="auto"/>
              </w:rPr>
              <w:t>Fiscal Quarter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ind w:left="80"/>
              <w:spacing w:after="0"/>
              <w:rPr>
                <w:sz w:val="20"/>
                <w:szCs w:val="20"/>
                <w:color w:val="auto"/>
              </w:rPr>
            </w:pPr>
            <w:r>
              <w:rPr>
                <w:rFonts w:ascii="Arial" w:cs="Arial" w:eastAsia="Arial" w:hAnsi="Arial"/>
                <w:sz w:val="14"/>
                <w:szCs w:val="14"/>
                <w:b w:val="1"/>
                <w:bCs w:val="1"/>
                <w:color w:val="auto"/>
              </w:rPr>
              <w:t>Two Fiscal Quarters Ended</w:t>
            </w:r>
          </w:p>
        </w:tc>
      </w:tr>
      <w:tr>
        <w:trPr>
          <w:trHeight w:val="155"/>
        </w:trPr>
        <w:tc>
          <w:tcPr>
            <w:tcW w:w="3980" w:type="dxa"/>
            <w:vAlign w:val="bottom"/>
            <w:tcBorders>
              <w:bottom w:val="single" w:sz="8" w:color="CCEEFF"/>
            </w:tcBorders>
          </w:tcPr>
          <w:p>
            <w:pPr>
              <w:spacing w:after="0"/>
              <w:rPr>
                <w:sz w:val="13"/>
                <w:szCs w:val="13"/>
                <w:color w:val="auto"/>
              </w:rPr>
            </w:pPr>
          </w:p>
        </w:tc>
        <w:tc>
          <w:tcPr>
            <w:tcW w:w="14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7"/>
              <w:spacing w:after="0" w:line="155" w:lineRule="exact"/>
              <w:rPr>
                <w:sz w:val="20"/>
                <w:szCs w:val="20"/>
                <w:color w:val="auto"/>
              </w:rPr>
            </w:pPr>
            <w:r>
              <w:rPr>
                <w:rFonts w:ascii="Arial" w:cs="Arial" w:eastAsia="Arial" w:hAnsi="Arial"/>
                <w:sz w:val="14"/>
                <w:szCs w:val="14"/>
                <w:b w:val="1"/>
                <w:bCs w:val="1"/>
                <w:color w:val="auto"/>
                <w:w w:val="91"/>
              </w:rPr>
              <w:t>July 1, 2023</w:t>
            </w:r>
          </w:p>
        </w:tc>
        <w:tc>
          <w:tcPr>
            <w:tcW w:w="1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5"/>
              <w:spacing w:after="0" w:line="155" w:lineRule="exact"/>
              <w:rPr>
                <w:sz w:val="20"/>
                <w:szCs w:val="20"/>
                <w:color w:val="auto"/>
              </w:rPr>
            </w:pPr>
            <w:r>
              <w:rPr>
                <w:rFonts w:ascii="Arial" w:cs="Arial" w:eastAsia="Arial" w:hAnsi="Arial"/>
                <w:sz w:val="14"/>
                <w:szCs w:val="14"/>
                <w:b w:val="1"/>
                <w:bCs w:val="1"/>
                <w:color w:val="auto"/>
                <w:w w:val="91"/>
              </w:rPr>
              <w:t>July 2, 2022</w:t>
            </w:r>
          </w:p>
        </w:tc>
        <w:tc>
          <w:tcPr>
            <w:tcW w:w="1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7"/>
              <w:spacing w:after="0" w:line="155" w:lineRule="exact"/>
              <w:rPr>
                <w:sz w:val="20"/>
                <w:szCs w:val="20"/>
                <w:color w:val="auto"/>
              </w:rPr>
            </w:pPr>
            <w:r>
              <w:rPr>
                <w:rFonts w:ascii="Arial" w:cs="Arial" w:eastAsia="Arial" w:hAnsi="Arial"/>
                <w:sz w:val="14"/>
                <w:szCs w:val="14"/>
                <w:b w:val="1"/>
                <w:bCs w:val="1"/>
                <w:color w:val="auto"/>
                <w:w w:val="91"/>
              </w:rPr>
              <w:t>July 1, 2023</w:t>
            </w:r>
          </w:p>
        </w:tc>
        <w:tc>
          <w:tcPr>
            <w:tcW w:w="1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5"/>
              <w:spacing w:after="0" w:line="155" w:lineRule="exact"/>
              <w:rPr>
                <w:sz w:val="20"/>
                <w:szCs w:val="20"/>
                <w:color w:val="auto"/>
              </w:rPr>
            </w:pPr>
            <w:r>
              <w:rPr>
                <w:rFonts w:ascii="Arial" w:cs="Arial" w:eastAsia="Arial" w:hAnsi="Arial"/>
                <w:sz w:val="14"/>
                <w:szCs w:val="14"/>
                <w:b w:val="1"/>
                <w:bCs w:val="1"/>
                <w:color w:val="auto"/>
                <w:w w:val="91"/>
              </w:rPr>
              <w:t>July 2, 2022</w:t>
            </w:r>
          </w:p>
        </w:tc>
        <w:tc>
          <w:tcPr>
            <w:tcW w:w="280" w:type="dxa"/>
            <w:vAlign w:val="bottom"/>
            <w:tcBorders>
              <w:bottom w:val="single" w:sz="8" w:color="CCEEFF"/>
            </w:tcBorders>
          </w:tcPr>
          <w:p>
            <w:pPr>
              <w:spacing w:after="0"/>
              <w:rPr>
                <w:sz w:val="13"/>
                <w:szCs w:val="13"/>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w:t>
            </w:r>
          </w:p>
        </w:tc>
        <w:tc>
          <w:tcPr>
            <w:tcW w:w="280" w:type="dxa"/>
            <w:vAlign w:val="bottom"/>
            <w:shd w:val="clear" w:color="auto" w:fill="CCEEFF"/>
          </w:tcPr>
          <w:p>
            <w:pPr>
              <w:spacing w:after="0"/>
              <w:rPr>
                <w:sz w:val="18"/>
                <w:szCs w:val="18"/>
                <w:color w:val="auto"/>
              </w:rPr>
            </w:pPr>
          </w:p>
        </w:tc>
      </w:tr>
      <w:tr>
        <w:trPr>
          <w:trHeight w:val="216"/>
        </w:trPr>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1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31,038</w:t>
            </w:r>
          </w:p>
        </w:tc>
        <w:tc>
          <w:tcPr>
            <w:tcW w:w="280" w:type="dxa"/>
            <w:vAlign w:val="bottom"/>
            <w:tcBorders>
              <w:bottom w:val="single" w:sz="8" w:color="CCEEFF"/>
            </w:tcBorders>
          </w:tcPr>
          <w:p>
            <w:pPr>
              <w:spacing w:after="0"/>
              <w:rPr>
                <w:sz w:val="18"/>
                <w:szCs w:val="18"/>
                <w:color w:val="auto"/>
              </w:rPr>
            </w:pPr>
          </w:p>
        </w:tc>
      </w:tr>
      <w:tr>
        <w:trPr>
          <w:trHeight w:val="210"/>
        </w:trPr>
        <w:tc>
          <w:tcPr>
            <w:tcW w:w="398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33,354</w:t>
            </w:r>
          </w:p>
        </w:tc>
        <w:tc>
          <w:tcPr>
            <w:tcW w:w="280" w:type="dxa"/>
            <w:vAlign w:val="bottom"/>
            <w:tcBorders>
              <w:bottom w:val="single" w:sz="8" w:color="CCEEFF"/>
            </w:tcBorders>
            <w:shd w:val="clear" w:color="auto" w:fill="CCEEFF"/>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As of July 1, 2023, total unrecognized stock-based compensation expense related to all unvested stock-based awards was $14.4 million, which is expected to be recognized over a weighted-average period of 1.5 years.</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sets forth the significant assumptions used in the Black-Scholes option-pricing model on a weighted-average basis to determine the fair value of stock option awards granted: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Two Fiscal Quarters Ended</w:t>
            </w:r>
          </w:p>
        </w:tc>
        <w:tc>
          <w:tcPr>
            <w:tcW w:w="180" w:type="dxa"/>
            <w:vAlign w:val="bottom"/>
            <w:tcBorders>
              <w:bottom w:val="single" w:sz="8" w:color="auto"/>
            </w:tcBorders>
          </w:tcPr>
          <w:p>
            <w:pPr>
              <w:spacing w:after="0"/>
              <w:rPr>
                <w:sz w:val="14"/>
                <w:szCs w:val="14"/>
                <w:color w:val="auto"/>
              </w:rPr>
            </w:pPr>
          </w:p>
        </w:tc>
      </w:tr>
      <w:tr>
        <w:trPr>
          <w:trHeight w:val="142"/>
        </w:trPr>
        <w:tc>
          <w:tcPr>
            <w:tcW w:w="7840" w:type="dxa"/>
            <w:vAlign w:val="bottom"/>
          </w:tcPr>
          <w:p>
            <w:pPr>
              <w:spacing w:after="0"/>
              <w:rPr>
                <w:sz w:val="12"/>
                <w:szCs w:val="12"/>
                <w:color w:val="auto"/>
              </w:rPr>
            </w:pPr>
          </w:p>
        </w:tc>
        <w:tc>
          <w:tcPr>
            <w:tcW w:w="190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July 2, 2022</w:t>
            </w:r>
          </w:p>
        </w:tc>
        <w:tc>
          <w:tcPr>
            <w:tcW w:w="180" w:type="dxa"/>
            <w:vAlign w:val="bottom"/>
            <w:tcBorders>
              <w:bottom w:val="single" w:sz="8" w:color="auto"/>
            </w:tcBorders>
          </w:tcPr>
          <w:p>
            <w:pPr>
              <w:spacing w:after="0"/>
              <w:rPr>
                <w:sz w:val="12"/>
                <w:szCs w:val="12"/>
                <w:color w:val="auto"/>
              </w:rPr>
            </w:pPr>
          </w:p>
        </w:tc>
      </w:tr>
      <w:tr>
        <w:trPr>
          <w:trHeight w:val="209"/>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840" w:type="dxa"/>
            <w:vAlign w:val="bottom"/>
          </w:tcPr>
          <w:p>
            <w:pPr>
              <w:spacing w:after="0"/>
              <w:rPr>
                <w:sz w:val="20"/>
                <w:szCs w:val="20"/>
                <w:color w:val="auto"/>
              </w:rPr>
            </w:pPr>
            <w:r>
              <w:rPr>
                <w:rFonts w:ascii="Arial" w:cs="Arial" w:eastAsia="Arial" w:hAnsi="Arial"/>
                <w:sz w:val="18"/>
                <w:szCs w:val="18"/>
                <w:color w:val="auto"/>
              </w:rPr>
              <w:t>Expected volatility</w:t>
            </w:r>
          </w:p>
        </w:tc>
        <w:tc>
          <w:tcPr>
            <w:tcW w:w="1900" w:type="dxa"/>
            <w:vAlign w:val="bottom"/>
          </w:tcPr>
          <w:p>
            <w:pPr>
              <w:jc w:val="right"/>
              <w:spacing w:after="0"/>
              <w:rPr>
                <w:sz w:val="20"/>
                <w:szCs w:val="20"/>
                <w:color w:val="auto"/>
              </w:rPr>
            </w:pPr>
            <w:r>
              <w:rPr>
                <w:rFonts w:ascii="Arial" w:cs="Arial" w:eastAsia="Arial" w:hAnsi="Arial"/>
                <w:sz w:val="18"/>
                <w:szCs w:val="18"/>
                <w:color w:val="auto"/>
              </w:rPr>
              <w:t>39.77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CEEFF"/>
          </w:tcPr>
          <w:p>
            <w:pPr>
              <w:spacing w:after="0"/>
              <w:rPr>
                <w:sz w:val="18"/>
                <w:szCs w:val="18"/>
                <w:color w:val="auto"/>
              </w:rPr>
            </w:pPr>
          </w:p>
        </w:tc>
      </w:tr>
      <w:tr>
        <w:trPr>
          <w:trHeight w:val="230"/>
        </w:trPr>
        <w:tc>
          <w:tcPr>
            <w:tcW w:w="78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900" w:type="dxa"/>
            <w:vAlign w:val="bottom"/>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stock options were granted under this plan during the fiscal quarter ended July 1, 2023.</w:t>
      </w:r>
    </w:p>
    <w:p>
      <w:pPr>
        <w:spacing w:after="0" w:line="225"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The following table sets forth the significant assumptions used in the Black-Scholes option-pricing model on a weighted-average basis to determine the fair value of stock appreciation rights awards granted:</w:t>
      </w: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Two Fiscal Quarters Ended</w:t>
            </w:r>
          </w:p>
        </w:tc>
        <w:tc>
          <w:tcPr>
            <w:tcW w:w="180" w:type="dxa"/>
            <w:vAlign w:val="bottom"/>
            <w:tcBorders>
              <w:bottom w:val="single" w:sz="8" w:color="auto"/>
            </w:tcBorders>
          </w:tcPr>
          <w:p>
            <w:pPr>
              <w:spacing w:after="0"/>
              <w:rPr>
                <w:sz w:val="14"/>
                <w:szCs w:val="14"/>
                <w:color w:val="auto"/>
              </w:rPr>
            </w:pPr>
          </w:p>
        </w:tc>
      </w:tr>
      <w:tr>
        <w:trPr>
          <w:trHeight w:val="142"/>
        </w:trPr>
        <w:tc>
          <w:tcPr>
            <w:tcW w:w="3320" w:type="dxa"/>
            <w:vAlign w:val="bottom"/>
            <w:tcBorders>
              <w:bottom w:val="single" w:sz="8" w:color="CCEEFF"/>
            </w:tcBorders>
          </w:tcPr>
          <w:p>
            <w:pPr>
              <w:spacing w:after="0"/>
              <w:rPr>
                <w:sz w:val="12"/>
                <w:szCs w:val="12"/>
                <w:color w:val="auto"/>
              </w:rPr>
            </w:pPr>
          </w:p>
        </w:tc>
        <w:tc>
          <w:tcPr>
            <w:tcW w:w="4520" w:type="dxa"/>
            <w:vAlign w:val="bottom"/>
            <w:tcBorders>
              <w:bottom w:val="single" w:sz="8" w:color="CCEEFF"/>
            </w:tcBorders>
          </w:tcPr>
          <w:p>
            <w:pPr>
              <w:spacing w:after="0"/>
              <w:rPr>
                <w:sz w:val="12"/>
                <w:szCs w:val="12"/>
                <w:color w:val="auto"/>
              </w:rPr>
            </w:pPr>
          </w:p>
        </w:tc>
        <w:tc>
          <w:tcPr>
            <w:tcW w:w="1900" w:type="dxa"/>
            <w:vAlign w:val="bottom"/>
            <w:tcBorders>
              <w:bottom w:val="single" w:sz="8" w:color="auto"/>
            </w:tcBorders>
          </w:tcPr>
          <w:p>
            <w:pPr>
              <w:jc w:val="right"/>
              <w:ind w:right="322"/>
              <w:spacing w:after="0" w:line="142" w:lineRule="exact"/>
              <w:rPr>
                <w:sz w:val="20"/>
                <w:szCs w:val="20"/>
                <w:color w:val="auto"/>
              </w:rPr>
            </w:pPr>
            <w:r>
              <w:rPr>
                <w:rFonts w:ascii="Arial" w:cs="Arial" w:eastAsia="Arial" w:hAnsi="Arial"/>
                <w:sz w:val="14"/>
                <w:szCs w:val="14"/>
                <w:b w:val="1"/>
                <w:bCs w:val="1"/>
                <w:color w:val="auto"/>
              </w:rPr>
              <w:t>July 1, 2023</w:t>
            </w:r>
          </w:p>
        </w:tc>
        <w:tc>
          <w:tcPr>
            <w:tcW w:w="180" w:type="dxa"/>
            <w:vAlign w:val="bottom"/>
            <w:tcBorders>
              <w:bottom w:val="single" w:sz="8" w:color="auto"/>
            </w:tcBorders>
          </w:tcPr>
          <w:p>
            <w:pPr>
              <w:spacing w:after="0"/>
              <w:rPr>
                <w:sz w:val="12"/>
                <w:szCs w:val="12"/>
                <w:color w:val="auto"/>
              </w:rPr>
            </w:pPr>
          </w:p>
        </w:tc>
      </w:tr>
      <w:tr>
        <w:trPr>
          <w:trHeight w:val="209"/>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52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Expected volatility</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40.29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6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CEEFF"/>
          </w:tcPr>
          <w:p>
            <w:pPr>
              <w:spacing w:after="0"/>
              <w:rPr>
                <w:sz w:val="18"/>
                <w:szCs w:val="18"/>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42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634"/>
        </w:trPr>
        <w:tc>
          <w:tcPr>
            <w:tcW w:w="3320" w:type="dxa"/>
            <w:vAlign w:val="bottom"/>
          </w:tcPr>
          <w:p>
            <w:pPr>
              <w:spacing w:after="0"/>
              <w:rPr>
                <w:sz w:val="24"/>
                <w:szCs w:val="24"/>
                <w:color w:val="auto"/>
              </w:rPr>
            </w:pPr>
          </w:p>
        </w:tc>
        <w:tc>
          <w:tcPr>
            <w:tcW w:w="4520" w:type="dxa"/>
            <w:vAlign w:val="bottom"/>
          </w:tcPr>
          <w:p>
            <w:pPr>
              <w:jc w:val="right"/>
              <w:ind w:right="2690"/>
              <w:spacing w:after="0"/>
              <w:rPr>
                <w:sz w:val="20"/>
                <w:szCs w:val="20"/>
                <w:color w:val="auto"/>
              </w:rPr>
            </w:pPr>
            <w:r>
              <w:rPr>
                <w:rFonts w:ascii="Arial" w:cs="Arial" w:eastAsia="Arial" w:hAnsi="Arial"/>
                <w:sz w:val="18"/>
                <w:szCs w:val="18"/>
                <w:color w:val="auto"/>
              </w:rPr>
              <w:t>19</w:t>
            </w: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560"/>
        </w:trPr>
        <w:tc>
          <w:tcPr>
            <w:tcW w:w="33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represents the Company’s restricted stock awards activity during the two fiscal quarters ended July 1, 2023: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21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10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85"/>
        </w:trPr>
        <w:tc>
          <w:tcPr>
            <w:tcW w:w="74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2,576,219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(1,239,520)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(54,271)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09"/>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July 1, 2023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1,282,428</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represents the Company’s restricted stock units activity during the two fiscal quarters ended July 1, 2023: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21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400" w:type="dxa"/>
            <w:vAlign w:val="bottom"/>
          </w:tcPr>
          <w:p>
            <w:pPr>
              <w:spacing w:after="0"/>
              <w:rPr>
                <w:sz w:val="12"/>
                <w:szCs w:val="12"/>
                <w:color w:val="auto"/>
              </w:rPr>
            </w:pPr>
          </w:p>
        </w:tc>
        <w:tc>
          <w:tcPr>
            <w:tcW w:w="10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94"/>
              </w:rPr>
              <w:t>Average Grant-</w:t>
            </w:r>
          </w:p>
        </w:tc>
        <w:tc>
          <w:tcPr>
            <w:tcW w:w="0" w:type="dxa"/>
            <w:vAlign w:val="bottom"/>
          </w:tcPr>
          <w:p>
            <w:pPr>
              <w:spacing w:after="0"/>
              <w:rPr>
                <w:sz w:val="1"/>
                <w:szCs w:val="1"/>
                <w:color w:val="auto"/>
              </w:rPr>
            </w:pPr>
          </w:p>
        </w:tc>
      </w:tr>
      <w:tr>
        <w:trPr>
          <w:trHeight w:val="171"/>
        </w:trPr>
        <w:tc>
          <w:tcPr>
            <w:tcW w:w="740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09"/>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617,941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2,018,828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(121,052)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16"/>
        </w:trPr>
        <w:tc>
          <w:tcPr>
            <w:tcW w:w="7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(111,084)</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0"/>
        </w:trPr>
        <w:tc>
          <w:tcPr>
            <w:tcW w:w="7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July 1, 2023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2,404,633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the Company’s stock option activity during the two fiscal quarters ended July 1, 2023: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5"/>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95"/>
              <w:spacing w:after="0" w:line="149" w:lineRule="exact"/>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9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75"/>
              <w:spacing w:after="0"/>
              <w:rPr>
                <w:sz w:val="20"/>
                <w:szCs w:val="20"/>
                <w:color w:val="auto"/>
              </w:rPr>
            </w:pPr>
            <w:r>
              <w:rPr>
                <w:rFonts w:ascii="Arial" w:cs="Arial" w:eastAsia="Arial" w:hAnsi="Arial"/>
                <w:sz w:val="14"/>
                <w:szCs w:val="14"/>
                <w:b w:val="1"/>
                <w:bCs w:val="1"/>
                <w:color w:val="auto"/>
                <w:w w:val="95"/>
              </w:rPr>
              <w:t>per Share</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Contract Term</w:t>
            </w:r>
          </w:p>
        </w:tc>
        <w:tc>
          <w:tcPr>
            <w:tcW w:w="1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2"/>
                <w:szCs w:val="12"/>
                <w:color w:val="auto"/>
              </w:rPr>
            </w:pPr>
          </w:p>
        </w:tc>
        <w:tc>
          <w:tcPr>
            <w:tcW w:w="9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1,914,670</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Forfeited</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(198,894)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8.51</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July 1,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1,715,776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8.31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Vested and expected to vest at July 1, 2023</w:t>
            </w: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72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1,715,776</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15.58</w:t>
            </w:r>
          </w:p>
        </w:tc>
        <w:tc>
          <w:tcPr>
            <w:tcW w:w="160" w:type="dxa"/>
            <w:vAlign w:val="bottom"/>
            <w:tcBorders>
              <w:bottom w:val="single" w:sz="8" w:color="CCEEFF"/>
            </w:tcBorders>
            <w:vMerge w:val="continue"/>
          </w:tcPr>
          <w:p>
            <w:pPr>
              <w:spacing w:after="0"/>
              <w:rPr>
                <w:sz w:val="20"/>
                <w:szCs w:val="20"/>
                <w:color w:val="auto"/>
              </w:rPr>
            </w:pPr>
          </w:p>
        </w:tc>
        <w:tc>
          <w:tcPr>
            <w:tcW w:w="960" w:type="dxa"/>
            <w:vAlign w:val="bottom"/>
            <w:tcBorders>
              <w:bottom w:val="single" w:sz="8" w:color="auto"/>
            </w:tcBorders>
          </w:tcPr>
          <w:p>
            <w:pPr>
              <w:jc w:val="right"/>
              <w:ind w:right="1"/>
              <w:spacing w:after="0" w:line="196" w:lineRule="exact"/>
              <w:rPr>
                <w:sz w:val="20"/>
                <w:szCs w:val="20"/>
                <w:color w:val="auto"/>
              </w:rPr>
            </w:pPr>
            <w:r>
              <w:rPr>
                <w:rFonts w:ascii="Arial" w:cs="Arial" w:eastAsia="Arial" w:hAnsi="Arial"/>
                <w:sz w:val="18"/>
                <w:szCs w:val="18"/>
                <w:color w:val="auto"/>
              </w:rPr>
              <w:t>8.31</w:t>
            </w:r>
          </w:p>
        </w:tc>
        <w:tc>
          <w:tcPr>
            <w:tcW w:w="16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6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57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Options exercisable at July 1, 2023</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546,107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17.58</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
              <w:spacing w:after="0" w:line="196" w:lineRule="exact"/>
              <w:rPr>
                <w:sz w:val="20"/>
                <w:szCs w:val="20"/>
                <w:color w:val="auto"/>
              </w:rPr>
            </w:pPr>
            <w:r>
              <w:rPr>
                <w:rFonts w:ascii="Arial" w:cs="Arial" w:eastAsia="Arial" w:hAnsi="Arial"/>
                <w:sz w:val="18"/>
                <w:szCs w:val="18"/>
                <w:color w:val="auto"/>
              </w:rPr>
              <w:t>7.92</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ind w:left="620"/>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r>
        <w:rPr>
          <w:rFonts w:ascii="Arial" w:cs="Arial" w:eastAsia="Arial" w:hAnsi="Arial"/>
          <w:sz w:val="10"/>
          <w:szCs w:val="10"/>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22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During the fiscal quarter ended April 1, 2023, as a portion of the annual equity award grants to the Company’s executive officers, the Compensation Committee of the Board of Directors approved stock appreciation rights for an aggregate of 790,181 shares of the Company’s common stock, with a strike price of $3.24 per share (the “Contingent Grants”). At the time of such approval, the Company did not have enough shares of the Company’s common stock in the share pool under the Omnibus Equity Plan to support such grant. As of April 1, 2023, the Contingent Grants remained subject to stockholder approval of the First Amendment. On May 2,</w:t>
      </w:r>
    </w:p>
    <w:p>
      <w:pPr>
        <w:sectPr>
          <w:pgSz w:w="11900" w:h="16838" w:orient="portrait"/>
          <w:cols w:equalWidth="0" w:num="1">
            <w:col w:w="9920"/>
          </w:cols>
          <w:pgMar w:left="980" w:top="665"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2023, following stockholder approval of the First Amendment, the foregoing stock appreciation right awards became effective without condition.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represents the Company’s stock appreciation rights activity during the two fiscal quarters ended July 1, 2023:</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5"/>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ind w:right="95"/>
              <w:spacing w:after="0" w:line="149" w:lineRule="exact"/>
              <w:rPr>
                <w:sz w:val="20"/>
                <w:szCs w:val="20"/>
                <w:color w:val="auto"/>
              </w:rPr>
            </w:pPr>
            <w:r>
              <w:rPr>
                <w:rFonts w:ascii="Arial" w:cs="Arial" w:eastAsia="Arial" w:hAnsi="Arial"/>
                <w:sz w:val="14"/>
                <w:szCs w:val="14"/>
                <w:b w:val="1"/>
                <w:bCs w:val="1"/>
                <w:color w:val="auto"/>
              </w:rPr>
              <w:t>Average</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5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Exercise Price</w:t>
            </w:r>
          </w:p>
        </w:tc>
        <w:tc>
          <w:tcPr>
            <w:tcW w:w="1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5"/>
              </w:rPr>
              <w:t>per Share</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Contract Term</w:t>
            </w:r>
          </w:p>
        </w:tc>
        <w:tc>
          <w:tcPr>
            <w:tcW w:w="160" w:type="dxa"/>
            <w:vAlign w:val="bottom"/>
          </w:tcPr>
          <w:p>
            <w:pPr>
              <w:spacing w:after="0"/>
              <w:rPr>
                <w:sz w:val="14"/>
                <w:szCs w:val="14"/>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2"/>
                <w:szCs w:val="12"/>
                <w:color w:val="auto"/>
              </w:rPr>
            </w:pPr>
          </w:p>
        </w:tc>
        <w:tc>
          <w:tcPr>
            <w:tcW w:w="9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790,181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July 1, 2023</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790,181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Vested and expected to vest at July 1, 2023</w:t>
            </w: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vMerge w:val="continue"/>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790,181</w:t>
            </w:r>
          </w:p>
        </w:tc>
        <w:tc>
          <w:tcPr>
            <w:tcW w:w="16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3.24</w:t>
            </w:r>
          </w:p>
        </w:tc>
        <w:tc>
          <w:tcPr>
            <w:tcW w:w="160" w:type="dxa"/>
            <w:vAlign w:val="bottom"/>
            <w:vMerge w:val="continue"/>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9.84</w:t>
            </w:r>
          </w:p>
        </w:tc>
        <w:tc>
          <w:tcPr>
            <w:tcW w:w="1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Stock appreciation rights exercisable at July 1, 2023</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aggregate intrinsic value of stock appreciation rights is calculated as the difference between the strike price of the stock appreciation rights and the fair value of the Company’s common stock for those stock appreciation rights that had strike prices lower than the fair value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(LOSS) PER SHARE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right"/>
              <w:ind w:right="613"/>
              <w:spacing w:after="0"/>
              <w:rPr>
                <w:sz w:val="20"/>
                <w:szCs w:val="20"/>
                <w:color w:val="auto"/>
              </w:rPr>
            </w:pPr>
            <w:r>
              <w:rPr>
                <w:rFonts w:ascii="Arial" w:cs="Arial" w:eastAsia="Arial" w:hAnsi="Arial"/>
                <w:sz w:val="14"/>
                <w:szCs w:val="14"/>
                <w:b w:val="1"/>
                <w:bCs w:val="1"/>
                <w:color w:val="auto"/>
              </w:rPr>
              <w:t>Fiscal Quarter Ended</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Two Fiscal Quarters Ended</w:t>
            </w:r>
          </w:p>
        </w:tc>
      </w:tr>
      <w:tr>
        <w:trPr>
          <w:trHeight w:val="155"/>
        </w:trPr>
        <w:tc>
          <w:tcPr>
            <w:tcW w:w="3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w w:val="99"/>
              </w:rPr>
              <w:t>July 1, 2023</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July 2, 2022</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w w:val="99"/>
              </w:rPr>
              <w:t>July 1, 2023</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July 2, 2022</w:t>
            </w: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2"/>
        </w:trPr>
        <w:tc>
          <w:tcPr>
            <w:tcW w:w="3980" w:type="dxa"/>
            <w:vAlign w:val="bottom"/>
          </w:tcPr>
          <w:p>
            <w:pPr>
              <w:ind w:left="120"/>
              <w:spacing w:after="0" w:line="201" w:lineRule="exact"/>
              <w:rPr>
                <w:sz w:val="20"/>
                <w:szCs w:val="20"/>
                <w:color w:val="auto"/>
              </w:rPr>
            </w:pPr>
            <w:r>
              <w:rPr>
                <w:rFonts w:ascii="Arial" w:cs="Arial" w:eastAsia="Arial" w:hAnsi="Arial"/>
                <w:sz w:val="18"/>
                <w:szCs w:val="18"/>
                <w:color w:val="auto"/>
              </w:rPr>
              <w:t>Net income (loss) attributable to common</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0"/>
        </w:trPr>
        <w:tc>
          <w:tcPr>
            <w:tcW w:w="3980" w:type="dxa"/>
            <w:vAlign w:val="bottom"/>
          </w:tcPr>
          <w:p>
            <w:pPr>
              <w:ind w:left="120"/>
              <w:spacing w:after="0"/>
              <w:rPr>
                <w:sz w:val="20"/>
                <w:szCs w:val="20"/>
                <w:color w:val="auto"/>
              </w:rPr>
            </w:pPr>
            <w:r>
              <w:rPr>
                <w:rFonts w:ascii="Arial" w:cs="Arial" w:eastAsia="Arial" w:hAnsi="Arial"/>
                <w:sz w:val="18"/>
                <w:szCs w:val="18"/>
                <w:color w:val="auto"/>
              </w:rPr>
              <w:t>stockholders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5,715</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4,303</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(8,653)</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1,463</w:t>
            </w: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8"/>
                <w:szCs w:val="18"/>
                <w:color w:val="auto"/>
              </w:rPr>
              <w:t>Weighted-average common shares outstanding</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112,248,822</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113,692,160</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112,175,510</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113,695,354</w:t>
            </w:r>
          </w:p>
        </w:tc>
      </w:tr>
      <w:tr>
        <w:trPr>
          <w:trHeight w:val="210"/>
        </w:trPr>
        <w:tc>
          <w:tcPr>
            <w:tcW w:w="3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112,692,543</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115,384,273</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112,175,510</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115,698,368</w:t>
            </w:r>
          </w:p>
        </w:tc>
      </w:tr>
      <w:tr>
        <w:trPr>
          <w:trHeight w:val="182"/>
        </w:trPr>
        <w:tc>
          <w:tcPr>
            <w:tcW w:w="398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w w:val="93"/>
              </w:rPr>
              <w:t>Net income (loss) per share attributable to common</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0"/>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stockholders:</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16"/>
        </w:trPr>
        <w:tc>
          <w:tcPr>
            <w:tcW w:w="3980" w:type="dxa"/>
            <w:vAlign w:val="bottom"/>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0.05</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0.04</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(0.08)</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0.01</w:t>
            </w:r>
          </w:p>
        </w:tc>
      </w:tr>
      <w:tr>
        <w:trPr>
          <w:trHeight w:val="20"/>
        </w:trPr>
        <w:tc>
          <w:tcPr>
            <w:tcW w:w="3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210"/>
        </w:trPr>
        <w:tc>
          <w:tcPr>
            <w:tcW w:w="3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0.01</w:t>
            </w:r>
          </w:p>
        </w:tc>
      </w:tr>
      <w:tr>
        <w:trPr>
          <w:trHeight w:val="20"/>
        </w:trPr>
        <w:tc>
          <w:tcPr>
            <w:tcW w:w="39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As of July 1, 2023 and December 31, 2022, 113,452,328 and 112,091,756 shares of common stock were issued and outstanding for accounting purposes, respectively.</w:t>
      </w:r>
    </w:p>
    <w:p>
      <w:pPr>
        <w:spacing w:after="0" w:line="17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includes the number of shares that may be dilutive common shares in the future that were not included in the computation of diluted net income (loss) per share because the effect was anti-dilutive: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270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Fiscal Quarter Ended</w:t>
            </w:r>
          </w:p>
        </w:tc>
        <w:tc>
          <w:tcPr>
            <w:tcW w:w="220" w:type="dxa"/>
            <w:vAlign w:val="bottom"/>
          </w:tcPr>
          <w:p>
            <w:pPr>
              <w:spacing w:after="0"/>
              <w:rPr>
                <w:sz w:val="14"/>
                <w:szCs w:val="14"/>
                <w:color w:val="auto"/>
              </w:rPr>
            </w:pPr>
          </w:p>
        </w:tc>
        <w:tc>
          <w:tcPr>
            <w:tcW w:w="272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Two Fiscal Quarters Ended</w:t>
            </w:r>
          </w:p>
        </w:tc>
      </w:tr>
      <w:tr>
        <w:trPr>
          <w:trHeight w:val="142"/>
        </w:trPr>
        <w:tc>
          <w:tcPr>
            <w:tcW w:w="4280" w:type="dxa"/>
            <w:vAlign w:val="bottom"/>
          </w:tcPr>
          <w:p>
            <w:pPr>
              <w:spacing w:after="0"/>
              <w:rPr>
                <w:sz w:val="12"/>
                <w:szCs w:val="12"/>
                <w:color w:val="auto"/>
              </w:rPr>
            </w:pPr>
          </w:p>
        </w:tc>
        <w:tc>
          <w:tcPr>
            <w:tcW w:w="12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July 1, 2023</w:t>
            </w:r>
          </w:p>
        </w:tc>
        <w:tc>
          <w:tcPr>
            <w:tcW w:w="220" w:type="dxa"/>
            <w:vAlign w:val="bottom"/>
          </w:tcPr>
          <w:p>
            <w:pPr>
              <w:spacing w:after="0"/>
              <w:rPr>
                <w:sz w:val="12"/>
                <w:szCs w:val="12"/>
                <w:color w:val="auto"/>
              </w:rPr>
            </w:pPr>
          </w:p>
        </w:tc>
        <w:tc>
          <w:tcPr>
            <w:tcW w:w="12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July 2, 2022</w:t>
            </w:r>
          </w:p>
        </w:tc>
        <w:tc>
          <w:tcPr>
            <w:tcW w:w="220" w:type="dxa"/>
            <w:vAlign w:val="bottom"/>
          </w:tcPr>
          <w:p>
            <w:pPr>
              <w:spacing w:after="0"/>
              <w:rPr>
                <w:sz w:val="12"/>
                <w:szCs w:val="12"/>
                <w:color w:val="auto"/>
              </w:rPr>
            </w:pPr>
          </w:p>
        </w:tc>
        <w:tc>
          <w:tcPr>
            <w:tcW w:w="1240" w:type="dxa"/>
            <w:vAlign w:val="bottom"/>
            <w:tcBorders>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July 1, 2023</w:t>
            </w:r>
          </w:p>
        </w:tc>
        <w:tc>
          <w:tcPr>
            <w:tcW w:w="240" w:type="dxa"/>
            <w:vAlign w:val="bottom"/>
          </w:tcPr>
          <w:p>
            <w:pPr>
              <w:spacing w:after="0"/>
              <w:rPr>
                <w:sz w:val="12"/>
                <w:szCs w:val="12"/>
                <w:color w:val="auto"/>
              </w:rPr>
            </w:pPr>
          </w:p>
        </w:tc>
        <w:tc>
          <w:tcPr>
            <w:tcW w:w="124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July 2, 2022</w:t>
            </w:r>
          </w:p>
        </w:tc>
      </w:tr>
      <w:tr>
        <w:trPr>
          <w:trHeight w:val="223"/>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awards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87,576</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1,331,897</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240" w:type="dxa"/>
            <w:vAlign w:val="bottom"/>
          </w:tcPr>
          <w:p>
            <w:pPr>
              <w:jc w:val="right"/>
              <w:spacing w:after="0"/>
              <w:rPr>
                <w:sz w:val="20"/>
                <w:szCs w:val="20"/>
                <w:color w:val="auto"/>
              </w:rPr>
            </w:pPr>
            <w:r>
              <w:rPr>
                <w:rFonts w:ascii="Arial" w:cs="Arial" w:eastAsia="Arial" w:hAnsi="Arial"/>
                <w:sz w:val="18"/>
                <w:szCs w:val="18"/>
                <w:color w:val="auto"/>
              </w:rPr>
              <w:t>102,129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102,108</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301,440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56,764</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1,730,204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1,809,704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1,808,350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1,501,528</w:t>
            </w:r>
          </w:p>
        </w:tc>
      </w:tr>
      <w:tr>
        <w:trPr>
          <w:trHeight w:val="243"/>
        </w:trPr>
        <w:tc>
          <w:tcPr>
            <w:tcW w:w="4280" w:type="dxa"/>
            <w:vAlign w:val="bottom"/>
          </w:tcPr>
          <w:p>
            <w:pPr>
              <w:spacing w:after="0"/>
              <w:rPr>
                <w:sz w:val="20"/>
                <w:szCs w:val="20"/>
                <w:color w:val="auto"/>
              </w:rPr>
            </w:pPr>
            <w:r>
              <w:rPr>
                <w:rFonts w:ascii="Arial" w:cs="Arial" w:eastAsia="Arial" w:hAnsi="Arial"/>
                <w:sz w:val="18"/>
                <w:szCs w:val="18"/>
                <w:color w:val="auto"/>
              </w:rPr>
              <w:t>Stock appreciation awards</w:t>
            </w:r>
          </w:p>
        </w:tc>
        <w:tc>
          <w:tcPr>
            <w:tcW w:w="1240" w:type="dxa"/>
            <w:vAlign w:val="bottom"/>
          </w:tcPr>
          <w:p>
            <w:pPr>
              <w:jc w:val="right"/>
              <w:spacing w:after="0"/>
              <w:rPr>
                <w:sz w:val="20"/>
                <w:szCs w:val="20"/>
                <w:color w:val="auto"/>
              </w:rPr>
            </w:pPr>
            <w:r>
              <w:rPr>
                <w:rFonts w:ascii="Arial" w:cs="Arial" w:eastAsia="Arial" w:hAnsi="Arial"/>
                <w:sz w:val="18"/>
                <w:szCs w:val="18"/>
                <w:color w:val="auto"/>
              </w:rPr>
              <w:t>529,681</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264,841</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BrightAI Services</w:t>
      </w:r>
    </w:p>
    <w:p>
      <w:pPr>
        <w:spacing w:after="0" w:line="225"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Starting in 2020, BrightAI has rendered services to the Company, for which the cost was capitalized as internal-use software. A co-founder of BrightAI Services has served on the Company’s board of directors since December 9, 2020. In December 2022, the Company executed an additional agreement with BrightAI for the provision of hardware that will run the technology developed by BrightAI and the Company. During the two fiscal quarters ended July 1, 2023 and the fiscal year ended December 31, 2022, the Company incurred $0.8 million and $0.2 million, respectively, associated with services performed by BrightAI, which is recorded as construction in progress within property and equipment, net on the condensed consolidated balance sheet as of July 1, 2023. As of July 1, 2023 and December 31, 2022, the Company had accounts payable related to BrightAI of $0.3 million and $0.4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 Reimbursement</w:t>
      </w:r>
    </w:p>
    <w:p>
      <w:pPr>
        <w:spacing w:after="0" w:line="225"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The Company entered into a Stockholders’ Agreement with the Sponsor and Wynnchurch Capital, L.P. on April 27, 2021. The Stockholders’ Agreement requires the Company to reimburse the Sponsor and Wynnchurch Capital, L.P. the reasonable out-of-pocket costs and expenses in connection with monitoring and overseeing their investment in the Company.</w:t>
      </w:r>
    </w:p>
    <w:p>
      <w:pPr>
        <w:spacing w:after="0" w:line="16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Company recognized less than $0.1 million and $0.2 million for the reimbursement of out-of-pocket costs and expenses to Wynnchurch Capital, L.P. and no amounts for the reimbursement of out-of-pocket costs and expenses to the Sponsor during the fiscal quarter and two fiscal quarters ended July 1, 2023, respectively. The Company did not reimburse any out-of-pocket costs or expenses to the Sponsor and Wynnchurch Capital, L.P. during the fiscal quarter and the two fiscal quarters ended July 2, 2022. As of both July 1, 2023 and December 31, 2022, there was less than $0.1 million outstanding amounts payable to the Sponsor and no outstanding amounts payable to Wynnchurch Capital,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condensed consolidated financial statements and related notes appearing elsewhere in this Quarterly Report on Form 10-Q and our 2022 Annual Report on Form 10-K filed with the Securities and Exchange Commission, or SEC, on March 7, 2023 (the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Certain statements in this report constitute forward-looking statements within the meaning of the Private Securities Litigation Reform Act of 1995. All statements contained in this report other than statements of historical fact may constitute forward-looking statements, including statements regarding our future operating results and financial position, our business strategy and plans, business and market trends, our objectives for future operations, macroeconomic and geopolitical conditions, and the sufficiency of our cash balances, working capital and cash generated from operating, investing, and financing activities for our future liquidity and capital resource needs. These forward-looking statements are generally identified by the use of forward-looking terminology, including the terms “anticipate,” “believe,” “confident,” “continue,” “could,” “estimate,” “expect,” “intend,” “likely,” “may,” “plan,” “possible,” “potential,” “predict,” “project,” “should,” “target,” “will,” “would” and, in each case, their negative or other various or comparable terminology. These statements involve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 those set forth under “Risk Factors,” “Management's Discussion and Analysis of Financial Condition and Results of Operations” and elsewhere in the Annual Report, elsewhere in this Quarterly Report on Form 10-Q, and as described in other subsequent reports we file or furnish with the SEC. For similar reasons, our past results may not be a reliable indicator of future performance and trends. We encourage you to read this report and our other filings with the SEC carefully. You also should be aware that these risk factors and other information may not described every risk that we face. Additional risks and uncertainties not currently known to us or that we currently deem to be immaterial also may affect us. We operate in a very competitive and rapidly changing environment, and new risks emerge from time to time. 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w:t>
      </w:r>
    </w:p>
    <w:p>
      <w:pPr>
        <w:spacing w:after="0" w:line="169" w:lineRule="exact"/>
        <w:rPr>
          <w:sz w:val="20"/>
          <w:szCs w:val="20"/>
          <w:color w:val="auto"/>
        </w:rPr>
      </w:pPr>
    </w:p>
    <w:p>
      <w:pPr>
        <w:ind w:right="80" w:firstLine="324"/>
        <w:spacing w:after="0" w:line="271" w:lineRule="auto"/>
        <w:rPr>
          <w:sz w:val="20"/>
          <w:szCs w:val="20"/>
          <w:color w:val="auto"/>
        </w:rPr>
      </w:pPr>
      <w:r>
        <w:rPr>
          <w:rFonts w:ascii="Arial" w:cs="Arial" w:eastAsia="Arial" w:hAnsi="Arial"/>
          <w:sz w:val="17"/>
          <w:szCs w:val="17"/>
          <w:color w:val="auto"/>
        </w:rPr>
        <w:t>These forward-looking statements reflect our views with respect to future events as of the date of this Quarterly Report on Form 10-Q or the date specified herein, and we have based these forward-looking statements on our current expectations and projections about future events and trends. Given these uncertainties, you should not place undue reliance on these forward-looking statements. Except as required by law, we undertake no obligation to update or review publicly any forward-looking statements, whether as a result of new information, future events or otherwise after the date of this Quarterly Report on Form 10-Q. We anticipate that subsequent events and developments will cause our views to change. Our forward-looking statements do not reflect the potential impact of any future acquisitions, merger, dispositions, joint ventures, or investments we may undertake. We qualify all of our forward-looking statements by these cautionary statements.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We are the largest designer, manufacturer, and marketer of in-ground residential swimming pools in North America, Australia, and New Zealand. We hold the #1 position in North America in every product category in which we compete. We believe that we are the most sought-after brand in the pool industry and the only pool company that has established a direct relationship with the homeowner. We are Latham, The Pool Company</w:t>
      </w:r>
      <w:r>
        <w:rPr>
          <w:rFonts w:ascii="Arial" w:cs="Arial" w:eastAsia="Arial" w:hAnsi="Arial"/>
          <w:sz w:val="26"/>
          <w:szCs w:val="26"/>
          <w:color w:val="auto"/>
          <w:vertAlign w:val="superscript"/>
        </w:rPr>
        <w:t>TM</w:t>
      </w:r>
      <w:r>
        <w:rPr>
          <w:rFonts w:ascii="Arial" w:cs="Arial" w:eastAsia="Arial" w:hAnsi="Arial"/>
          <w:sz w:val="18"/>
          <w:szCs w:val="18"/>
          <w:color w:val="auto"/>
        </w:rPr>
        <w:t>.</w:t>
      </w:r>
    </w:p>
    <w:p>
      <w:pPr>
        <w:spacing w:after="0" w:line="72"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With an operating history that spans over 65 years, we offer the industry’s broadest portfolio of pools and related products, including in-ground swimming pools, pool liners, and pool covers.</w:t>
      </w:r>
    </w:p>
    <w:p>
      <w:pPr>
        <w:spacing w:after="0" w:line="17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have a heritage of innovation. In an industry that has traditionally marketed on a business-to-business basis (pool manufacturer to dealer), we pioneered the first “direct-to-homeowner” digital and social marketing strategy that has transformed the homeowner’s purchase journey. Through this marketing strategy, we are able to create demand for our pools and to provide high quality, purchase-ready consumer leads to our dealer partners.</w:t>
      </w:r>
    </w:p>
    <w:p>
      <w:pPr>
        <w:spacing w:after="0" w:line="187"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Partnership with our dealers is integral to our collective success, and we have enjoyed long-tenured relationships averaging over 14 years. We support our dealer network with business development tools, co-branded marketing programs, and in-house training.</w:t>
      </w:r>
    </w:p>
    <w:p>
      <w:pPr>
        <w:spacing w:after="0" w:line="12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Our operations consist of approximately 2,000 employees across over 30 locations. The full resources of our company are dedicated to designing and manufacturing high-quality pool products, with the homeowner in mind, and to position ourselves as a value-added partner to our dealers.</w:t>
      </w:r>
    </w:p>
    <w:p>
      <w:pPr>
        <w:spacing w:after="0" w:line="184"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conduct our business as one operating and reportable segment that designs, manufactures, and markets in-ground swimming pools, liners, and covers.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 for the fiscal quarter ended July 1, 2023</w:t>
      </w:r>
    </w:p>
    <w:p>
      <w:pPr>
        <w:spacing w:after="0" w:line="225" w:lineRule="exact"/>
        <w:rPr>
          <w:sz w:val="20"/>
          <w:szCs w:val="20"/>
          <w:color w:val="auto"/>
        </w:rPr>
      </w:pPr>
    </w:p>
    <w:p>
      <w:pPr>
        <w:ind w:left="680" w:hanging="321"/>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 in net sales of 14.3%, or $29.7 million, to $177.1 million for the fiscal quarter ended July 1, 2023, compared to $206.8 million for the fiscal quarter ended July 2, 2022.</w:t>
      </w:r>
    </w:p>
    <w:p>
      <w:pPr>
        <w:spacing w:after="0" w:line="170" w:lineRule="exact"/>
        <w:rPr>
          <w:rFonts w:ascii="Arial" w:cs="Arial" w:eastAsia="Arial" w:hAnsi="Arial"/>
          <w:sz w:val="18"/>
          <w:szCs w:val="18"/>
          <w:color w:val="auto"/>
        </w:rPr>
      </w:pPr>
    </w:p>
    <w:p>
      <w:pPr>
        <w:ind w:left="680" w:right="220" w:hanging="321"/>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in net income of $1.4 million to $5.7 million and representing a 3.2% net income margin for the fiscal quarter ended July 1, 2023, compared to net income of $4.3 million for the fiscal quarter ended July 2, 2022.</w:t>
      </w:r>
    </w:p>
    <w:p>
      <w:pPr>
        <w:spacing w:after="0" w:line="170" w:lineRule="exact"/>
        <w:rPr>
          <w:rFonts w:ascii="Arial" w:cs="Arial" w:eastAsia="Arial" w:hAnsi="Arial"/>
          <w:sz w:val="18"/>
          <w:szCs w:val="18"/>
          <w:color w:val="auto"/>
        </w:rPr>
      </w:pPr>
    </w:p>
    <w:p>
      <w:pPr>
        <w:ind w:left="680" w:right="260" w:hanging="321"/>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 in Adjusted EBITDA (as defined below) of $17.7 million to $31.0 million for the fiscal quarter ended July 1, 2023, compared to $48.7 million for the fiscal quarter ended July 2, 2022.</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Highlights for the two fiscal quarters ended July 1, 2023</w:t>
      </w:r>
    </w:p>
    <w:p>
      <w:pPr>
        <w:spacing w:after="0" w:line="225" w:lineRule="exact"/>
        <w:rPr>
          <w:sz w:val="20"/>
          <w:szCs w:val="20"/>
          <w:color w:val="auto"/>
        </w:rPr>
      </w:pPr>
    </w:p>
    <w:p>
      <w:pPr>
        <w:ind w:left="680" w:right="160" w:hanging="321"/>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 in net sales of 21.0%, or $83.6 million, to $314.8 million for the two fiscal quarters ended July 1, 2023, compared to $398.4 million for the two fiscal quarters ended July 2, 2022.</w:t>
      </w:r>
    </w:p>
    <w:p>
      <w:pPr>
        <w:spacing w:after="0" w:line="170" w:lineRule="exact"/>
        <w:rPr>
          <w:rFonts w:ascii="Arial" w:cs="Arial" w:eastAsia="Arial" w:hAnsi="Arial"/>
          <w:sz w:val="18"/>
          <w:szCs w:val="18"/>
          <w:color w:val="auto"/>
        </w:rPr>
      </w:pPr>
    </w:p>
    <w:p>
      <w:pPr>
        <w:ind w:left="680" w:right="140" w:hanging="321"/>
        <w:spacing w:after="0" w:line="308" w:lineRule="auto"/>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Increase in net loss of $10.2 million to $8.7 million and representing a (2.7%) net loss margin for the two fiscal quarters ended July 1, 2023, compared to net income of $1.5 million for the two fiscal quarters ended July 2, 2022.</w:t>
      </w:r>
    </w:p>
    <w:p>
      <w:pPr>
        <w:spacing w:after="0" w:line="146" w:lineRule="exact"/>
        <w:rPr>
          <w:rFonts w:ascii="Arial" w:cs="Arial" w:eastAsia="Arial" w:hAnsi="Arial"/>
          <w:sz w:val="17"/>
          <w:szCs w:val="17"/>
          <w:color w:val="auto"/>
        </w:rPr>
      </w:pPr>
    </w:p>
    <w:p>
      <w:pPr>
        <w:ind w:left="680" w:right="320" w:hanging="321"/>
        <w:spacing w:after="0" w:line="277"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Decrease in Adjusted EBITDA (as defined below) of $54.6 million to $42.0 million for the two fiscal quarters ended July 1, 2023, compared to $96.6 million for the two fiscal quarters ended July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Update</w:t>
      </w:r>
    </w:p>
    <w:p>
      <w:pPr>
        <w:spacing w:after="0" w:line="225"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Market conditions continue to evolve. As anticipated, ongoing macroeconomic challenges are weighing on consumer spending and demand. This is resulting in a decline in U.S. new in-ground residential pool installations in 2023. We continue to make progress executing our strategy to drive material conversion from concrete to fiberglass swimming pools, supported by our continued momentum on our lead generation efforts and digital tools. We continue to take a disciplined approach to capital investments, with the focus on the completion of previously announced projects. This includes the completion of our Kingston, Ontario facility as well as our acquired fiberglass manufacturing assets in Seminole, Oklahoma.</w:t>
      </w:r>
    </w:p>
    <w:p>
      <w:pPr>
        <w:spacing w:after="0" w:line="19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have responded to economic uncertainty with immediate actions to reduce our costs. In the fourth fiscal quarter of 2022, we approved a cost reduction plan to optimize our production and shift schedules, implement a workforce reduction, and streamline our pool cover and pool liner manufacturing footprint. We expect to generate annual operating expense savings of $12.0 million in fiscal 2023 as a result of our 2022 cost reduction plan. During the second and early third fiscal quarters of 2023, we took actions to further reduce our manufacturing overhead, headcount, and discretionary spend. We expect to realize an additional $12.0 million of annualized savings from these actions, with $6.0 million to be realized this fiscal year and therefore a total of $18.0 million of cost savings in 2023 from the two cost reduction plans.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We derive our revenue from the design, manufacture, and sale of in-ground swimming pools, pool covers, and pool liners. We sell fiberglass pools, which are one-piece manufactured fiberglass pools that are ready to be installed in a consumer’s backyard, and custom vinyl pools, which are manufactured pools that are made out of non-corrosive steel, aluminum, or composite polymer frame, on top of which a vinyl liner is installed. We sell liners for the interior surface of vinyl pools (including pools that were not manufactured by us). We also sell all-season covers, which are winterizing mesh or solid pool covers that protect pools against debris and cold or inclement weather, and automatic safety covers for pools that can be operated with a switch.</w:t>
      </w:r>
    </w:p>
    <w:p>
      <w:pPr>
        <w:spacing w:after="0" w:line="164"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Our sales are made through one-step and two-step business-to-business distribution channels. In our one-step distribution channel, we sell our products directly to dealers who, in turn, sell our products to consumers. In our two-step distribution channel, we sell our products to distributors who warehouse our products and sell them on to dealers, who ultimately sell our products to consumers.</w:t>
      </w:r>
    </w:p>
    <w:p>
      <w:pPr>
        <w:spacing w:after="0" w:line="14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Each product shipped is considered to be one performance obligation. With the exception of our extended service warranties and our custom product contracts, we recognize our revenue when control of our promised goods is transferred to our customers, either upon shipment or arrival at our customer’s destination depending upon the terms of the purchase order. Sales are recognized net of any estimated rebates, returns, allowances, cash discounts, or other sales incentives. Revenue that is derived from our extended service warranties, which are separately priced and sold, is recognized over the term of the contracts. Revenue from custom products is recognized over time utilizing an input method that compares the cost of cumulative work-in-process to date to the most current estimates for the entire cost of the performance obligation.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Gross margin is gross profit as a percentage of our net sales. Gross margin depends upon several factors, such as the prices we charge buyers, changes in prices of raw materials, the volume and relative sales mix among product lines, and plant performance, among other factors. Gross margin is also impacted by the costs of distribution and occupancy costs, which can vary.</w:t>
      </w:r>
    </w:p>
    <w:p>
      <w:pPr>
        <w:spacing w:after="0" w:line="16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Our gross profit is variable in nature and generally follows changes in net sales. The components of our cost of sales may not be comparable to the components of cost of sales or similar measures of other companies. As a result, our gross profit and gross margin may not be comparable to similar data made available by other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25" w:lineRule="exact"/>
        <w:rPr>
          <w:sz w:val="20"/>
          <w:szCs w:val="20"/>
          <w:color w:val="auto"/>
        </w:rPr>
      </w:pPr>
    </w:p>
    <w:p>
      <w:pPr>
        <w:ind w:right="380" w:firstLine="324"/>
        <w:spacing w:after="0" w:line="311" w:lineRule="auto"/>
        <w:rPr>
          <w:sz w:val="20"/>
          <w:szCs w:val="20"/>
          <w:color w:val="auto"/>
        </w:rPr>
      </w:pPr>
      <w:r>
        <w:rPr>
          <w:rFonts w:ascii="Arial" w:cs="Arial" w:eastAsia="Arial" w:hAnsi="Arial"/>
          <w:sz w:val="16"/>
          <w:szCs w:val="16"/>
          <w:color w:val="auto"/>
        </w:rPr>
        <w:t>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peer companies using similar</w:t>
      </w:r>
    </w:p>
    <w:p>
      <w:pPr>
        <w:sectPr>
          <w:pgSz w:w="11900" w:h="16838" w:orient="portrait"/>
          <w:cols w:equalWidth="0" w:num="1">
            <w:col w:w="9900"/>
          </w:cols>
          <w:pgMar w:left="980" w:top="665" w:right="101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measures. We define Adjusted EBITDA as net income (loss) plus (i) depreciation and amortization, (ii) interest expense, net, (iii) income tax (benefit) expense, (iv) loss (gain) on sale and disposal of property and equipment, (v) restructuring charges, (vi) stock-based compensation expense, (vii) unrealized losses (gains) on foreign currency transactions, (viii) strategic initiative costs, (ix) acquisition and integration related costs, (x) loss on extinguishment of debt, (xi) underwriting fees related to offering of common stock, (xii) Odessa fire and (xiii) other items that we do not believe are indicative of our core operating performance. We believe excluding these items allows for better comparison of our financial results across reporting periods.</w:t>
      </w:r>
    </w:p>
    <w:p>
      <w:pPr>
        <w:spacing w:after="0" w:line="17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define Adjusted EBITDA margin as Adjusted EBITDA divided by net sales. Our definitions of Adjusted EBITDA and Adjusted EBITDA margin may not be comparable to similarly titled measures of other companies.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a discussion of Adjusted EBITDA and Adjusted EBITDA margin, including how such non-GAAP measures provide useful information to investors, how management utilizes them and the limitations on their use, and the reconciliation of Adjusted EBITDA to net income (loss), the most directly comparable GAAP financial measure, and our calculation of Adjusted EBITDA margin, see “—Non-GAAP Financial Measures”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Quarter Ended July 1, 2023 Compared to Fiscal Quarter Ended July 2, 2022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 of operations for the fiscal quarter ended July 1, 2023 and July 2,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9"/>
              </w:rPr>
              <w:t>Fiscal Quarter Ended</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July 1, 2023</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July 2, 2022</w:t>
            </w:r>
          </w:p>
        </w:tc>
        <w:tc>
          <w:tcPr>
            <w:tcW w:w="16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w w:val="96"/>
              </w:rPr>
              <w:t>Change</w:t>
            </w:r>
          </w:p>
        </w:tc>
        <w:tc>
          <w:tcPr>
            <w:tcW w:w="920" w:type="dxa"/>
            <w:vAlign w:val="bottom"/>
          </w:tcPr>
          <w:p>
            <w:pPr>
              <w:jc w:val="right"/>
              <w:ind w:right="12"/>
              <w:spacing w:after="0" w:line="119" w:lineRule="exact"/>
              <w:rPr>
                <w:sz w:val="20"/>
                <w:szCs w:val="20"/>
                <w:color w:val="auto"/>
              </w:rPr>
            </w:pPr>
            <w:r>
              <w:rPr>
                <w:rFonts w:ascii="Arial" w:cs="Arial" w:eastAsia="Arial" w:hAnsi="Arial"/>
                <w:sz w:val="13"/>
                <w:szCs w:val="13"/>
                <w:b w:val="1"/>
                <w:bCs w:val="1"/>
                <w:color w:val="auto"/>
              </w:rPr>
              <w:t>Change in %</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auto"/>
              </w:rPr>
              <w:t>Sales</w:t>
            </w:r>
          </w:p>
        </w:tc>
        <w:tc>
          <w:tcPr>
            <w:tcW w:w="26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75"/>
              <w:spacing w:after="0"/>
              <w:rPr>
                <w:sz w:val="20"/>
                <w:szCs w:val="20"/>
                <w:color w:val="auto"/>
              </w:rPr>
            </w:pPr>
            <w:r>
              <w:rPr>
                <w:rFonts w:ascii="Arial" w:cs="Arial" w:eastAsia="Arial" w:hAnsi="Arial"/>
                <w:sz w:val="14"/>
                <w:szCs w:val="14"/>
                <w:b w:val="1"/>
                <w:bCs w:val="1"/>
                <w:color w:val="auto"/>
              </w:rPr>
              <w:t>Sales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106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9"/>
              </w:rPr>
              <w:t>of Net Sales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(dollars in</w:t>
            </w:r>
          </w:p>
        </w:tc>
        <w:tc>
          <w:tcPr>
            <w:tcW w:w="16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1"/>
              </w:rPr>
              <w:t>thousands)</w:t>
            </w: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177,128</w:t>
            </w:r>
          </w:p>
        </w:tc>
        <w:tc>
          <w:tcPr>
            <w:tcW w:w="1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rPr>
              <w:t>100.0 % $</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206,800</w:t>
            </w:r>
          </w:p>
        </w:tc>
        <w:tc>
          <w:tcPr>
            <w:tcW w:w="1020" w:type="dxa"/>
            <w:vAlign w:val="bottom"/>
            <w:tcBorders>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(29,672)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126,895</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139,193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(12,298)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50,233</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67,607</w:t>
            </w:r>
          </w:p>
        </w:tc>
        <w:tc>
          <w:tcPr>
            <w:tcW w:w="160" w:type="dxa"/>
            <w:vAlign w:val="bottom"/>
            <w:vMerge w:val="continue"/>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(17,374)</w:t>
            </w:r>
          </w:p>
        </w:tc>
        <w:tc>
          <w:tcPr>
            <w:tcW w:w="14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41,804</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(11,595)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6,635</w:t>
            </w:r>
          </w:p>
        </w:tc>
        <w:tc>
          <w:tcPr>
            <w:tcW w:w="14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3.7 %</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7,156</w:t>
            </w:r>
          </w:p>
        </w:tc>
        <w:tc>
          <w:tcPr>
            <w:tcW w:w="1020" w:type="dxa"/>
            <w:vAlign w:val="bottom"/>
            <w:gridSpan w:val="3"/>
          </w:tcPr>
          <w:p>
            <w:pPr>
              <w:jc w:val="right"/>
              <w:ind w:right="10"/>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(521)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18,647</w:t>
            </w:r>
          </w:p>
        </w:tc>
        <w:tc>
          <w:tcPr>
            <w:tcW w:w="160" w:type="dxa"/>
            <w:vAlign w:val="bottom"/>
            <w:vMerge w:val="continue"/>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140" w:type="dxa"/>
            <w:vAlign w:val="bottom"/>
            <w:vMerge w:val="continue"/>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 expense (income):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87"/>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040" w:type="dxa"/>
            <w:vAlign w:val="bottom"/>
          </w:tcPr>
          <w:p>
            <w:pPr>
              <w:ind w:left="100"/>
              <w:spacing w:after="0"/>
              <w:rPr>
                <w:sz w:val="20"/>
                <w:szCs w:val="20"/>
                <w:color w:val="auto"/>
              </w:rPr>
            </w:pPr>
            <w:r>
              <w:rPr>
                <w:rFonts w:ascii="Arial" w:cs="Arial" w:eastAsia="Arial" w:hAnsi="Arial"/>
                <w:sz w:val="18"/>
                <w:szCs w:val="18"/>
                <w:color w:val="auto"/>
              </w:rPr>
              <w:t>Total other expense, net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3,450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4,081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(631)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Earnings from equity method investment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0.3 %</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20" w:type="dxa"/>
            <w:vAlign w:val="bottom"/>
            <w:tcBorders>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10,599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15,286</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(4,687)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10,983</w:t>
            </w:r>
          </w:p>
        </w:tc>
        <w:tc>
          <w:tcPr>
            <w:tcW w:w="160" w:type="dxa"/>
            <w:vAlign w:val="bottom"/>
            <w:shd w:val="clear" w:color="auto" w:fill="CCEEFF"/>
          </w:tcPr>
          <w:p>
            <w:pPr>
              <w:spacing w:after="0"/>
              <w:rPr>
                <w:sz w:val="19"/>
                <w:szCs w:val="19"/>
                <w:color w:val="auto"/>
              </w:rPr>
            </w:pP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5,715</w:t>
            </w:r>
          </w:p>
        </w:tc>
        <w:tc>
          <w:tcPr>
            <w:tcW w:w="140" w:type="dxa"/>
            <w:vAlign w:val="bottom"/>
          </w:tcPr>
          <w:p>
            <w:pPr>
              <w:spacing w:after="0"/>
              <w:rPr>
                <w:sz w:val="22"/>
                <w:szCs w:val="22"/>
                <w:color w:val="auto"/>
              </w:rPr>
            </w:pPr>
          </w:p>
        </w:tc>
        <w:tc>
          <w:tcPr>
            <w:tcW w:w="1020" w:type="dxa"/>
            <w:vAlign w:val="bottom"/>
            <w:gridSpan w:val="3"/>
          </w:tcPr>
          <w:p>
            <w:pPr>
              <w:jc w:val="right"/>
              <w:ind w:right="7"/>
              <w:spacing w:after="0"/>
              <w:rPr>
                <w:sz w:val="20"/>
                <w:szCs w:val="20"/>
                <w:color w:val="auto"/>
              </w:rPr>
            </w:pPr>
            <w:r>
              <w:rPr>
                <w:rFonts w:ascii="Arial" w:cs="Arial" w:eastAsia="Arial" w:hAnsi="Arial"/>
                <w:sz w:val="18"/>
                <w:szCs w:val="18"/>
                <w:color w:val="auto"/>
              </w:rPr>
              <w:t>3.2 % $</w:t>
            </w:r>
          </w:p>
        </w:tc>
        <w:tc>
          <w:tcPr>
            <w:tcW w:w="700" w:type="dxa"/>
            <w:vAlign w:val="bottom"/>
          </w:tcPr>
          <w:p>
            <w:pPr>
              <w:jc w:val="right"/>
              <w:spacing w:after="0"/>
              <w:rPr>
                <w:sz w:val="20"/>
                <w:szCs w:val="20"/>
                <w:color w:val="auto"/>
              </w:rPr>
            </w:pPr>
            <w:r>
              <w:rPr>
                <w:rFonts w:ascii="Arial" w:cs="Arial" w:eastAsia="Arial" w:hAnsi="Arial"/>
                <w:sz w:val="18"/>
                <w:szCs w:val="18"/>
                <w:color w:val="auto"/>
              </w:rPr>
              <w:t>4,303</w:t>
            </w:r>
          </w:p>
        </w:tc>
        <w:tc>
          <w:tcPr>
            <w:tcW w:w="1020" w:type="dxa"/>
            <w:vAlign w:val="bottom"/>
            <w:gridSpan w:val="3"/>
          </w:tcPr>
          <w:p>
            <w:pPr>
              <w:jc w:val="right"/>
              <w:ind w:right="10"/>
              <w:spacing w:after="0"/>
              <w:rPr>
                <w:sz w:val="20"/>
                <w:szCs w:val="20"/>
                <w:color w:val="auto"/>
              </w:rPr>
            </w:pPr>
            <w:r>
              <w:rPr>
                <w:rFonts w:ascii="Arial" w:cs="Arial" w:eastAsia="Arial" w:hAnsi="Arial"/>
                <w:sz w:val="18"/>
                <w:szCs w:val="18"/>
                <w:color w:val="auto"/>
              </w:rPr>
              <w:t>2.1 %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1,412</w:t>
            </w:r>
          </w:p>
        </w:tc>
        <w:tc>
          <w:tcPr>
            <w:tcW w:w="140" w:type="dxa"/>
            <w:vAlign w:val="bottom"/>
          </w:tcPr>
          <w:p>
            <w:pPr>
              <w:spacing w:after="0"/>
              <w:rPr>
                <w:sz w:val="22"/>
                <w:szCs w:val="22"/>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40" w:type="dxa"/>
            <w:vAlign w:val="bottom"/>
            <w:tcBorders>
              <w:top w:val="single" w:sz="8" w:color="CCEEFF"/>
              <w:bottom w:val="single" w:sz="8" w:color="CCEEFF"/>
            </w:tcBorders>
            <w:shd w:val="clear" w:color="auto" w:fill="CCEEFF"/>
          </w:tcPr>
          <w:p>
            <w:pPr>
              <w:spacing w:after="0" w:line="197" w:lineRule="exact"/>
              <w:rPr>
                <w:sz w:val="20"/>
                <w:szCs w:val="20"/>
                <w:color w:val="auto"/>
              </w:rPr>
            </w:pPr>
            <w:r>
              <w:rPr>
                <w:rFonts w:ascii="Arial" w:cs="Arial" w:eastAsia="Arial" w:hAnsi="Arial"/>
                <w:sz w:val="16"/>
                <w:szCs w:val="16"/>
                <w:color w:val="auto"/>
              </w:rPr>
              <w:t>Adjusted EBITDA</w:t>
            </w:r>
            <w:r>
              <w:rPr>
                <w:rFonts w:ascii="Arial" w:cs="Arial" w:eastAsia="Arial" w:hAnsi="Arial"/>
                <w:sz w:val="22"/>
                <w:szCs w:val="22"/>
                <w:color w:val="auto"/>
                <w:vertAlign w:val="superscript"/>
              </w:rPr>
              <w:t>(a)</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30,999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w:t>
            </w:r>
          </w:p>
        </w:tc>
        <w:tc>
          <w:tcPr>
            <w:tcW w:w="26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48,653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w:t>
            </w:r>
          </w:p>
        </w:tc>
        <w:tc>
          <w:tcPr>
            <w:tcW w:w="240" w:type="dxa"/>
            <w:vAlign w:val="bottom"/>
            <w:tcBorders>
              <w:top w:val="single" w:sz="8" w:color="CCEEFF"/>
              <w:bottom w:val="single" w:sz="8" w:color="CCEEFF"/>
              <w:right w:val="single" w:sz="8" w:color="CCEEFF"/>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(17,654)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w:t>
            </w:r>
          </w:p>
        </w:tc>
        <w:tc>
          <w:tcPr>
            <w:tcW w:w="1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jc w:val="right"/>
              <w:ind w:right="31"/>
              <w:spacing w:after="0"/>
              <w:rPr>
                <w:sz w:val="20"/>
                <w:szCs w:val="20"/>
                <w:color w:val="auto"/>
              </w:rPr>
            </w:pPr>
            <w:r>
              <w:rPr>
                <w:rFonts w:ascii="Arial" w:cs="Arial" w:eastAsia="Arial" w:hAnsi="Arial"/>
                <w:sz w:val="18"/>
                <w:szCs w:val="18"/>
                <w:color w:val="auto"/>
                <w:w w:val="97"/>
              </w:rPr>
              <w:t>________________________________________</w:t>
            </w: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332"/>
        <w:spacing w:after="0" w:line="277" w:lineRule="auto"/>
        <w:tabs>
          <w:tab w:leader="none" w:pos="648"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is a non-GAAP measure. See “Non-GAAP Financial Measures” for a reconciliation to net income, the most directly comparable GAAP measure, and for information regarding our use of Adjusted EBITDA.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Net sales were $177.1 million for the fiscal quarter ended July 1, 2023, compared to $206.8 million for the fiscal quarter ended July 2, 2022. The $29.7 million, or 14.3%, decrease in net sales was because of a $35.9 million decrease in sales volume, partially offset by a $6.2 million increase from higher pricing. The volume decrease was primarily driven by continued macroeconomic challenges. The decrease in total net sales of $29.7 million across our product lines consisted of $21.6 million for in-ground swimming pools and $9.6 million for covers, partially offset by a $1.5 million increase in liners.</w:t>
      </w:r>
    </w:p>
    <w:p>
      <w:pPr>
        <w:sectPr>
          <w:pgSz w:w="11900" w:h="16838" w:orient="portrait"/>
          <w:cols w:equalWidth="0" w:num="1">
            <w:col w:w="9920"/>
          </w:cols>
          <w:pgMar w:left="980" w:top="665"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2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Cost of sales was $126.9 million for the fiscal quarter ended July 1, 2023, compared to $139.2 million for the fiscal quarter ended July 2, 2022. Gross margin decreased by 4.3%, to 28.4% of net sales for the fiscal quarter ended July 1, 2023, compared to 32.7% of net sales for the fiscal quarter ended July 2, 2022. The $12.3 million, or 8.8%, decrease in cost of sales was primarily the result of the decrease in sales volume and a $1.8 million decrease in non-cash stock-based compensation expense. The 4.3% decrease in gross margin was primarily driven by reduced sales, sell-through of higher cost inventory, the impact of inflation, and the right sizing of our inventory, partially offset by price increases and the benefits of our cost reduction actions taken in the fourth quarter of fiscal 2022 and second quarter of fiscal 2023.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Selling, general, and administrative expense was $30.2 million for the fiscal quarter ended July 1, 2023, compared to $41.8 million for the fiscal quarter ended July 2, 2022, and decreased as a percentage of net sales by 3.1%. The $11.6 million, or 27.7%, decrease in selling, general, and administrative expense was primarily driven by an $8.9 million decrease in non-cash stock-based compensation expense, lower incentive accruals, and the benefits from our cost reduction actions taken in the fourth quarter of fiscal 2022 and the second quarter of fiscal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Amortization was $6.6 million for the fiscal quarter ended July 1, 2023, compared to $7.2 million for the fiscal quarter ended July 2, 2022. The $0.6 million, or 7.3%, decrease in amortization was driven by certain definite-lived intangible assets becoming fully amortized during the fiscal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Interest expense, net was $4.5 million for the fiscal quarter ended July 1, 2023, compared to $3.2 million for the fiscal quarter ended July 2, 2022. The $1.3 million, or 41.8%, increase in interest expense, net was primarily the result of a higher effective interest rate, compared to the fiscal quarter ended July 2, 2022, partially offset by the change in the fair value of our interest rate swaps. Interest expense, net for the fiscal quarter ended July 1, 2023 was impacted by an unrealized gain of $1.9 million related to the change in fair value of our interest rate swaps compared to an unrealized gain of $1.1 million for the fiscal quarter ended July 2,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Other (income) expense, net was $(1.0) million for the fiscal quarter ended July 1, 2023, compared to $0.9 million for fiscal quarter ended July 2, 2022. The $1.9 million increase in other income was primarily driven by a favorable change in net foreign currency transaction gains and losses associated with our international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from Equity Method Investment</w:t>
      </w:r>
    </w:p>
    <w:p>
      <w:pPr>
        <w:spacing w:after="0" w:line="22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Earnings from our equity method investment in Premier Pools &amp; Spa were $0.7 million for the fiscal quarter ended July 1, 2023, compared to $0.7 million for the fiscal quarter ended July 2, 2022, because of the consistent financial performance of Premier Pools &amp; Spa.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Income tax expense was $4.9 million for the fiscal quarter ended July 1, 2023, compared to income tax expense of $11.0 million for the fiscal quarter ended July 2, 2022. Our effective tax rate was 46.1% for the fiscal quarter ended July 1, 2023, compared to 71.9% for the fiscal quarter ended July 2, 2022. The difference between the U.S. federal statutory income tax rate and our effective income tax rate for both the fiscal quarters ended July 1, 2023 and July 2, 2022 was primarily attributable to the discrete impact of stock-based compensation expense for which there is no associated tax benefit.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right="180" w:firstLine="324"/>
        <w:spacing w:after="0" w:line="308" w:lineRule="auto"/>
        <w:rPr>
          <w:sz w:val="20"/>
          <w:szCs w:val="20"/>
          <w:color w:val="auto"/>
        </w:rPr>
      </w:pPr>
      <w:r>
        <w:rPr>
          <w:rFonts w:ascii="Arial" w:cs="Arial" w:eastAsia="Arial" w:hAnsi="Arial"/>
          <w:sz w:val="17"/>
          <w:szCs w:val="17"/>
          <w:color w:val="auto"/>
        </w:rPr>
        <w:t>Net income was $5.7 million for the fiscal quarter ended July 1, 2023, compared to $4.3 million for the fiscal quarter ended July 2, 2022. The $1.4 million, or 32.8%, increase in net income was primarily because of the factors described above.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Margin</w:t>
      </w:r>
    </w:p>
    <w:p>
      <w:pPr>
        <w:spacing w:after="0" w:line="225"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Net income margin was 3.2% for the fiscal quarter ended July 1, 2023, compared to 2.1% for the fiscal quarter ended July 2, 2022. The 1.1% increase in net income margin was driven by a $1.4 million increase in net income and a $29.7 million decrease in net sales, compared to the fiscal quarter ended July 2, 2022 because of the factors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Adjusted EBITDA was $31.0 million for the fiscal quarter ended July 1, 2023, compared to $48.7 million for the fiscal quarter ended July 2, 2022. The $17.7 million, or 36.3%, decrease in Adjusted EBITDA was primarily because of the decrease in net sales and partially offset by the reduction in SG&amp;A expenses, as well as the other factors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Adjusted EBITDA margin was 17.5% for the fiscal quarter ended July 1, 2023, compared to 23.5% for the fiscal quarter ended July 2, 2022. The 6.0% decrease in Adjusted EBITDA margin was primarily because of a $17.7 million decrease in Adjusted EBITDA and a $29.7 million decrease in net sales, compared to the fiscal quarter ended July 2, 2022, which were impacted by the factors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Two Fiscal Quarters Ended July 1, 2023 Compared to Two Fiscal Quarters Ended July 2, 2022</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results of operations for the two fiscal quarters ended July 1, 2023 and July 2,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4"/>
                <w:szCs w:val="14"/>
                <w:b w:val="1"/>
                <w:bCs w:val="1"/>
                <w:color w:val="auto"/>
                <w:w w:val="95"/>
              </w:rPr>
              <w:t>Two Fiscal Quarters Ended</w:t>
            </w: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July 1, 2023</w:t>
            </w:r>
          </w:p>
        </w:tc>
        <w:tc>
          <w:tcPr>
            <w:tcW w:w="140" w:type="dxa"/>
            <w:vAlign w:val="bottom"/>
          </w:tcPr>
          <w:p>
            <w:pPr>
              <w:spacing w:after="0"/>
              <w:rPr>
                <w:sz w:val="10"/>
                <w:szCs w:val="10"/>
                <w:color w:val="auto"/>
              </w:rPr>
            </w:pP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July 2, 2022</w:t>
            </w:r>
          </w:p>
        </w:tc>
        <w:tc>
          <w:tcPr>
            <w:tcW w:w="16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Net</w:t>
            </w:r>
          </w:p>
        </w:tc>
        <w:tc>
          <w:tcPr>
            <w:tcW w:w="240" w:type="dxa"/>
            <w:vAlign w:val="bottom"/>
          </w:tcPr>
          <w:p>
            <w:pPr>
              <w:spacing w:after="0"/>
              <w:rPr>
                <w:sz w:val="10"/>
                <w:szCs w:val="10"/>
                <w:color w:val="auto"/>
              </w:rPr>
            </w:pPr>
          </w:p>
        </w:tc>
        <w:tc>
          <w:tcPr>
            <w:tcW w:w="92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Change</w:t>
            </w:r>
          </w:p>
        </w:tc>
        <w:tc>
          <w:tcPr>
            <w:tcW w:w="8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9"/>
              </w:rPr>
              <w:t>Change in %</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b w:val="1"/>
                <w:bCs w:val="1"/>
                <w:color w:val="auto"/>
              </w:rPr>
              <w:t>Sales</w:t>
            </w:r>
          </w:p>
        </w:tc>
        <w:tc>
          <w:tcPr>
            <w:tcW w:w="2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Sales</w:t>
            </w:r>
          </w:p>
        </w:tc>
        <w:tc>
          <w:tcPr>
            <w:tcW w:w="24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w w:val="94"/>
              </w:rPr>
              <w:t>of Net Sales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(dollars in</w:t>
            </w:r>
          </w:p>
        </w:tc>
        <w:tc>
          <w:tcPr>
            <w:tcW w:w="16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1"/>
              </w:rPr>
              <w:t>thousands)</w:t>
            </w:r>
          </w:p>
        </w:tc>
        <w:tc>
          <w:tcPr>
            <w:tcW w:w="2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314,847</w:t>
            </w:r>
          </w:p>
        </w:tc>
        <w:tc>
          <w:tcPr>
            <w:tcW w:w="9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100.0 %</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398,414</w:t>
            </w:r>
          </w:p>
        </w:tc>
        <w:tc>
          <w:tcPr>
            <w:tcW w:w="1000" w:type="dxa"/>
            <w:vAlign w:val="bottom"/>
            <w:tcBorders>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100.0 %</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 (83,567)</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231,244</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260,153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65.3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(28,909)</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83,603</w:t>
            </w:r>
          </w:p>
        </w:tc>
        <w:tc>
          <w:tcPr>
            <w:tcW w:w="140" w:type="dxa"/>
            <w:vAlign w:val="bottom"/>
            <w:vMerge w:val="continue"/>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2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138,261</w:t>
            </w:r>
          </w:p>
        </w:tc>
        <w:tc>
          <w:tcPr>
            <w:tcW w:w="16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(54,658)</w:t>
            </w:r>
          </w:p>
        </w:tc>
        <w:tc>
          <w:tcPr>
            <w:tcW w:w="16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 expense</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63,266</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(23,763)</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w w:val="97"/>
              </w:rPr>
              <w:t>Underwriting fees related to offering of common stock</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11,437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(11,437)</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13,267</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(1,081)</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7,070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25,447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(18,377)</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10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15,290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4,929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10,361</w:t>
            </w:r>
          </w:p>
        </w:tc>
        <w:tc>
          <w:tcPr>
            <w:tcW w:w="160" w:type="dxa"/>
            <w:vAlign w:val="bottom"/>
          </w:tcPr>
          <w:p>
            <w:pPr>
              <w:spacing w:after="0"/>
              <w:rPr>
                <w:sz w:val="18"/>
                <w:szCs w:val="18"/>
                <w:color w:val="auto"/>
              </w:rPr>
            </w:pP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3.7 %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Loss on extinguishment of debt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000" w:type="dxa"/>
            <w:vAlign w:val="bottom"/>
            <w:tcBorders>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0.9 %</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(3,465)</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ind w:left="10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(826)</w:t>
            </w:r>
          </w:p>
        </w:tc>
        <w:tc>
          <w:tcPr>
            <w:tcW w:w="14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(1,388)</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other expense, net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6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Earnings from equity method investment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697</w:t>
            </w:r>
          </w:p>
        </w:tc>
        <w:tc>
          <w:tcPr>
            <w:tcW w:w="140" w:type="dxa"/>
            <w:vAlign w:val="bottom"/>
          </w:tcPr>
          <w:p>
            <w:pPr>
              <w:spacing w:after="0"/>
              <w:rPr>
                <w:sz w:val="18"/>
                <w:szCs w:val="18"/>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0.3 %</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1,262</w:t>
            </w:r>
          </w:p>
        </w:tc>
        <w:tc>
          <w:tcPr>
            <w:tcW w:w="1000" w:type="dxa"/>
            <w:vAlign w:val="bottom"/>
            <w:gridSpan w:val="3"/>
          </w:tcPr>
          <w:p>
            <w:pPr>
              <w:jc w:val="right"/>
              <w:ind w:right="10"/>
              <w:spacing w:after="0"/>
              <w:rPr>
                <w:sz w:val="20"/>
                <w:szCs w:val="20"/>
                <w:color w:val="auto"/>
              </w:rPr>
            </w:pPr>
            <w:r>
              <w:rPr>
                <w:rFonts w:ascii="Arial" w:cs="Arial" w:eastAsia="Arial" w:hAnsi="Arial"/>
                <w:sz w:val="18"/>
                <w:szCs w:val="18"/>
                <w:color w:val="auto"/>
              </w:rPr>
              <w:t>0.3 %</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(565)</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income before income taxes</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9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(24,450)</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1,956</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16,290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(14,334)</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tcBorders>
              <w:top w:val="single" w:sz="8" w:color="CCEEFF"/>
              <w:bottom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(10,116)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line="236" w:lineRule="exact"/>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(a)</w:t>
            </w: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7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4200" w:type="dxa"/>
            <w:vAlign w:val="bottom"/>
            <w:gridSpan w:val="3"/>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42,032</w:t>
            </w:r>
          </w:p>
        </w:tc>
        <w:tc>
          <w:tcPr>
            <w:tcW w:w="140" w:type="dxa"/>
            <w:vAlign w:val="bottom"/>
            <w:vMerge w:val="continue"/>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w:t>
            </w:r>
          </w:p>
        </w:tc>
        <w:tc>
          <w:tcPr>
            <w:tcW w:w="24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96,615</w:t>
            </w:r>
          </w:p>
        </w:tc>
        <w:tc>
          <w:tcPr>
            <w:tcW w:w="160" w:type="dxa"/>
            <w:vAlign w:val="bottom"/>
            <w:vMerge w:val="continue"/>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24.2</w:t>
            </w:r>
          </w:p>
        </w:tc>
        <w:tc>
          <w:tcPr>
            <w:tcW w:w="240" w:type="dxa"/>
            <w:vAlign w:val="bottom"/>
            <w:vMerge w:val="continue"/>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 (54,583)</w:t>
            </w:r>
          </w:p>
        </w:tc>
        <w:tc>
          <w:tcPr>
            <w:tcW w:w="160" w:type="dxa"/>
            <w:vAlign w:val="bottom"/>
            <w:vMerge w:val="continue"/>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w:t>
            </w: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60" w:type="dxa"/>
            <w:vAlign w:val="bottom"/>
            <w:tcBorders>
              <w:bottom w:val="single" w:sz="8" w:color="auto"/>
            </w:tcBorders>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firstLine="8"/>
        <w:spacing w:after="0" w:line="277" w:lineRule="auto"/>
        <w:tabs>
          <w:tab w:leader="none" w:pos="324"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EBITDA is a non-GAAP measure. See “Non-GAAP Financial Measures” for a reconciliation to net income (loss), the most directly comparable GAAP measure, and for information regarding our use of Adjusted EBITDA.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Net sales were $314.8 million for the two fiscal quarters ended July 1, 2023, compared to $398.4 million for the two fiscal quarters ended July 2, 2022. The $83.6 million, or 21.0%, decrease in net sales was because of a $93.1 million decrease in sales volume, partially offset by a $9.5 million increase from higher pricing. The volume was primarily attributable to the pool market returning to pre-2020 seasonality in the first quarter of fiscal 2023 and continuing macroeconomic challenges. The decrease in total net sales of $83.6 million across our product lines consisted of $54.9 million for in-ground swimming pools, $19.3 million for liners and $9.4 million in covers.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and Gross Margin</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Cost of sales was $231.2 million for the two fiscal quarters ended July 1, 2023, compared to $260.2 million for the two fiscal quarters ended July 2, 2022. Gross margin decreased by 8.1%, to 26.6% of net sales for the two fiscal quarters ended July 1, 2023 compared to 34.7% of net sales for the two fiscal quarters ended July 2, 2022. The $29.0 million, or 11.1%, decrease in cost of sales was primarily the result of the decrease in sales volume and a $2.5 million decrease in non-cash stock-based compensation expense. The</w:t>
      </w:r>
    </w:p>
    <w:p>
      <w:pPr>
        <w:spacing w:after="0" w:line="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8.1% decrease in gross margin was primarily driven by reduced sales, sell-through of higher cost inventory, negative fixed cost leverage from year-over-year volume declines, the impact of inflation, and the right sizing of our inventory.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Selling, general, and administrative expense was $63.3 million for the two fiscal quarters ended July 1, 2023, compared to $87.0 million for the two fiscal quarters ended July 2, 2022, and decreased as a percentage of net sales by 1.7%. The $23.7 million, or 27.3%, decrease in selling, general, and administrative expense was primarily driven by an $18.3 million decrease in non-cash stock-based compensation expense, lower incentive accruals, and benefits from the cost reduction actions taken in the fourth quarter of fiscal 2022 and the second quarter of fiscal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Fees Related to Offering of Common Stock</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Underwriting fees related to our offering of common stock were $11.4 million for the two fiscal quarters ended July 2, 2022, related to the offering that was completed in January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22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Amortization was $13.3 million for the two fiscal quarters ended July 1, 2023, compared to $14.3 million for the two fiscal quarters ended July 2, 2022. The $1.0 million, or 7.5%, decrease in amortization was driven by certain definite-lived intangible assets becoming fully amortized during the fiscal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Interest expense, net was $15.3 million for the two fiscal quarters ended July 1, 2023, compared to $4.9 million for the two fiscal quarters ended July 2, 2022. The $10.4 million, or 210.2%, increase in interest expense, net was primarily the result of the change in the fair value of our interest rate swaps and a higher effective interest rate, compared to the two fiscal quarters ended July 2, 2022. Interest expense, net for the two fiscal quarters ended July 1, 2023 was impacted by an unrealized loss of $2.9 million related to the change in fair value of our interest rate swaps compared to an unrealized gain of $3.9 million for the two fiscal quarters ended July 2,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w:t>
      </w:r>
    </w:p>
    <w:p>
      <w:pPr>
        <w:spacing w:after="0" w:line="22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Loss on extinguishment of debt was $3.5 million for the two fiscal quarters ended July 2, 2022, related to our debt refinancing completed in February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Other (income) expense, net was $(0.8) million for the two fiscal quarters ended July 1, 2023, compared to $0.6 million for the two fiscal quarters ended July 2, 2022. The $1.4 million increase in other income was primarily driven by a favorable change in net foreign currency transaction gains and losses associated with our international subsidiaries.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from Equity Method Investment</w:t>
      </w:r>
    </w:p>
    <w:p>
      <w:pPr>
        <w:spacing w:after="0" w:line="22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Earnings from our equity method investment in Premier Pools &amp; Spa were $0.7 million for the two fiscal quarters ended July 1, 2023, compared to $1.3 million for the two fiscal quarters ended July 2, 2022, because of the financial performance of Premier Pools &amp; Spa.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Income tax expense was $2.0 million for the two fiscal quarters ended July 1, 2023, compared to income tax expense of $16.3 million for the two fiscal quarters ended July 2, 2022. Our effective tax rate was (29.2)% for the two fiscal quarters ended July 1, 2023, compared to 91.8% for the two fiscal quarters ended July 2, 2022. The difference between the U.S. federal statutory income tax rate and our effective income tax rate for both the fiscal quarters ended July 1, 2023 and July 2, 2022 was primarily attributable to the discrete impact of stock-based compensation expense for which there is no associated tax benefit.</w:t>
      </w: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665" w:right="107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w:t>
      </w:r>
    </w:p>
    <w:p>
      <w:pPr>
        <w:spacing w:after="0" w:line="225"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Net loss was $8.7 million for the two fiscal quarters ended July 1, 2023, compared to $1.5 million of net income for the two fiscal quarters ended July 2, 2022. The $10.2 million, or 691.5%, increase in net loss was primarily because of the factors described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Margin</w:t>
      </w:r>
    </w:p>
    <w:p>
      <w:pPr>
        <w:spacing w:after="0" w:line="22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loss margin was (2.7%) for the two fiscal quarters ended July 1, 2023, compared to net income margin of 0.4% for the two fiscal quarters ended July 2, 2022. The 3.1% increase in net loss margin was driven by a $10.2 million increase in net loss and an $83.6 million decrease in net sales, compared to the two fiscal quarters ended July 2, 2022 because of the factors described above.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Adjusted EBITDA was $42.0 million for the two fiscal quarters ended July 1, 2023, compared to $96.6 million for the two fiscal quarters ended July 2, 2022. The $54.6 million, or 56.5%, decrease in Adjusted EBITDA was primarily because of the decrease in net sales, as well as the other factors described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22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Adjusted EBITDA margin was 13.3% for the two fiscal quarters ended July 1, 2023, compared to 24.2% for the two fiscal quarters ended July 2, 2022. The 10.9% decrease in Adjusted EBITDA margin was primarily because of a $54.6 million decrease in Adjusted EBITDA and an $83.6 million decrease in net sales, compared to the two fiscal quarters ended July 2, 2022, which were impacted by the other factors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Adjusted EBITDA and Adjusted EBITDA margin are key metrics used by management and our board of directors to assess our financial performance. Adjusted EBITDA and Adjusted EBITDA margin are also frequently used by analysts, investors, and other interested parties to evaluate companies in our industry, when considered alongside other GAAP measures. Management believes it is useful to investors and analysts to evaluate these non-GAAP measures for the same reasons and on the same basis as management the board use them to evaluate our operating results. We use Adjusted EBITDA and Adjusted EBITDA margin to supplement GAAP measures of performance to evaluate the effectiveness of our business strategies, to make budgeting decisions, to utilize as a significant performance metric in our annual management incentive bonus plan compensation, and to compare our performance against that of other companies using similar measures. We have presented Adjusted EBITDA and Adjusted EBITDA margin solely as supplemental disclosures because we believe they allow for a more complete analysis of results of operations and assist investors and analysts in comparing our operating performance across reporting periods on a consistent basis by excluding items that we do not believe are indicative of our core operating performance, such as (i) depreciation and amortization, (ii) interest expense, net, (iii) income tax (benefit) expense, (iv) loss (gain) on sale and disposal of property and equipment, (v) restructuring charges, (vi) stock-based compensation expense, (vii) unrealized losses (gains) on foreign currency transactions, (viii) strategic initiative costs, (ix) acquisition and integration related costs, (x) loss on extinguishment of debt, (xi) underwriting fees related to offering of common stock, (xii) Odessa fire and (xiii) other items that we do not believe are indicative of our core operating performance.</w:t>
      </w:r>
    </w:p>
    <w:p>
      <w:pPr>
        <w:spacing w:after="0" w:line="38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Adjusted EBITDA and Adjusted EBITDA margin are non-GAAP financial measures and should not be considered as alternatives to net income (loss) as a measure of financial performance or any other performance measure derived in accordance with GAAP, and they should not be construed as an inference that our future results will be unaffected by unusual or non-recurring items. You are encouraged to evaluate these adjustments and the reasons we consider them appropriate for supplemental analysis. In evaluating Adjusted EBITDA and Adjusted EBITDA margin, you should be aware that in the future we may incur expenses that are the same as or similar to some of the adjustments in this presentation. There can be no assurance that we will not modify the presentation of Adjusted EBITDA and Adjusted EBITDA margin in the future, and any such modification may be material. Our presentation of Adjusted EBITDA and Adjusted EBITDA margin should not be construed to imply that our future results will be unaffected by any such adjustments. In addition, other companies, including companies in our industry, may not calculate Adjusted EBITDA and Adjusted EBITDA margin at all or may calculate Adjusted EBITDA and Adjusted EBITDA margin differently and accordingly, are not necessarily comparable to similarly entitled measures of other companies, which reduces the usefulness of Adjusted EBITDA and Adjusted EBITDA margin as tools for comparison.</w:t>
      </w:r>
    </w:p>
    <w:p>
      <w:pPr>
        <w:spacing w:after="0" w:line="17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Adjusted EBITDA and Adjusted EBITDA margin have their limitations as analytical tools, and you should not consider them in isolation or as a substitute for analysis of our results as reported under GAAP. Some of these limitations are that Adjusted EBITDA and Adjusted EBITDA margin:</w:t>
      </w:r>
    </w:p>
    <w:p>
      <w:pPr>
        <w:spacing w:after="0" w:line="184" w:lineRule="exact"/>
        <w:rPr>
          <w:sz w:val="20"/>
          <w:szCs w:val="20"/>
          <w:color w:val="auto"/>
        </w:rPr>
      </w:pPr>
    </w:p>
    <w:p>
      <w:pPr>
        <w:ind w:left="1000" w:hanging="31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 not reflect every expenditure, future requirements for capital expenditures or contractual commitments;</w:t>
      </w:r>
    </w:p>
    <w:p>
      <w:pPr>
        <w:spacing w:after="0" w:line="225" w:lineRule="exact"/>
        <w:rPr>
          <w:rFonts w:ascii="Arial" w:cs="Arial" w:eastAsia="Arial" w:hAnsi="Arial"/>
          <w:sz w:val="18"/>
          <w:szCs w:val="18"/>
          <w:color w:val="auto"/>
        </w:rPr>
      </w:pPr>
    </w:p>
    <w:p>
      <w:pPr>
        <w:ind w:left="1000" w:hanging="317"/>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 not reflect changes in our working capital needs;</w:t>
      </w:r>
    </w:p>
    <w:p>
      <w:pPr>
        <w:spacing w:after="0" w:line="225" w:lineRule="exact"/>
        <w:rPr>
          <w:rFonts w:ascii="Arial" w:cs="Arial" w:eastAsia="Arial" w:hAnsi="Arial"/>
          <w:sz w:val="18"/>
          <w:szCs w:val="18"/>
          <w:color w:val="auto"/>
        </w:rPr>
      </w:pPr>
    </w:p>
    <w:p>
      <w:pPr>
        <w:ind w:left="1000" w:right="760" w:hanging="317"/>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 not reflect the interest expense, net, or the amounts necessary to service interest or principal payments, on our outstanding debt;</w:t>
      </w:r>
    </w:p>
    <w:p>
      <w:pPr>
        <w:spacing w:after="0" w:line="170" w:lineRule="exact"/>
        <w:rPr>
          <w:rFonts w:ascii="Arial" w:cs="Arial" w:eastAsia="Arial" w:hAnsi="Arial"/>
          <w:sz w:val="18"/>
          <w:szCs w:val="18"/>
          <w:color w:val="auto"/>
        </w:rPr>
      </w:pPr>
    </w:p>
    <w:p>
      <w:pPr>
        <w:ind w:left="1000" w:right="300" w:hanging="317"/>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 not reflect income tax (benefit) expense, and because the payment of taxes is part of our operations, tax expense is a necessary element of our costs and ability to operate;</w:t>
      </w:r>
    </w:p>
    <w:p>
      <w:pPr>
        <w:spacing w:after="0" w:line="170" w:lineRule="exact"/>
        <w:rPr>
          <w:rFonts w:ascii="Arial" w:cs="Arial" w:eastAsia="Arial" w:hAnsi="Arial"/>
          <w:sz w:val="18"/>
          <w:szCs w:val="18"/>
          <w:color w:val="auto"/>
        </w:rPr>
      </w:pPr>
    </w:p>
    <w:p>
      <w:pPr>
        <w:ind w:left="1000" w:right="80" w:hanging="317"/>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 not reflect non-cash stock-based compensation, which will remain a key element of our overall compensation package; and</w:t>
      </w:r>
    </w:p>
    <w:p>
      <w:pPr>
        <w:spacing w:after="0" w:line="170" w:lineRule="exact"/>
        <w:rPr>
          <w:rFonts w:ascii="Arial" w:cs="Arial" w:eastAsia="Arial" w:hAnsi="Arial"/>
          <w:sz w:val="18"/>
          <w:szCs w:val="18"/>
          <w:color w:val="auto"/>
        </w:rPr>
      </w:pPr>
    </w:p>
    <w:p>
      <w:pPr>
        <w:ind w:left="1000" w:right="380" w:hanging="317"/>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 not reflect the impact of earnings or charges resulting from matters we consider not to be indicative of our ongoing operations.</w:t>
      </w:r>
    </w:p>
    <w:p>
      <w:pPr>
        <w:sectPr>
          <w:pgSz w:w="11900" w:h="16838" w:orient="portrait"/>
          <w:cols w:equalWidth="0" w:num="1">
            <w:col w:w="9880"/>
          </w:cols>
          <w:pgMar w:left="980" w:top="665" w:right="1039" w:bottom="1440" w:gutter="0" w:footer="0" w:header="0"/>
        </w:sect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665" w:right="10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Although depreciation and amortization are eliminated in the calculation of Adjusted EBITDA and Adjusted EBITDA margin, the assets being depreciated and amortized will often have to be replaced in the future, and Adjusted EBITDA and Adjusted EBITDA margin do not reflect any costs of such replacements.</w:t>
      </w:r>
    </w:p>
    <w:p>
      <w:pPr>
        <w:spacing w:after="0" w:line="184"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Management compensates for these limitations by primarily relying on our GAAP results, while using Adjusted EBITDA and Adjusted EBITDA margin as supplements to the corresponding GAAP financial measures.</w:t>
      </w:r>
    </w:p>
    <w:p>
      <w:pPr>
        <w:spacing w:after="0" w:line="170"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following table provides a reconciliation of our net income (loss) to Adjusted EBITDA for the periods presented and the calculation of Adjusted EBITDA margin: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Fiscal Quarter Ended</w:t>
            </w:r>
          </w:p>
        </w:tc>
        <w:tc>
          <w:tcPr>
            <w:tcW w:w="140" w:type="dxa"/>
            <w:vAlign w:val="bottom"/>
          </w:tcPr>
          <w:p>
            <w:pPr>
              <w:spacing w:after="0"/>
              <w:rPr>
                <w:sz w:val="14"/>
                <w:szCs w:val="14"/>
                <w:color w:val="auto"/>
              </w:rPr>
            </w:pPr>
          </w:p>
        </w:tc>
        <w:tc>
          <w:tcPr>
            <w:tcW w:w="25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Two Fiscal Quarters Ended</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July 1, 2023</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6"/>
              </w:rPr>
              <w:t>July 2, 2022</w:t>
            </w:r>
          </w:p>
        </w:tc>
        <w:tc>
          <w:tcPr>
            <w:tcW w:w="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July 1, 2023</w:t>
            </w: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July 2, 2022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20" w:type="dxa"/>
            <w:vAlign w:val="bottom"/>
            <w:gridSpan w:val="5"/>
          </w:tcPr>
          <w:p>
            <w:pPr>
              <w:jc w:val="right"/>
              <w:ind w:right="760"/>
              <w:spacing w:after="0" w:line="155" w:lineRule="exact"/>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10,026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9,780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19,284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19,274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4,884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10,983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16,290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Loss on sale and disposal of property and equipment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line="216" w:lineRule="exact"/>
              <w:rPr>
                <w:sz w:val="20"/>
                <w:szCs w:val="20"/>
                <w:color w:val="auto"/>
              </w:rPr>
            </w:pPr>
            <w:r>
              <w:rPr>
                <w:rFonts w:ascii="Arial" w:cs="Arial" w:eastAsia="Arial" w:hAnsi="Arial"/>
                <w:sz w:val="17"/>
                <w:szCs w:val="17"/>
                <w:color w:val="auto"/>
              </w:rPr>
              <w:t>Restructuring charges</w:t>
            </w:r>
            <w:r>
              <w:rPr>
                <w:rFonts w:ascii="Arial" w:cs="Arial" w:eastAsia="Arial" w:hAnsi="Arial"/>
                <w:sz w:val="25"/>
                <w:szCs w:val="25"/>
                <w:color w:val="auto"/>
                <w:vertAlign w:val="superscript"/>
              </w:rPr>
              <w:t>(a)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Stock-based compensation expense</w:t>
            </w:r>
            <w:r>
              <w:rPr>
                <w:rFonts w:ascii="Arial" w:cs="Arial" w:eastAsia="Arial" w:hAnsi="Arial"/>
                <w:sz w:val="25"/>
                <w:szCs w:val="25"/>
                <w:color w:val="auto"/>
                <w:vertAlign w:val="superscript"/>
              </w:rPr>
              <w:t>(b)</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33,354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00" w:type="dxa"/>
            <w:vAlign w:val="bottom"/>
          </w:tcPr>
          <w:p>
            <w:pPr>
              <w:ind w:left="4180"/>
              <w:spacing w:after="0" w:line="108" w:lineRule="exact"/>
              <w:rPr>
                <w:sz w:val="20"/>
                <w:szCs w:val="20"/>
                <w:color w:val="auto"/>
              </w:rPr>
            </w:pPr>
            <w:r>
              <w:rPr>
                <w:rFonts w:ascii="Arial" w:cs="Arial" w:eastAsia="Arial" w:hAnsi="Arial"/>
                <w:sz w:val="12"/>
                <w:szCs w:val="12"/>
                <w:color w:val="auto"/>
              </w:rPr>
              <w:t>(c)</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(1,198)</w:t>
            </w:r>
          </w:p>
        </w:tc>
        <w:tc>
          <w:tcPr>
            <w:tcW w:w="16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1,718</w:t>
            </w: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(468)</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1,714</w:t>
            </w: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00" w:type="dxa"/>
            <w:vAlign w:val="bottom"/>
          </w:tcPr>
          <w:p>
            <w:pPr>
              <w:spacing w:after="0" w:line="108" w:lineRule="exact"/>
              <w:rPr>
                <w:sz w:val="20"/>
                <w:szCs w:val="20"/>
                <w:color w:val="auto"/>
              </w:rPr>
            </w:pPr>
            <w:r>
              <w:rPr>
                <w:rFonts w:ascii="Arial" w:cs="Arial" w:eastAsia="Arial" w:hAnsi="Arial"/>
                <w:sz w:val="12"/>
                <w:szCs w:val="12"/>
                <w:color w:val="auto"/>
              </w:rPr>
              <w:t>Unrealized (gains) losses on foreign currency transactions</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Strategic initiative costs</w:t>
            </w:r>
            <w:r>
              <w:rPr>
                <w:rFonts w:ascii="Arial" w:cs="Arial" w:eastAsia="Arial" w:hAnsi="Arial"/>
                <w:sz w:val="25"/>
                <w:szCs w:val="25"/>
                <w:color w:val="auto"/>
                <w:vertAlign w:val="superscript"/>
              </w:rPr>
              <w:t>(d)</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line="216" w:lineRule="exact"/>
              <w:rPr>
                <w:sz w:val="20"/>
                <w:szCs w:val="20"/>
                <w:color w:val="auto"/>
              </w:rPr>
            </w:pPr>
            <w:r>
              <w:rPr>
                <w:rFonts w:ascii="Arial" w:cs="Arial" w:eastAsia="Arial" w:hAnsi="Arial"/>
                <w:sz w:val="17"/>
                <w:szCs w:val="17"/>
                <w:color w:val="auto"/>
              </w:rPr>
              <w:t>Acquisition and integration related costs</w:t>
            </w:r>
            <w:r>
              <w:rPr>
                <w:rFonts w:ascii="Arial" w:cs="Arial" w:eastAsia="Arial" w:hAnsi="Arial"/>
                <w:sz w:val="25"/>
                <w:szCs w:val="25"/>
                <w:color w:val="auto"/>
                <w:vertAlign w:val="superscript"/>
              </w:rPr>
              <w:t>(e)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Loss on extinguishment of debt</w:t>
            </w:r>
            <w:r>
              <w:rPr>
                <w:rFonts w:ascii="Arial" w:cs="Arial" w:eastAsia="Arial" w:hAnsi="Arial"/>
                <w:sz w:val="25"/>
                <w:szCs w:val="25"/>
                <w:color w:val="auto"/>
                <w:vertAlign w:val="superscript"/>
              </w:rPr>
              <w:t>(f)</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line="216" w:lineRule="exact"/>
              <w:rPr>
                <w:sz w:val="20"/>
                <w:szCs w:val="20"/>
                <w:color w:val="auto"/>
              </w:rPr>
            </w:pPr>
            <w:r>
              <w:rPr>
                <w:rFonts w:ascii="Arial" w:cs="Arial" w:eastAsia="Arial" w:hAnsi="Arial"/>
                <w:sz w:val="17"/>
                <w:szCs w:val="17"/>
                <w:color w:val="auto"/>
              </w:rPr>
              <w:t>Underwriting fees related to offering of common stock</w:t>
            </w:r>
            <w:r>
              <w:rPr>
                <w:rFonts w:ascii="Arial" w:cs="Arial" w:eastAsia="Arial" w:hAnsi="Arial"/>
                <w:sz w:val="25"/>
                <w:szCs w:val="25"/>
                <w:color w:val="auto"/>
                <w:vertAlign w:val="superscript"/>
              </w:rPr>
              <w:t>(g)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11,437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Odessa fire</w:t>
            </w:r>
            <w:r>
              <w:rPr>
                <w:rFonts w:ascii="Arial" w:cs="Arial" w:eastAsia="Arial" w:hAnsi="Arial"/>
                <w:sz w:val="25"/>
                <w:szCs w:val="25"/>
                <w:color w:val="auto"/>
                <w:vertAlign w:val="superscript"/>
              </w:rPr>
              <w:t>(h)</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line="216" w:lineRule="exact"/>
              <w:rPr>
                <w:sz w:val="20"/>
                <w:szCs w:val="20"/>
                <w:color w:val="auto"/>
              </w:rPr>
            </w:pPr>
            <w:r>
              <w:rPr>
                <w:rFonts w:ascii="Arial" w:cs="Arial" w:eastAsia="Arial" w:hAnsi="Arial"/>
                <w:sz w:val="17"/>
                <w:szCs w:val="17"/>
                <w:color w:val="auto"/>
              </w:rPr>
              <w:t>Other</w:t>
            </w:r>
            <w:r>
              <w:rPr>
                <w:rFonts w:ascii="Arial" w:cs="Arial" w:eastAsia="Arial" w:hAnsi="Arial"/>
                <w:sz w:val="25"/>
                <w:szCs w:val="25"/>
                <w:color w:val="auto"/>
                <w:vertAlign w:val="superscript"/>
              </w:rPr>
              <w:t>(i)</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30,999</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48,653</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42,032</w:t>
            </w:r>
          </w:p>
        </w:tc>
        <w:tc>
          <w:tcPr>
            <w:tcW w:w="1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96,615</w:t>
            </w: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sales</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177,128</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206,800</w:t>
            </w: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314,847</w:t>
            </w: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398,414</w:t>
            </w:r>
          </w:p>
        </w:tc>
        <w:tc>
          <w:tcPr>
            <w:tcW w:w="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margin</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3.2 %</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2.1 %</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Adjusted EBITDA margin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17.5 %</w:t>
            </w: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23.5 %</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13.3 %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24.2 %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231775</wp:posOffset>
            </wp:positionV>
            <wp:extent cx="15690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right="360" w:firstLine="8"/>
        <w:spacing w:after="0" w:line="269" w:lineRule="auto"/>
        <w:tabs>
          <w:tab w:leader="none" w:pos="245"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costs related to a cost reduction plan announced in 2022 to optimize production and shift schedules, implement a workforce reduction, and to shut down our Bossier City, Louisiana facility. Also includes severance and other costs for our executive management changes and additional costs related to our 2023 cost reduction plan which includes further actions to reduce our manufacturing overhead by reducing headcount, and restricting discretionary spend.</w:t>
      </w:r>
    </w:p>
    <w:p>
      <w:pPr>
        <w:spacing w:after="0" w:line="1" w:lineRule="exact"/>
        <w:rPr>
          <w:rFonts w:ascii="Arial" w:cs="Arial" w:eastAsia="Arial" w:hAnsi="Arial"/>
          <w:sz w:val="17"/>
          <w:szCs w:val="17"/>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non-cash stock-based compensation expense.</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unrealized foreign currency transaction (gains) losses associated with our international subsidiaries.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fees paid to external consultants for our strategic initiatives.</w:t>
      </w:r>
    </w:p>
    <w:p>
      <w:pPr>
        <w:spacing w:after="0" w:line="9" w:lineRule="exact"/>
        <w:rPr>
          <w:rFonts w:ascii="Arial" w:cs="Arial" w:eastAsia="Arial" w:hAnsi="Arial"/>
          <w:sz w:val="18"/>
          <w:szCs w:val="18"/>
          <w:color w:val="auto"/>
        </w:rPr>
      </w:pPr>
    </w:p>
    <w:p>
      <w:pPr>
        <w:ind w:right="100" w:firstLine="8"/>
        <w:spacing w:after="0" w:line="250" w:lineRule="auto"/>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acquisition and integration costs primarily related to the acquisition of Radiant, the equity investment in Premier Pools &amp; Spas, as well as other costs related to potential transactions.</w:t>
      </w: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loss on extinguishment of debt in connection with our debt refinancing on February 23, 2022.</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underwriting fees related to our offering of common stock that was completed in January 2022.</w:t>
      </w:r>
    </w:p>
    <w:p>
      <w:pPr>
        <w:spacing w:after="0" w:line="9" w:lineRule="exact"/>
        <w:rPr>
          <w:rFonts w:ascii="Arial" w:cs="Arial" w:eastAsia="Arial" w:hAnsi="Arial"/>
          <w:sz w:val="18"/>
          <w:szCs w:val="18"/>
          <w:color w:val="auto"/>
        </w:rPr>
      </w:pPr>
    </w:p>
    <w:p>
      <w:pPr>
        <w:ind w:right="320" w:firstLine="8"/>
        <w:spacing w:after="0" w:line="250"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costs incurred and insurance recoveries in excess of costs incurred for the period related to a production facility fire in Odessa, Texas.</w:t>
      </w:r>
    </w:p>
    <w:p>
      <w:pPr>
        <w:ind w:right="120" w:firstLine="8"/>
        <w:spacing w:after="0" w:line="277" w:lineRule="auto"/>
        <w:tabs>
          <w:tab w:leader="none" w:pos="215"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costs consist of other discrete items as determined by management, primarily including (i) fees paid to external advisors for various matters, (ii) non-cash adjustments to record the step-up in the fair value of inventory related to the acquisition of Radiant, which was amortized through cost of sales in the condensed consolidated statements of operations, and (iii) other items.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Our primary sources of liquidity are net cash provided by operating activities and availability under our Revolving Credit Facility (as defined below). Historically, we have funded working capital requirements, capital expenditures, payments related to acquisitions, and debt service requirements with internally generated cash on hand, borrowings under our credit facilities, and the issuance of shares of our common stock. Our primary cash needs are to fund working capital, capital expenditures, debt service requirements, any acquisitions, or investments we may undertake, and any share repurchases we may make. As of July 1, 2023, we had $43.1 million of cash, $312.0 million of outstanding borrowings and an additional $75.0 million of borrowing availability under our Revolving Credit Facility.</w:t>
      </w:r>
    </w:p>
    <w:p>
      <w:pPr>
        <w:spacing w:after="0" w:line="164" w:lineRule="exact"/>
        <w:rPr>
          <w:sz w:val="20"/>
          <w:szCs w:val="20"/>
          <w:color w:val="auto"/>
        </w:rPr>
      </w:pPr>
    </w:p>
    <w:p>
      <w:pPr>
        <w:ind w:right="240" w:firstLine="324"/>
        <w:spacing w:after="0" w:line="301" w:lineRule="auto"/>
        <w:rPr>
          <w:sz w:val="20"/>
          <w:szCs w:val="20"/>
          <w:color w:val="auto"/>
        </w:rPr>
      </w:pPr>
      <w:r>
        <w:rPr>
          <w:rFonts w:ascii="Arial" w:cs="Arial" w:eastAsia="Arial" w:hAnsi="Arial"/>
          <w:sz w:val="16"/>
          <w:szCs w:val="16"/>
          <w:color w:val="auto"/>
        </w:rPr>
        <w:t>Our primary working capital requirements are for the purchase of inventory, payroll, rent, facility costs and other selling, general, and administrative costs. Our working capital requirements fluctuate during the fiscal year, driven primarily by seasonality and the timing of raw material purchases. Our capital expenditures are primarily related to growth, including production capacity, storage, and delivery equipment. We are in the midst of a multi-year capital plan to invest in our facilities, technology, and systems.</w:t>
      </w:r>
    </w:p>
    <w:p>
      <w:pPr>
        <w:spacing w:after="0" w:line="15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believe that our existing cash, cash generated from operations and availability under our Revolving Credit Facility will be adequate to fund our operating expenses and capital expenditure requirements over the next 12 months, as well as our longer-term liquidity needs. We have based this estimate on assumptions that may prove to be wrong, and we could utilize our available capital resources sooner than we expect. We may issue debt or equity securities, which may provide an additional source of liquidity. However, there can be no assurance equity or debt financing will be available to us when we need it or, if available, the terms will be satisfactory to us and not dilutive to our then-current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w:t>
      </w:r>
    </w:p>
    <w:p>
      <w:pPr>
        <w:spacing w:after="0" w:line="225"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On February 23, 2022, Latham Pool Products, Inc. (“Latham Pool Products”), our wholly owned subsidiary, entered into an agreement (the “Credit Agreement”) with Barclays Bank PLC, which provides a senior secured multicurrency revolving line of credit in an initial principal amount of $75.0 million (the “Revolving Credit Facility”) and a U.S. Dollar senior secured term loan (the “Term Loan”) in an initial principal amount of $325.0 million (the “Refinancing”). On such date, proceeds under the Credit Agreement were used to repay and replace $294.0 million under, and terminate, the previous credit agreement and for general corporate purposes.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Revolving Credit Facility</w:t>
      </w:r>
    </w:p>
    <w:p>
      <w:pPr>
        <w:spacing w:after="0" w:line="225" w:lineRule="exact"/>
        <w:rPr>
          <w:sz w:val="20"/>
          <w:szCs w:val="20"/>
          <w:color w:val="auto"/>
        </w:rPr>
      </w:pPr>
    </w:p>
    <w:p>
      <w:pPr>
        <w:ind w:right="160" w:firstLine="324"/>
        <w:spacing w:after="0" w:line="284" w:lineRule="auto"/>
        <w:rPr>
          <w:sz w:val="20"/>
          <w:szCs w:val="20"/>
          <w:color w:val="auto"/>
        </w:rPr>
      </w:pPr>
      <w:r>
        <w:rPr>
          <w:rFonts w:ascii="Arial" w:cs="Arial" w:eastAsia="Arial" w:hAnsi="Arial"/>
          <w:sz w:val="16"/>
          <w:szCs w:val="16"/>
          <w:color w:val="auto"/>
        </w:rPr>
        <w:t>The Revolving Credit Facility may be utilized to finance ongoing general corporate and working capital needs and permits Latham Pools Products to borrow loans in U.S. Dollars, Canadian Dollars, Euros and Australian Dollars. The Revolving Credit Facility matures on February 23, 2027. Loans outstanding under the Revolving Credit Facility denominated in U.S. Dollars and Canadian Dollars bear interest, at the borrower’s option, at a rate per annum based on Term SOFR or CDO (each, as defined in the Credit Agreement), as applicable, plus a margin of 3.50%, or at a rate per annum based on the Base Rate or the Canadian Prime Rate (each, as defined in the Credit Agreement), plus a margin of 2.50%. Loans outstanding under the Revolving Credit Facility denominated in Euros or Australian Dollars bear interest based on EURIBOR or the AUD Rate (each, as defined in the Credit Agreement), respectively, plus a margin of</w:t>
      </w:r>
    </w:p>
    <w:p>
      <w:pPr>
        <w:spacing w:after="0" w:line="2"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3.50%. A commitment fee accrues on any unused portion of the commitments under the Revolving Credit Facility. The commitment fee is due and payable quarterly in arrears and is, initially, 0.375% per annum and will, thereafter, accrue at a rate per annum ranging from 0.25% to 0.50%, depending on the First Lien Net Leverage Ratio (as defined in the Credit Agreement, the “First Lien Net Leverage Ratio”). The Revolving Credit Facility is not subject to amortization.</w:t>
      </w:r>
    </w:p>
    <w:p>
      <w:pPr>
        <w:spacing w:after="0" w:line="193"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are also required to meet certain financial covenants, including maintaining specific liquidity measurements. There are also negative covenants, including certain restrictions on our ability and the ability of our subsidiaries to incur additional indebtedness, create liens, make investments, consolidate, or merge with other entities, enter into transactions with affiliates, make prepayments with respect to certain indebtedness, make dividend payments, loans, or advances to the Company, declare dividends and make restricted payments and other distributions.</w:t>
      </w:r>
    </w:p>
    <w:p>
      <w:pPr>
        <w:spacing w:after="0" w:line="18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of July 1, 2023, we had no outstanding borrowings under the Revolving Credit Facility and $75.0 million was available for future borrowing.</w:t>
      </w:r>
    </w:p>
    <w:p>
      <w:pPr>
        <w:sectPr>
          <w:pgSz w:w="11900" w:h="16838" w:orient="portrait"/>
          <w:cols w:equalWidth="0" w:num="1">
            <w:col w:w="9920"/>
          </w:cols>
          <w:pgMar w:left="980" w:top="665"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The Term Loan matures on February 23, 2029. Loans outstanding under the Term Loan bear interest, at the borrower’s option, at a rate per annum based on Term SOFR (as defined in the Credit Agreement), plus a margin ranging from 3.75% to 4.00%, depending on the First Lien Net Leverage Ratio, or based on the Base Rate (as defined in the Credit Agreement), plus a margin ranging from 2.75% to 3.00%, depending on the First Lien Net Leverage Ratio. Loans under the Term Loan are subject to scheduled quarterly amortization payments equal to 0.25% of the initial principal amount of the Term Loan.</w:t>
      </w:r>
    </w:p>
    <w:p>
      <w:pPr>
        <w:spacing w:after="0" w:line="17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obligations under the Credit Agreement are guaranteed by certain of our wholly owned subsidiaries as defined in the security agreement. The obligations under the Credit Agreement are secured by substantially all of the guarantors’ tangible and intangible assets, including, but not limited to, their accounts receivables, equipment, intellectual property, inventory, cash and cash equivalents, deposit accounts and security accounts. The Credit Agreement also restricts payments and other distributions unless certain conditions are met, which could restrict our ability to pay dividends.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July 1, 2023, we had $312.0 million of outstanding borrowings under the Term Loan.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July 1, 2023, we were in compliance with all covenants under the Revolving Credit Facility and the 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May 10, 2022, we approved a stock repurchase program (the “Repurchase Program”), which authorized us to repurchase up to $100 million of our shares of common stock over the next three years. We may effect these repurchases in open market transactions, privately negotiated purchases or other acquisitions. We are not obligated to repurchase any of our outstanding shares under the Repurchase Program and the timing and amount of any repurchases will depend on market conditions, our stock price, alternative uses of capital, the terms of our debt instruments and other factors. We did not repurchase any shares of our common stock during the fiscal quarter ended July 1, 2023. As of July 1, 2023, approximately $77.0 million remained available for share repurchases pursuant to our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0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Two Fiscal Quarters Ended</w:t>
            </w:r>
          </w:p>
        </w:tc>
      </w:tr>
      <w:tr>
        <w:trPr>
          <w:trHeight w:val="142"/>
        </w:trPr>
        <w:tc>
          <w:tcPr>
            <w:tcW w:w="63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July 1, 2023</w:t>
            </w:r>
          </w:p>
        </w:tc>
        <w:tc>
          <w:tcPr>
            <w:tcW w:w="36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w w:val="99"/>
              </w:rPr>
              <w:t>July 2, 2022</w:t>
            </w:r>
          </w:p>
        </w:tc>
        <w:tc>
          <w:tcPr>
            <w:tcW w:w="80" w:type="dxa"/>
            <w:vAlign w:val="bottom"/>
          </w:tcPr>
          <w:p>
            <w:pPr>
              <w:spacing w:after="0"/>
              <w:rPr>
                <w:sz w:val="12"/>
                <w:szCs w:val="12"/>
                <w:color w:val="auto"/>
              </w:rPr>
            </w:pPr>
          </w:p>
        </w:tc>
      </w:tr>
      <w:tr>
        <w:trPr>
          <w:trHeight w:val="210"/>
        </w:trPr>
        <w:tc>
          <w:tcPr>
            <w:tcW w:w="6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36,289</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(15,086)</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8"/>
                <w:szCs w:val="18"/>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(23,365)</w:t>
            </w: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(17,111)</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(1,884)</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13,438</w:t>
            </w:r>
          </w:p>
        </w:tc>
        <w:tc>
          <w:tcPr>
            <w:tcW w:w="8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60" w:type="dxa"/>
            <w:vAlign w:val="bottom"/>
          </w:tcPr>
          <w:p>
            <w:pPr>
              <w:spacing w:after="0"/>
              <w:rPr>
                <w:sz w:val="18"/>
                <w:szCs w:val="18"/>
                <w:color w:val="auto"/>
              </w:rPr>
            </w:pPr>
          </w:p>
        </w:tc>
        <w:tc>
          <w:tcPr>
            <w:tcW w:w="1660" w:type="dxa"/>
            <w:vAlign w:val="bottom"/>
            <w:gridSpan w:val="2"/>
          </w:tcPr>
          <w:p>
            <w:pPr>
              <w:jc w:val="right"/>
              <w:ind w:right="360"/>
              <w:spacing w:after="0"/>
              <w:rPr>
                <w:sz w:val="20"/>
                <w:szCs w:val="20"/>
                <w:color w:val="auto"/>
              </w:rPr>
            </w:pPr>
            <w:r>
              <w:rPr>
                <w:rFonts w:ascii="Arial" w:cs="Arial" w:eastAsia="Arial" w:hAnsi="Arial"/>
                <w:sz w:val="18"/>
                <w:szCs w:val="18"/>
                <w:color w:val="auto"/>
              </w:rPr>
              <w:t>(550)</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increase (decrease) in cash</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10,490</w:t>
            </w: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(18,732)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During the two fiscal quarters ended July 1, 2023, operating activities provided $36.3 million of cash. Net loss, after adjustments for non-cash items, provided cash of $35.6 million. Cash provided by operating activities was further driven by changes in our operating assets and liabilities, which provided $0.7 million. Net cash used by changes in our operating assets and liabilities for the two fiscal quarters ended July 1, 2023 consisted primarily of a $37.3 million increase in trade receivables, a $6.9 million decrease in accrued expenses and other current liabilities, a $1.4 million increase in income tax receivable, a $0.9 million increase in prepaid expenses and other current assets, a $0.4 million increase in other assets, and a $0.2 million decrease in other long-term liabilities, partially offset by, a $38.9 million decrease in inventories, and a $8.9 million increase in accounts payable. The change in trade receivables was primarily driven by the timing of net sales, and the decrease in inventories was primarily driven by efforts to meet demand outlook while maintaining lead times and service levels. The changes in accrued expenses and other current liabilities and accounts payable were primarily driven by volume of purchases and timing of payments.</w:t>
      </w:r>
    </w:p>
    <w:p>
      <w:pPr>
        <w:spacing w:after="0" w:line="185"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During the two fiscal quarters ended July 2, 2022, operating activities used $15.1 million of cash. Net income, after adjustments for non-cash items, provided cash of $71.1 million. Cash used in operating activities was further driven by changes in our operating assets and liabilities, which used $86.2 million. Net cash used in changes in our operating assets and liabilities for the two fiscal quarters ended July 2, 2022 consisted primarily of a $45.7 million increase in trade receivables, a $53.2 million increase in inventories, a $1.3 million increase in income tax receivable, a $0.4 million increase in other assets, a $2.4 million decrease in accrued expenses and other current liabilities, partially offset by a $0.8 million decrease in prepaid expenses and other current assets, a $15.9 million increase in accounts payable, and a $0.2 million increase in other long-term liabilities. The change in trade receivables was primarily due to the timing of, and increase in, net sales, and the increase in inventories was primarily due to a strategic decision to carry more inventory in an attempt to minimize the impact of any supply chain interruptions as well as higher costs. The changes in accrued expenses and other current liabilities and accounts payable were primarily due to volume of purchases and timing of payments.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During the two fiscal quarters ended July 1, 2023, investing activities used $23.4 million of cash, consisting of purchases of property and equipment for $23.4 million. The purchase of property and equipment was primarily to expand capacity for production, especially for fiberglass pools.</w:t>
      </w:r>
    </w:p>
    <w:p>
      <w:pPr>
        <w:spacing w:after="0" w:line="18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During the two fiscal quarters ended July 2, 2022, investing activities used $17.1 million of cash, primarily consisting of purchases of property and equipment for $16.8 million and the settlement of the net working capital adjustment related to the acquisition of Radiant for $0.4 million. The purchase of property and equipment was primarily to expand capacity for inventory production in order to meet customer demand.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During the two fiscal quarters ended July 1, 2023, financing activities used $1.9 million of cash, primarily consisting of repayments on revolving credit facilities of $48.0 million, repayments on long-term debt borrowings of $1.6 million, and repayments of finance lease obligations of $0.3 million, partially offset by borrowings on revolving credit facilities of $48.0 million.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During the two fiscal quarters ended July 2, 2022, financing activities provided $13.4 million of cash, primarily consisting of proceeds from long-term debt borrowings in connection with the Refinancing of $320.1 million, proceeds from the sale of common stock of $257.7 million and borrowings on revolving credit facilities of $25.0 million, partially offset by repayments on long-term debt borrowings of $284.8 million, the repurchase and retirement of common stock of $272.7 million, repayments on revolving credit facilities borrowings of $25.0 million, and deferred financing fees paid of $6.9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There have been no material changes, outside of the ordinary course of business, to our contractual obligations during the two fiscal quarters ended July 1, 2023 from those described under the heading “Management’s Discussion and Analysis of Financial Condition and Results of Operations—Contractual Obligations” in our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Our condensed consolidated financial statements are prepared in accordance with generally accepted accounting principles in the United States. Throughout the preparation of these financial statements, we have made estimates and assumptions that impact the reported amounts of assets, liabilities, and the disclosure of contingent liabilities at the date of the financial statements and revenues and expenses during the reporting period. Our critical accounting policies are described below and under the heading “Management’s Discussion and Analysis of Financial Condition and Results of Operations—Critical Accounting Policies and Estimates” in our Annual Report and our Quarterly Report on Form 10-Q for the fiscal quarter ended April 1, 2023. These estimates are based on historical results, trends, and other assumptions we believe to be reasonable. We evaluate these estimates on an ongoing basis. Actual results may differ from estimates. For additional information about our critical accounting policies and estimates, see the disclosure included in our Annual Report and our Quarterly Report on Form 10-Q for the fiscal quarter ended April 1, 2023 as well as Note 2 - Summary of Significant Accounting Policies in the notes to the condensed consolidated financial statements included in Part I, Item 1, of this Quarterly Report on Form 10-Q.</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229"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or cash flows is disclosed in Note 2 to our condensed consolidated financial statements appearing elsewhere in this Quarterly Report on Form 10-Q.</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right="120" w:firstLine="324"/>
        <w:spacing w:after="0" w:line="305" w:lineRule="auto"/>
        <w:rPr>
          <w:sz w:val="20"/>
          <w:szCs w:val="20"/>
          <w:color w:val="auto"/>
        </w:rPr>
      </w:pPr>
      <w:r>
        <w:rPr>
          <w:rFonts w:ascii="Arial" w:cs="Arial" w:eastAsia="Arial" w:hAnsi="Arial"/>
          <w:sz w:val="15"/>
          <w:szCs w:val="15"/>
          <w:color w:val="auto"/>
        </w:rPr>
        <w:t>Market risk is the potential loss that may result from market changes associated with our business or with an existing or forecasted financial transaction. The value of a financial instrument may change as a result of changes in interest rates, exchange rates, commodity prices, equity prices and other market changes. We are exposed to changes in interest rates and foreign currency exchange rates because we finance certain operations through variable rate debt instruments and denominate some of our transactions in foreign currencies.</w:t>
      </w:r>
    </w:p>
    <w:p>
      <w:pPr>
        <w:spacing w:after="0" w:line="2" w:lineRule="exact"/>
        <w:rPr>
          <w:sz w:val="20"/>
          <w:szCs w:val="20"/>
          <w:color w:val="auto"/>
        </w:rPr>
      </w:pPr>
    </w:p>
    <w:p>
      <w:pPr>
        <w:ind w:right="480"/>
        <w:spacing w:after="0" w:line="260" w:lineRule="auto"/>
        <w:rPr>
          <w:sz w:val="20"/>
          <w:szCs w:val="20"/>
          <w:color w:val="auto"/>
        </w:rPr>
      </w:pPr>
      <w:r>
        <w:rPr>
          <w:rFonts w:ascii="Arial" w:cs="Arial" w:eastAsia="Arial" w:hAnsi="Arial"/>
          <w:sz w:val="18"/>
          <w:szCs w:val="18"/>
          <w:color w:val="auto"/>
        </w:rPr>
        <w:t>Changes in these rates may have an impact on future cash flow and earnings. We manage these risks through normal operating and financing activities.</w:t>
      </w:r>
    </w:p>
    <w:p>
      <w:pPr>
        <w:spacing w:after="0" w:line="185"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During the two fiscal quarters ended July 1, 2023, there have been no material changes, other than the interest rate swap discussed below, to the information included under the heading “Management’s Discussion and Analysis of Financial Condition and Results of Operations— Quantitative and Qualitative Disclosures about Market Risk” in our Annual Report.</w:t>
      </w:r>
    </w:p>
    <w:p>
      <w:pPr>
        <w:sectPr>
          <w:pgSz w:w="11900" w:h="16838" w:orient="portrait"/>
          <w:cols w:equalWidth="0" w:num="1">
            <w:col w:w="9900"/>
          </w:cols>
          <w:pgMar w:left="980" w:top="665"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We entered into an additional interest rate swap that was executed on March 10, 2023. The swap has an effective date of May 18, 2023 and a termination date of May 18, 2026. Under the terms of the swap, we fixed our SOFR borrowing rate on a notional amount of $161.0 million. The interest rate swap is not designated as a hedging instrument for accounting purposes.</w:t>
      </w:r>
    </w:p>
    <w:p>
      <w:pPr>
        <w:spacing w:after="0" w:line="165"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had executed an interest rate swap on April 30, 2020. The swap had an effective date of May 18, 2020 and a termination date of May 18, 2023. In February of 2022, we amended our interest rate swap to change the index rate from LIBOR to SOFR in connection with the entry into the Credit Agreement. The interest rate swap was not designated as a hedging instrument for accounting purposes. This swap was replaced by the swap discussed above.</w:t>
      </w:r>
    </w:p>
    <w:p>
      <w:pPr>
        <w:spacing w:after="0" w:line="18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An increase or decrease of 1% in the effective interest rate, giving effect related to interest rate swaps, as of July 1, 2023, would cause an increase or decrease to annual interest expense, net of approximately $1.5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July 1, 2023. Based upon their evaluation, our Chief Executive Officer and Chief Financial Officer concluded that our disclosure controls and procedures were effective at a reasonable assurance level as of July 1,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a control system must reflect the fact that there are resource constraints and that management is required to apply judgment in evaluating the benefits of possible controls and procedures relative to their costs. Further, because of the inherent limitations in all control systems, no evaluation of controls can provide absolute assurance that misstatements related to error or fraud will not occur or that all control issues and instances of fraud, if any, have been detected.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From time to time, we may be involved in litigation relating to claims arising out of our operations and businesses that cover a wide range of matters, including, among others, contract and employment claims, personal injury claims, intellectual property claims, product liability claims and warranty claims. Currently, there are no claims or proceedings against us that we believe will have a material adverse effect on our business, financial condition, results of operations or cash flows. Further, no material legal proceedings were terminated, settled, or otherwise resolved during the fiscal quarter ended July 1, 2023. However, the results of any current or</w:t>
      </w:r>
    </w:p>
    <w:p>
      <w:pPr>
        <w:sectPr>
          <w:pgSz w:w="11900" w:h="16838" w:orient="portrait"/>
          <w:cols w:equalWidth="0" w:num="1">
            <w:col w:w="9900"/>
          </w:cols>
          <w:pgMar w:left="980" w:top="665" w:right="1019"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future litigation cannot be predicted with certainty and, regardless of the outcome, we may incur significant costs and experience a diversion of management resources as a result of litigation.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have disclosed under the heading “Risk Factors” in our Annual Report, the risk factors that materially affect our business, financial condition, and results of operations. There have been no material changes from the risk factors previously disclosed in our Annual Report. You should carefully consider the risks, uncertainties, assumptions and other important factors set forth in the Annual Report, in this Form 10-Q and other subsequent reports we file or furnish with the SEC, any of which may cause our actual results, performance or achievements to be materially different from any future results, performance or achievements expressed or implied. For similar reasons, our past results may not be a reliable indicator of future performance and trends. You also should be aware that these risk factors and other information may not described every risk that we face. Additional risks and uncertainties not currently known to us or that we currently deem to be immaterial also may affect us. We operate in a very competitive and rapidly changing environment and new risks emerge from time to time, and we anticipate that subsequent events and developments will cause our views to change. Any of these known or emerging factors may materially adversely affect our business, financial condition, and operating results, as well as the trading price of our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On May 10, 2022, we approved a stock repurchase program, which authorized us to repurchase up to $100.0 million of our shares of common stock over the next three years. We may effect these repurchases in open market transactions, privately negotiated purchases or other acquisitions. We are not obligated to repurchase any of our shares of our common stock under the program and the timing and amount of any repurchases will depend on market conditions, our stock price, alternative uses of capital, the terms of our debt instruments and other factors. As of July 1, 2023, approximately $77.0 million remained available for share repurchases pursuant to the repurchase program. We did not repurchase any shares of our common stock during the fiscal quarter ended July 1, 2023.</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 – Directors and Section 16 Officers</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During the 13 weeks ended July 1, 2023, none of the Company's directors or Section 16 officers adopted or terminated any contract, instruction or written plan for the purchase or sale of Company securities that was intended to satisfy the affirmative defense conditions of Rule 10b5-1(c) of the Exchange Act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Exhibit</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w:t>
            </w:r>
          </w:p>
        </w:tc>
        <w:tc>
          <w:tcPr>
            <w:tcW w:w="140" w:type="dxa"/>
            <w:vAlign w:val="bottom"/>
          </w:tcPr>
          <w:p>
            <w:pPr>
              <w:spacing w:after="0"/>
              <w:rPr>
                <w:sz w:val="20"/>
                <w:szCs w:val="20"/>
                <w:color w:val="auto"/>
              </w:rPr>
            </w:pPr>
          </w:p>
        </w:tc>
        <w:tc>
          <w:tcPr>
            <w:tcW w:w="876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rPr>
              <w:t>Description</w:t>
            </w:r>
          </w:p>
        </w:tc>
      </w:tr>
      <w:tr>
        <w:trPr>
          <w:trHeight w:val="169"/>
        </w:trPr>
        <w:tc>
          <w:tcPr>
            <w:tcW w:w="1020" w:type="dxa"/>
            <w:vAlign w:val="bottom"/>
          </w:tcPr>
          <w:p>
            <w:pPr>
              <w:spacing w:after="0" w:line="169" w:lineRule="exact"/>
              <w:rPr>
                <w:sz w:val="20"/>
                <w:szCs w:val="20"/>
                <w:color w:val="auto"/>
              </w:rPr>
            </w:pPr>
            <w:r>
              <w:rPr>
                <w:rFonts w:ascii="Arial" w:cs="Arial" w:eastAsia="Arial" w:hAnsi="Arial"/>
                <w:sz w:val="18"/>
                <w:szCs w:val="18"/>
                <w:color w:val="auto"/>
              </w:rPr>
              <w:t>10.1†</w:t>
            </w:r>
          </w:p>
        </w:tc>
        <w:tc>
          <w:tcPr>
            <w:tcW w:w="140" w:type="dxa"/>
            <w:vAlign w:val="bottom"/>
          </w:tcPr>
          <w:p>
            <w:pPr>
              <w:spacing w:after="0"/>
              <w:rPr>
                <w:sz w:val="14"/>
                <w:szCs w:val="14"/>
                <w:color w:val="auto"/>
              </w:rPr>
            </w:pPr>
          </w:p>
        </w:tc>
        <w:tc>
          <w:tcPr>
            <w:tcW w:w="8600" w:type="dxa"/>
            <w:vAlign w:val="bottom"/>
            <w:tcBorders>
              <w:bottom w:val="single" w:sz="8" w:color="0000EE"/>
            </w:tcBorders>
            <w:gridSpan w:val="5"/>
          </w:tcPr>
          <w:p>
            <w:pPr>
              <w:spacing w:after="0" w:line="169"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First Amendment to the Latham Group, Inc. 2021 Omnibus Equity Incentive Plan (incorporated by reference to Exhibit</w:t>
              </w:r>
            </w:hyperlink>
          </w:p>
        </w:tc>
        <w:tc>
          <w:tcPr>
            <w:tcW w:w="160" w:type="dxa"/>
            <w:vAlign w:val="bottom"/>
            <w:gridSpan w:val="3"/>
          </w:tcPr>
          <w:p>
            <w:pPr>
              <w:spacing w:after="0"/>
              <w:rPr>
                <w:sz w:val="14"/>
                <w:szCs w:val="1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3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55">
              <w:r>
                <w:rPr>
                  <w:rFonts w:ascii="Arial" w:cs="Arial" w:eastAsia="Arial" w:hAnsi="Arial"/>
                  <w:sz w:val="18"/>
                  <w:szCs w:val="18"/>
                  <w:color w:val="0000EE"/>
                  <w:w w:val="92"/>
                </w:rPr>
                <w:t>10 to Latham Group, Inc.’s Current Report on Form 8-K filed with the SEC on May 4, 2023 (File No. 001-40358)).</w:t>
              </w:r>
            </w:hyperlink>
          </w:p>
        </w:tc>
        <w:tc>
          <w:tcPr>
            <w:tcW w:w="440" w:type="dxa"/>
            <w:vAlign w:val="bottom"/>
            <w:gridSpan w:val="4"/>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40" w:type="dxa"/>
            <w:vAlign w:val="bottom"/>
          </w:tcPr>
          <w:p>
            <w:pPr>
              <w:spacing w:after="0"/>
              <w:rPr>
                <w:sz w:val="17"/>
                <w:szCs w:val="17"/>
                <w:color w:val="auto"/>
              </w:rPr>
            </w:pPr>
          </w:p>
        </w:tc>
        <w:tc>
          <w:tcPr>
            <w:tcW w:w="498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Certification of CEO, pursuant to SEC Rule 13a-14(a) and 15d-14(a)</w:t>
            </w:r>
          </w:p>
        </w:tc>
        <w:tc>
          <w:tcPr>
            <w:tcW w:w="3780" w:type="dxa"/>
            <w:vAlign w:val="bottom"/>
            <w:gridSpan w:val="5"/>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40" w:type="dxa"/>
            <w:vAlign w:val="bottom"/>
          </w:tcPr>
          <w:p>
            <w:pPr>
              <w:spacing w:after="0"/>
              <w:rPr>
                <w:sz w:val="17"/>
                <w:szCs w:val="17"/>
                <w:color w:val="auto"/>
              </w:rPr>
            </w:pPr>
          </w:p>
        </w:tc>
        <w:tc>
          <w:tcPr>
            <w:tcW w:w="49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Certification of CFO, pursuant to SEC Rule 13a-14(a) and 15d-14(a)</w:t>
            </w:r>
          </w:p>
        </w:tc>
        <w:tc>
          <w:tcPr>
            <w:tcW w:w="3800" w:type="dxa"/>
            <w:vAlign w:val="bottom"/>
            <w:gridSpan w:val="6"/>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40" w:type="dxa"/>
            <w:vAlign w:val="bottom"/>
          </w:tcPr>
          <w:p>
            <w:pPr>
              <w:spacing w:after="0"/>
              <w:rPr>
                <w:sz w:val="17"/>
                <w:szCs w:val="17"/>
                <w:color w:val="auto"/>
              </w:rPr>
            </w:pPr>
          </w:p>
        </w:tc>
        <w:tc>
          <w:tcPr>
            <w:tcW w:w="872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Certification by the CEO, pursuant to 18 U.S.C. Section 1350, as adopted pursuant to Section 906 of the Sarbanes-Oxley</w:t>
            </w:r>
          </w:p>
        </w:tc>
        <w:tc>
          <w:tcPr>
            <w:tcW w:w="4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60" w:type="dxa"/>
            <w:vAlign w:val="bottom"/>
            <w:gridSpan w:val="8"/>
          </w:tcPr>
          <w:p>
            <w:pPr>
              <w:spacing w:after="0" w:line="196" w:lineRule="exact"/>
              <w:rPr>
                <w:sz w:val="20"/>
                <w:szCs w:val="20"/>
                <w:color w:val="auto"/>
              </w:rPr>
            </w:pPr>
            <w:r>
              <w:rPr>
                <w:rFonts w:ascii="Arial" w:cs="Arial" w:eastAsia="Arial" w:hAnsi="Arial"/>
                <w:sz w:val="18"/>
                <w:szCs w:val="18"/>
                <w:color w:val="0000EE"/>
              </w:rPr>
              <w:t>Act of 2002</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8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40" w:type="dxa"/>
            <w:vAlign w:val="bottom"/>
          </w:tcPr>
          <w:p>
            <w:pPr>
              <w:spacing w:after="0"/>
              <w:rPr>
                <w:sz w:val="17"/>
                <w:szCs w:val="17"/>
                <w:color w:val="auto"/>
              </w:rPr>
            </w:pPr>
          </w:p>
        </w:tc>
        <w:tc>
          <w:tcPr>
            <w:tcW w:w="870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Certification by the CFO, pursuant to 18 U.S.C. Section 1350, as adopted pursuant to Section 906 of the Sarbanes-Oxley</w:t>
            </w:r>
          </w:p>
        </w:tc>
        <w:tc>
          <w:tcPr>
            <w:tcW w:w="6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760" w:type="dxa"/>
            <w:vAlign w:val="bottom"/>
            <w:gridSpan w:val="8"/>
          </w:tcPr>
          <w:p>
            <w:pPr>
              <w:spacing w:after="0" w:line="196" w:lineRule="exact"/>
              <w:rPr>
                <w:sz w:val="20"/>
                <w:szCs w:val="20"/>
                <w:color w:val="auto"/>
              </w:rPr>
            </w:pPr>
            <w:r>
              <w:rPr>
                <w:rFonts w:ascii="Arial" w:cs="Arial" w:eastAsia="Arial" w:hAnsi="Arial"/>
                <w:sz w:val="18"/>
                <w:szCs w:val="18"/>
                <w:color w:val="0000EE"/>
              </w:rPr>
              <w:t>Act of 2002</w:t>
            </w:r>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900" w:type="dxa"/>
            <w:vAlign w:val="bottom"/>
            <w:gridSpan w:val="7"/>
          </w:tcPr>
          <w:p>
            <w:pPr>
              <w:spacing w:after="0" w:line="20" w:lineRule="exact"/>
              <w:rPr>
                <w:sz w:val="1"/>
                <w:szCs w:val="1"/>
                <w:color w:val="auto"/>
              </w:rPr>
            </w:pPr>
          </w:p>
        </w:tc>
      </w:tr>
      <w:tr>
        <w:trPr>
          <w:trHeight w:val="222"/>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19"/>
                <w:szCs w:val="19"/>
                <w:color w:val="auto"/>
              </w:rPr>
            </w:pPr>
          </w:p>
        </w:tc>
        <w:tc>
          <w:tcPr>
            <w:tcW w:w="8760" w:type="dxa"/>
            <w:vAlign w:val="bottom"/>
            <w:gridSpan w:val="8"/>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its XBRL</w:t>
            </w:r>
          </w:p>
        </w:tc>
      </w:tr>
      <w:tr>
        <w:trPr>
          <w:trHeight w:val="216"/>
        </w:trPr>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760" w:type="dxa"/>
            <w:vAlign w:val="bottom"/>
            <w:gridSpan w:val="8"/>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8"/>
                <w:szCs w:val="18"/>
                <w:color w:val="auto"/>
              </w:rPr>
            </w:pPr>
          </w:p>
        </w:tc>
        <w:tc>
          <w:tcPr>
            <w:tcW w:w="876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18"/>
                <w:szCs w:val="18"/>
                <w:color w:val="auto"/>
              </w:rPr>
            </w:pPr>
          </w:p>
        </w:tc>
        <w:tc>
          <w:tcPr>
            <w:tcW w:w="876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18"/>
                <w:szCs w:val="18"/>
                <w:color w:val="auto"/>
              </w:rPr>
            </w:pPr>
          </w:p>
        </w:tc>
        <w:tc>
          <w:tcPr>
            <w:tcW w:w="876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18"/>
                <w:szCs w:val="18"/>
                <w:color w:val="auto"/>
              </w:rPr>
            </w:pPr>
          </w:p>
        </w:tc>
        <w:tc>
          <w:tcPr>
            <w:tcW w:w="876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18"/>
                <w:szCs w:val="18"/>
                <w:color w:val="auto"/>
              </w:rPr>
            </w:pPr>
          </w:p>
        </w:tc>
        <w:tc>
          <w:tcPr>
            <w:tcW w:w="876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0"/>
                <w:szCs w:val="20"/>
                <w:color w:val="auto"/>
              </w:rPr>
            </w:pPr>
          </w:p>
        </w:tc>
        <w:tc>
          <w:tcPr>
            <w:tcW w:w="876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102870</wp:posOffset>
            </wp:positionV>
            <wp:extent cx="156908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569085" cy="17145"/>
                    </a:xfrm>
                    <a:prstGeom prst="rect">
                      <a:avLst/>
                    </a:prstGeom>
                    <a:noFill/>
                  </pic:spPr>
                </pic:pic>
              </a:graphicData>
            </a:graphic>
          </wp:anchor>
        </w:drawing>
      </w:r>
    </w:p>
    <w:p>
      <w:pPr>
        <w:spacing w:after="0" w:line="303" w:lineRule="exact"/>
        <w:rPr>
          <w:sz w:val="20"/>
          <w:szCs w:val="20"/>
          <w:color w:val="auto"/>
        </w:rPr>
      </w:pPr>
    </w:p>
    <w:p>
      <w:pPr>
        <w:ind w:left="1160" w:hanging="1152"/>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1160" w:hanging="1152"/>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1160" w:hanging="1152"/>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8, 2023</w:t>
      </w: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LATHAM GROUP, INC.</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James Mark Borseth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64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James Mark Borseth</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600"/>
          </w:cols>
          <w:pgMar w:left="980" w:top="665" w:right="1319" w:bottom="1440" w:gutter="0" w:footer="0" w:header="0"/>
        </w:sectPr>
      </w:pPr>
    </w:p>
    <w:bookmarkStart w:id="41" w:name="page42"/>
    <w:bookmarkEnd w:id="41"/>
    <w:p>
      <w:pPr>
        <w:jc w:val="right"/>
        <w:spacing w:after="0"/>
        <w:rPr>
          <w:sz w:val="20"/>
          <w:szCs w:val="20"/>
          <w:color w:val="auto"/>
        </w:rPr>
      </w:pPr>
      <w:r>
        <w:rPr>
          <w:rFonts w:ascii="Arial" w:cs="Arial" w:eastAsia="Arial" w:hAnsi="Arial"/>
          <w:sz w:val="21"/>
          <w:szCs w:val="21"/>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LATHAM GROUP, INC.</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I, Scott M. Rajeski, certify that:</w:t>
      </w:r>
    </w:p>
    <w:p>
      <w:pPr>
        <w:spacing w:after="0" w:line="9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Latham Group, Inc.;</w:t>
      </w:r>
    </w:p>
    <w:p>
      <w:pPr>
        <w:spacing w:after="0" w:line="217" w:lineRule="exact"/>
        <w:rPr>
          <w:rFonts w:ascii="Arial" w:cs="Arial" w:eastAsia="Arial" w:hAnsi="Arial"/>
          <w:sz w:val="21"/>
          <w:szCs w:val="21"/>
          <w:color w:val="auto"/>
        </w:rPr>
      </w:pPr>
    </w:p>
    <w:p>
      <w:pPr>
        <w:jc w:val="both"/>
        <w:ind w:left="660" w:hanging="328"/>
        <w:spacing w:after="0" w:line="271"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Arial" w:cs="Arial" w:eastAsia="Arial" w:hAnsi="Arial"/>
          <w:sz w:val="20"/>
          <w:szCs w:val="20"/>
          <w:color w:val="auto"/>
        </w:rPr>
      </w:pPr>
    </w:p>
    <w:p>
      <w:pPr>
        <w:jc w:val="both"/>
        <w:ind w:left="660" w:hanging="328"/>
        <w:spacing w:after="0" w:line="252" w:lineRule="auto"/>
        <w:tabs>
          <w:tab w:leader="none" w:pos="660" w:val="left"/>
        </w:tabs>
        <w:numPr>
          <w:ilvl w:val="0"/>
          <w:numId w:val="14"/>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21"/>
          <w:szCs w:val="21"/>
          <w:color w:val="auto"/>
        </w:rPr>
      </w:pPr>
    </w:p>
    <w:p>
      <w:pPr>
        <w:jc w:val="both"/>
        <w:ind w:left="660" w:hanging="328"/>
        <w:spacing w:after="0" w:line="249" w:lineRule="auto"/>
        <w:tabs>
          <w:tab w:leader="none" w:pos="660" w:val="left"/>
        </w:tabs>
        <w:numPr>
          <w:ilvl w:val="0"/>
          <w:numId w:val="14"/>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p>
      <w:pPr>
        <w:spacing w:after="0" w:line="185" w:lineRule="exact"/>
        <w:rPr>
          <w:rFonts w:ascii="Arial" w:cs="Arial" w:eastAsia="Arial" w:hAnsi="Arial"/>
          <w:sz w:val="21"/>
          <w:szCs w:val="21"/>
          <w:color w:val="auto"/>
        </w:rPr>
      </w:pPr>
    </w:p>
    <w:p>
      <w:pPr>
        <w:jc w:val="both"/>
        <w:ind w:left="1300" w:hanging="320"/>
        <w:spacing w:after="0" w:line="249" w:lineRule="auto"/>
        <w:tabs>
          <w:tab w:leader="none" w:pos="1300" w:val="left"/>
        </w:tabs>
        <w:numPr>
          <w:ilvl w:val="1"/>
          <w:numId w:val="14"/>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21"/>
          <w:szCs w:val="21"/>
          <w:color w:val="auto"/>
        </w:rPr>
      </w:pPr>
    </w:p>
    <w:p>
      <w:pPr>
        <w:jc w:val="both"/>
        <w:ind w:left="1300" w:hanging="320"/>
        <w:spacing w:after="0" w:line="249" w:lineRule="auto"/>
        <w:tabs>
          <w:tab w:leader="none" w:pos="1300" w:val="left"/>
        </w:tabs>
        <w:numPr>
          <w:ilvl w:val="1"/>
          <w:numId w:val="14"/>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21"/>
          <w:szCs w:val="21"/>
          <w:color w:val="auto"/>
        </w:rPr>
      </w:pPr>
    </w:p>
    <w:p>
      <w:pPr>
        <w:jc w:val="both"/>
        <w:ind w:left="1300" w:hanging="320"/>
        <w:spacing w:after="0" w:line="271" w:lineRule="auto"/>
        <w:tabs>
          <w:tab w:leader="none" w:pos="1300" w:val="left"/>
        </w:tabs>
        <w:numPr>
          <w:ilvl w:val="1"/>
          <w:numId w:val="14"/>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20"/>
          <w:szCs w:val="20"/>
          <w:color w:val="auto"/>
        </w:rPr>
      </w:pPr>
    </w:p>
    <w:p>
      <w:pPr>
        <w:jc w:val="both"/>
        <w:ind w:left="1300" w:hanging="320"/>
        <w:spacing w:after="0" w:line="249" w:lineRule="auto"/>
        <w:tabs>
          <w:tab w:leader="none" w:pos="1300" w:val="left"/>
        </w:tabs>
        <w:numPr>
          <w:ilvl w:val="1"/>
          <w:numId w:val="14"/>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21"/>
          <w:szCs w:val="21"/>
          <w:color w:val="auto"/>
        </w:rPr>
      </w:pPr>
    </w:p>
    <w:p>
      <w:pPr>
        <w:jc w:val="both"/>
        <w:ind w:left="660" w:hanging="328"/>
        <w:spacing w:after="0" w:line="252" w:lineRule="auto"/>
        <w:tabs>
          <w:tab w:leader="none" w:pos="660" w:val="left"/>
        </w:tabs>
        <w:numPr>
          <w:ilvl w:val="0"/>
          <w:numId w:val="14"/>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21"/>
          <w:szCs w:val="21"/>
          <w:color w:val="auto"/>
        </w:rPr>
      </w:pPr>
    </w:p>
    <w:p>
      <w:pPr>
        <w:jc w:val="both"/>
        <w:ind w:left="1300" w:hanging="320"/>
        <w:spacing w:after="0" w:line="252" w:lineRule="auto"/>
        <w:tabs>
          <w:tab w:leader="none" w:pos="1300" w:val="left"/>
        </w:tabs>
        <w:numPr>
          <w:ilvl w:val="1"/>
          <w:numId w:val="14"/>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21"/>
          <w:szCs w:val="21"/>
          <w:color w:val="auto"/>
        </w:rPr>
      </w:pPr>
    </w:p>
    <w:p>
      <w:pPr>
        <w:ind w:left="1300" w:hanging="320"/>
        <w:spacing w:after="0" w:line="264" w:lineRule="auto"/>
        <w:tabs>
          <w:tab w:leader="none" w:pos="1300" w:val="left"/>
        </w:tabs>
        <w:numPr>
          <w:ilvl w:val="1"/>
          <w:numId w:val="14"/>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960" w:type="dxa"/>
            <w:vAlign w:val="bottom"/>
          </w:tcPr>
          <w:p>
            <w:pPr>
              <w:spacing w:after="0"/>
              <w:rPr>
                <w:sz w:val="20"/>
                <w:szCs w:val="20"/>
                <w:color w:val="auto"/>
              </w:rPr>
            </w:pPr>
            <w:r>
              <w:rPr>
                <w:rFonts w:ascii="Arial" w:cs="Arial" w:eastAsia="Arial" w:hAnsi="Arial"/>
                <w:sz w:val="21"/>
                <w:szCs w:val="21"/>
                <w:color w:val="auto"/>
              </w:rPr>
              <w:t>August 8, 2023</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1"/>
                <w:szCs w:val="21"/>
                <w:i w:val="1"/>
                <w:iCs w:val="1"/>
                <w:color w:val="auto"/>
                <w:w w:val="89"/>
              </w:rPr>
              <w:t>/s/ Scott M. Rajeski</w:t>
            </w:r>
          </w:p>
        </w:tc>
      </w:tr>
      <w:tr>
        <w:trPr>
          <w:trHeight w:val="223"/>
        </w:trPr>
        <w:tc>
          <w:tcPr>
            <w:tcW w:w="4960" w:type="dxa"/>
            <w:vAlign w:val="bottom"/>
          </w:tcPr>
          <w:p>
            <w:pPr>
              <w:spacing w:after="0"/>
              <w:rPr>
                <w:sz w:val="19"/>
                <w:szCs w:val="19"/>
                <w:color w:val="auto"/>
              </w:rPr>
            </w:pPr>
          </w:p>
        </w:tc>
        <w:tc>
          <w:tcPr>
            <w:tcW w:w="4960" w:type="dxa"/>
            <w:vAlign w:val="bottom"/>
          </w:tcPr>
          <w:p>
            <w:pPr>
              <w:jc w:val="center"/>
              <w:spacing w:after="0" w:line="223" w:lineRule="exact"/>
              <w:rPr>
                <w:sz w:val="20"/>
                <w:szCs w:val="20"/>
                <w:color w:val="auto"/>
              </w:rPr>
            </w:pPr>
            <w:r>
              <w:rPr>
                <w:rFonts w:ascii="Arial" w:cs="Arial" w:eastAsia="Arial" w:hAnsi="Arial"/>
                <w:sz w:val="21"/>
                <w:szCs w:val="21"/>
                <w:color w:val="auto"/>
                <w:w w:val="92"/>
              </w:rPr>
              <w:t>Scott M. Rajeski</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rPr>
                <w:sz w:val="20"/>
                <w:szCs w:val="20"/>
                <w:color w:val="auto"/>
              </w:rPr>
            </w:pPr>
            <w:r>
              <w:rPr>
                <w:rFonts w:ascii="Arial" w:cs="Arial" w:eastAsia="Arial" w:hAnsi="Arial"/>
                <w:sz w:val="21"/>
                <w:szCs w:val="21"/>
                <w:color w:val="auto"/>
                <w:w w:val="90"/>
              </w:rPr>
              <w:t>Chief Executive Officer and President</w:t>
            </w:r>
          </w:p>
        </w:tc>
      </w:tr>
      <w:tr>
        <w:trPr>
          <w:trHeight w:val="264"/>
        </w:trPr>
        <w:tc>
          <w:tcPr>
            <w:tcW w:w="4960" w:type="dxa"/>
            <w:vAlign w:val="bottom"/>
          </w:tcPr>
          <w:p>
            <w:pPr>
              <w:spacing w:after="0"/>
              <w:rPr>
                <w:sz w:val="22"/>
                <w:szCs w:val="22"/>
                <w:color w:val="auto"/>
              </w:rPr>
            </w:pPr>
          </w:p>
        </w:tc>
        <w:tc>
          <w:tcPr>
            <w:tcW w:w="4960" w:type="dxa"/>
            <w:vAlign w:val="bottom"/>
          </w:tcPr>
          <w:p>
            <w:pPr>
              <w:jc w:val="center"/>
              <w:spacing w:after="0"/>
              <w:rPr>
                <w:sz w:val="20"/>
                <w:szCs w:val="20"/>
                <w:color w:val="auto"/>
              </w:rPr>
            </w:pPr>
            <w:r>
              <w:rPr>
                <w:rFonts w:ascii="Arial" w:cs="Arial" w:eastAsia="Arial" w:hAnsi="Arial"/>
                <w:sz w:val="21"/>
                <w:szCs w:val="21"/>
                <w:color w:val="auto"/>
                <w:w w:val="91"/>
              </w:rPr>
              <w:t>Latham Group, Inc.</w:t>
            </w:r>
          </w:p>
        </w:tc>
      </w:tr>
      <w:tr>
        <w:trPr>
          <w:trHeight w:val="768"/>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0" w:right="999" w:bottom="1440" w:gutter="0" w:footer="0" w:header="0"/>
        </w:sectPr>
      </w:pPr>
    </w:p>
    <w:bookmarkStart w:id="42" w:name="page43"/>
    <w:bookmarkEnd w:id="42"/>
    <w:p>
      <w:pPr>
        <w:jc w:val="right"/>
        <w:spacing w:after="0"/>
        <w:rPr>
          <w:sz w:val="20"/>
          <w:szCs w:val="20"/>
          <w:color w:val="auto"/>
        </w:rPr>
      </w:pPr>
      <w:r>
        <w:rPr>
          <w:rFonts w:ascii="Arial" w:cs="Arial" w:eastAsia="Arial" w:hAnsi="Arial"/>
          <w:sz w:val="21"/>
          <w:szCs w:val="21"/>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LATHAM GROUP, INC.</w:t>
      </w:r>
    </w:p>
    <w:p>
      <w:pPr>
        <w:spacing w:after="0" w:line="224" w:lineRule="exact"/>
        <w:rPr>
          <w:sz w:val="20"/>
          <w:szCs w:val="20"/>
          <w:color w:val="auto"/>
        </w:rPr>
      </w:pPr>
    </w:p>
    <w:p>
      <w:pPr>
        <w:spacing w:after="0"/>
        <w:rPr>
          <w:sz w:val="20"/>
          <w:szCs w:val="20"/>
          <w:color w:val="auto"/>
        </w:rPr>
      </w:pPr>
      <w:r>
        <w:rPr>
          <w:rFonts w:ascii="Arial" w:cs="Arial" w:eastAsia="Arial" w:hAnsi="Arial"/>
          <w:sz w:val="21"/>
          <w:szCs w:val="21"/>
          <w:color w:val="auto"/>
        </w:rPr>
        <w:t>I, James Mark Borseth, certify that:</w:t>
      </w:r>
    </w:p>
    <w:p>
      <w:pPr>
        <w:spacing w:after="0" w:line="9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1"/>
          <w:szCs w:val="21"/>
          <w:color w:val="auto"/>
        </w:rPr>
      </w:pPr>
      <w:r>
        <w:rPr>
          <w:rFonts w:ascii="Arial" w:cs="Arial" w:eastAsia="Arial" w:hAnsi="Arial"/>
          <w:sz w:val="21"/>
          <w:szCs w:val="21"/>
          <w:color w:val="auto"/>
        </w:rPr>
        <w:t>I have reviewed this quarterly report on Form 10-Q of Latham Group, Inc.;</w:t>
      </w:r>
    </w:p>
    <w:p>
      <w:pPr>
        <w:spacing w:after="0" w:line="217" w:lineRule="exact"/>
        <w:rPr>
          <w:rFonts w:ascii="Arial" w:cs="Arial" w:eastAsia="Arial" w:hAnsi="Arial"/>
          <w:sz w:val="21"/>
          <w:szCs w:val="21"/>
          <w:color w:val="auto"/>
        </w:rPr>
      </w:pPr>
    </w:p>
    <w:p>
      <w:pPr>
        <w:jc w:val="both"/>
        <w:ind w:left="660" w:hanging="328"/>
        <w:spacing w:after="0" w:line="271" w:lineRule="auto"/>
        <w:tabs>
          <w:tab w:leader="none" w:pos="660" w:val="left"/>
        </w:tabs>
        <w:numPr>
          <w:ilvl w:val="0"/>
          <w:numId w:val="15"/>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Arial" w:cs="Arial" w:eastAsia="Arial" w:hAnsi="Arial"/>
          <w:sz w:val="20"/>
          <w:szCs w:val="20"/>
          <w:color w:val="auto"/>
        </w:rPr>
      </w:pPr>
    </w:p>
    <w:p>
      <w:pPr>
        <w:jc w:val="both"/>
        <w:ind w:left="660" w:hanging="328"/>
        <w:spacing w:after="0" w:line="252" w:lineRule="auto"/>
        <w:tabs>
          <w:tab w:leader="none" w:pos="660" w:val="left"/>
        </w:tabs>
        <w:numPr>
          <w:ilvl w:val="0"/>
          <w:numId w:val="15"/>
        </w:numPr>
        <w:rPr>
          <w:rFonts w:ascii="Arial" w:cs="Arial" w:eastAsia="Arial" w:hAnsi="Arial"/>
          <w:sz w:val="21"/>
          <w:szCs w:val="21"/>
          <w:color w:val="auto"/>
        </w:rPr>
      </w:pPr>
      <w:r>
        <w:rPr>
          <w:rFonts w:ascii="Arial" w:cs="Arial" w:eastAsia="Arial" w:hAnsi="Arial"/>
          <w:sz w:val="21"/>
          <w:szCs w:val="2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21"/>
          <w:szCs w:val="21"/>
          <w:color w:val="auto"/>
        </w:rPr>
      </w:pPr>
    </w:p>
    <w:p>
      <w:pPr>
        <w:jc w:val="both"/>
        <w:ind w:left="660" w:hanging="328"/>
        <w:spacing w:after="0" w:line="249" w:lineRule="auto"/>
        <w:tabs>
          <w:tab w:leader="none" w:pos="660" w:val="left"/>
        </w:tabs>
        <w:numPr>
          <w:ilvl w:val="0"/>
          <w:numId w:val="15"/>
        </w:numPr>
        <w:rPr>
          <w:rFonts w:ascii="Arial" w:cs="Arial" w:eastAsia="Arial" w:hAnsi="Arial"/>
          <w:sz w:val="21"/>
          <w:szCs w:val="21"/>
          <w:color w:val="auto"/>
        </w:rPr>
      </w:pPr>
      <w:r>
        <w:rPr>
          <w:rFonts w:ascii="Arial" w:cs="Arial" w:eastAsia="Arial" w:hAnsi="Arial"/>
          <w:sz w:val="21"/>
          <w:szCs w:val="21"/>
          <w:color w:val="auto"/>
        </w:rPr>
        <w:t>The registrant’s other certifying officer(s) and I are responsible for establishing and maintaining disclosure controls and procedures (as defined in Securities Exchange Act Rules 13a-15(e) and 15d-15(e)) and internal control over financial reporting (as defined in Securities Exchange Act Rule 13-a15(f) and 15d-15(f)) for the registrant and have:</w:t>
      </w:r>
    </w:p>
    <w:p>
      <w:pPr>
        <w:spacing w:after="0" w:line="185" w:lineRule="exact"/>
        <w:rPr>
          <w:rFonts w:ascii="Arial" w:cs="Arial" w:eastAsia="Arial" w:hAnsi="Arial"/>
          <w:sz w:val="21"/>
          <w:szCs w:val="21"/>
          <w:color w:val="auto"/>
        </w:rPr>
      </w:pPr>
    </w:p>
    <w:p>
      <w:pPr>
        <w:jc w:val="both"/>
        <w:ind w:left="1300" w:hanging="320"/>
        <w:spacing w:after="0" w:line="249" w:lineRule="auto"/>
        <w:tabs>
          <w:tab w:leader="none" w:pos="1300" w:val="left"/>
        </w:tabs>
        <w:numPr>
          <w:ilvl w:val="1"/>
          <w:numId w:val="15"/>
        </w:numPr>
        <w:rPr>
          <w:rFonts w:ascii="Arial" w:cs="Arial" w:eastAsia="Arial" w:hAnsi="Arial"/>
          <w:sz w:val="21"/>
          <w:szCs w:val="21"/>
          <w:color w:val="auto"/>
        </w:rPr>
      </w:pPr>
      <w:r>
        <w:rPr>
          <w:rFonts w:ascii="Arial" w:cs="Arial" w:eastAsia="Arial" w:hAnsi="Arial"/>
          <w:sz w:val="21"/>
          <w:szCs w:val="2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21"/>
          <w:szCs w:val="21"/>
          <w:color w:val="auto"/>
        </w:rPr>
      </w:pPr>
    </w:p>
    <w:p>
      <w:pPr>
        <w:jc w:val="both"/>
        <w:ind w:left="1300" w:hanging="320"/>
        <w:spacing w:after="0" w:line="249" w:lineRule="auto"/>
        <w:tabs>
          <w:tab w:leader="none" w:pos="1300" w:val="left"/>
        </w:tabs>
        <w:numPr>
          <w:ilvl w:val="1"/>
          <w:numId w:val="15"/>
        </w:numPr>
        <w:rPr>
          <w:rFonts w:ascii="Arial" w:cs="Arial" w:eastAsia="Arial" w:hAnsi="Arial"/>
          <w:sz w:val="21"/>
          <w:szCs w:val="21"/>
          <w:color w:val="auto"/>
        </w:rPr>
      </w:pPr>
      <w:r>
        <w:rPr>
          <w:rFonts w:ascii="Arial" w:cs="Arial" w:eastAsia="Arial" w:hAnsi="Arial"/>
          <w:sz w:val="21"/>
          <w:szCs w:val="2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21"/>
          <w:szCs w:val="21"/>
          <w:color w:val="auto"/>
        </w:rPr>
      </w:pPr>
    </w:p>
    <w:p>
      <w:pPr>
        <w:jc w:val="both"/>
        <w:ind w:left="1300" w:hanging="320"/>
        <w:spacing w:after="0" w:line="271" w:lineRule="auto"/>
        <w:tabs>
          <w:tab w:leader="none" w:pos="1300" w:val="left"/>
        </w:tabs>
        <w:numPr>
          <w:ilvl w:val="1"/>
          <w:numId w:val="15"/>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20"/>
          <w:szCs w:val="20"/>
          <w:color w:val="auto"/>
        </w:rPr>
      </w:pPr>
    </w:p>
    <w:p>
      <w:pPr>
        <w:jc w:val="both"/>
        <w:ind w:left="1300" w:hanging="320"/>
        <w:spacing w:after="0" w:line="249" w:lineRule="auto"/>
        <w:tabs>
          <w:tab w:leader="none" w:pos="1300" w:val="left"/>
        </w:tabs>
        <w:numPr>
          <w:ilvl w:val="1"/>
          <w:numId w:val="15"/>
        </w:numPr>
        <w:rPr>
          <w:rFonts w:ascii="Arial" w:cs="Arial" w:eastAsia="Arial" w:hAnsi="Arial"/>
          <w:sz w:val="21"/>
          <w:szCs w:val="21"/>
          <w:color w:val="auto"/>
        </w:rPr>
      </w:pPr>
      <w:r>
        <w:rPr>
          <w:rFonts w:ascii="Arial" w:cs="Arial" w:eastAsia="Arial" w:hAnsi="Arial"/>
          <w:sz w:val="21"/>
          <w:szCs w:val="2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21"/>
          <w:szCs w:val="21"/>
          <w:color w:val="auto"/>
        </w:rPr>
      </w:pPr>
    </w:p>
    <w:p>
      <w:pPr>
        <w:jc w:val="both"/>
        <w:ind w:left="660" w:hanging="328"/>
        <w:spacing w:after="0" w:line="252" w:lineRule="auto"/>
        <w:tabs>
          <w:tab w:leader="none" w:pos="660" w:val="left"/>
        </w:tabs>
        <w:numPr>
          <w:ilvl w:val="0"/>
          <w:numId w:val="15"/>
        </w:numPr>
        <w:rPr>
          <w:rFonts w:ascii="Arial" w:cs="Arial" w:eastAsia="Arial" w:hAnsi="Arial"/>
          <w:sz w:val="21"/>
          <w:szCs w:val="21"/>
          <w:color w:val="auto"/>
        </w:rPr>
      </w:pPr>
      <w:r>
        <w:rPr>
          <w:rFonts w:ascii="Arial" w:cs="Arial" w:eastAsia="Arial" w:hAnsi="Arial"/>
          <w:sz w:val="21"/>
          <w:szCs w:val="2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4" w:lineRule="exact"/>
        <w:rPr>
          <w:rFonts w:ascii="Arial" w:cs="Arial" w:eastAsia="Arial" w:hAnsi="Arial"/>
          <w:sz w:val="21"/>
          <w:szCs w:val="21"/>
          <w:color w:val="auto"/>
        </w:rPr>
      </w:pPr>
    </w:p>
    <w:p>
      <w:pPr>
        <w:jc w:val="both"/>
        <w:ind w:left="1300" w:hanging="320"/>
        <w:spacing w:after="0" w:line="252" w:lineRule="auto"/>
        <w:tabs>
          <w:tab w:leader="none" w:pos="1300" w:val="left"/>
        </w:tabs>
        <w:numPr>
          <w:ilvl w:val="1"/>
          <w:numId w:val="15"/>
        </w:numPr>
        <w:rPr>
          <w:rFonts w:ascii="Arial" w:cs="Arial" w:eastAsia="Arial" w:hAnsi="Arial"/>
          <w:sz w:val="21"/>
          <w:szCs w:val="21"/>
          <w:color w:val="auto"/>
        </w:rPr>
      </w:pPr>
      <w:r>
        <w:rPr>
          <w:rFonts w:ascii="Arial" w:cs="Arial" w:eastAsia="Arial" w:hAnsi="Arial"/>
          <w:sz w:val="21"/>
          <w:szCs w:val="2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21"/>
          <w:szCs w:val="21"/>
          <w:color w:val="auto"/>
        </w:rPr>
      </w:pPr>
    </w:p>
    <w:p>
      <w:pPr>
        <w:ind w:left="1300" w:hanging="320"/>
        <w:spacing w:after="0" w:line="264" w:lineRule="auto"/>
        <w:tabs>
          <w:tab w:leader="none" w:pos="1300" w:val="left"/>
        </w:tabs>
        <w:numPr>
          <w:ilvl w:val="1"/>
          <w:numId w:val="15"/>
        </w:numPr>
        <w:rPr>
          <w:rFonts w:ascii="Arial" w:cs="Arial" w:eastAsia="Arial" w:hAnsi="Arial"/>
          <w:sz w:val="21"/>
          <w:szCs w:val="21"/>
          <w:color w:val="auto"/>
        </w:rPr>
      </w:pPr>
      <w:r>
        <w:rPr>
          <w:rFonts w:ascii="Arial" w:cs="Arial" w:eastAsia="Arial" w:hAnsi="Arial"/>
          <w:sz w:val="21"/>
          <w:szCs w:val="21"/>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960" w:type="dxa"/>
            <w:vAlign w:val="bottom"/>
          </w:tcPr>
          <w:p>
            <w:pPr>
              <w:spacing w:after="0"/>
              <w:rPr>
                <w:sz w:val="20"/>
                <w:szCs w:val="20"/>
                <w:color w:val="auto"/>
              </w:rPr>
            </w:pPr>
            <w:r>
              <w:rPr>
                <w:rFonts w:ascii="Arial" w:cs="Arial" w:eastAsia="Arial" w:hAnsi="Arial"/>
                <w:sz w:val="21"/>
                <w:szCs w:val="21"/>
                <w:color w:val="auto"/>
              </w:rPr>
              <w:t>August 8, 2023</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1"/>
                <w:szCs w:val="21"/>
                <w:i w:val="1"/>
                <w:iCs w:val="1"/>
                <w:color w:val="auto"/>
                <w:w w:val="88"/>
              </w:rPr>
              <w:t>/s/ James Mark Borseth</w:t>
            </w:r>
          </w:p>
        </w:tc>
      </w:tr>
      <w:tr>
        <w:trPr>
          <w:trHeight w:val="223"/>
        </w:trPr>
        <w:tc>
          <w:tcPr>
            <w:tcW w:w="4960" w:type="dxa"/>
            <w:vAlign w:val="bottom"/>
          </w:tcPr>
          <w:p>
            <w:pPr>
              <w:spacing w:after="0"/>
              <w:rPr>
                <w:sz w:val="19"/>
                <w:szCs w:val="19"/>
                <w:color w:val="auto"/>
              </w:rPr>
            </w:pPr>
          </w:p>
        </w:tc>
        <w:tc>
          <w:tcPr>
            <w:tcW w:w="4960" w:type="dxa"/>
            <w:vAlign w:val="bottom"/>
          </w:tcPr>
          <w:p>
            <w:pPr>
              <w:jc w:val="center"/>
              <w:spacing w:after="0" w:line="223" w:lineRule="exact"/>
              <w:rPr>
                <w:sz w:val="20"/>
                <w:szCs w:val="20"/>
                <w:color w:val="auto"/>
              </w:rPr>
            </w:pPr>
            <w:r>
              <w:rPr>
                <w:rFonts w:ascii="Arial" w:cs="Arial" w:eastAsia="Arial" w:hAnsi="Arial"/>
                <w:sz w:val="21"/>
                <w:szCs w:val="21"/>
                <w:color w:val="auto"/>
                <w:w w:val="88"/>
              </w:rPr>
              <w:t>James Mark Borseth</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rPr>
                <w:sz w:val="20"/>
                <w:szCs w:val="20"/>
                <w:color w:val="auto"/>
              </w:rPr>
            </w:pPr>
            <w:r>
              <w:rPr>
                <w:rFonts w:ascii="Arial" w:cs="Arial" w:eastAsia="Arial" w:hAnsi="Arial"/>
                <w:sz w:val="21"/>
                <w:szCs w:val="21"/>
                <w:color w:val="auto"/>
                <w:w w:val="93"/>
              </w:rPr>
              <w:t>Interim Chief Financial Officer</w:t>
            </w:r>
          </w:p>
        </w:tc>
      </w:tr>
      <w:tr>
        <w:trPr>
          <w:trHeight w:val="264"/>
        </w:trPr>
        <w:tc>
          <w:tcPr>
            <w:tcW w:w="4960" w:type="dxa"/>
            <w:vAlign w:val="bottom"/>
          </w:tcPr>
          <w:p>
            <w:pPr>
              <w:spacing w:after="0"/>
              <w:rPr>
                <w:sz w:val="22"/>
                <w:szCs w:val="22"/>
                <w:color w:val="auto"/>
              </w:rPr>
            </w:pPr>
          </w:p>
        </w:tc>
        <w:tc>
          <w:tcPr>
            <w:tcW w:w="4960" w:type="dxa"/>
            <w:vAlign w:val="bottom"/>
          </w:tcPr>
          <w:p>
            <w:pPr>
              <w:jc w:val="center"/>
              <w:spacing w:after="0"/>
              <w:rPr>
                <w:sz w:val="20"/>
                <w:szCs w:val="20"/>
                <w:color w:val="auto"/>
              </w:rPr>
            </w:pPr>
            <w:r>
              <w:rPr>
                <w:rFonts w:ascii="Arial" w:cs="Arial" w:eastAsia="Arial" w:hAnsi="Arial"/>
                <w:sz w:val="21"/>
                <w:szCs w:val="21"/>
                <w:color w:val="auto"/>
                <w:w w:val="91"/>
              </w:rPr>
              <w:t>Latham Group, Inc.</w:t>
            </w:r>
          </w:p>
        </w:tc>
      </w:tr>
      <w:tr>
        <w:trPr>
          <w:trHeight w:val="755"/>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0" w:right="99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32.1</w:t>
      </w:r>
    </w:p>
    <w:p>
      <w:pPr>
        <w:spacing w:after="0" w:line="206"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LATHAM GROUP, INC.</w:t>
      </w:r>
    </w:p>
    <w:p>
      <w:pPr>
        <w:spacing w:after="0" w:line="212"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CERTIFICATION PURSUANT TO</w:t>
      </w:r>
    </w:p>
    <w:p>
      <w:pPr>
        <w:jc w:val="center"/>
        <w:spacing w:after="0" w:line="238" w:lineRule="auto"/>
        <w:rPr>
          <w:sz w:val="20"/>
          <w:szCs w:val="20"/>
          <w:color w:val="auto"/>
        </w:rPr>
      </w:pPr>
      <w:r>
        <w:rPr>
          <w:rFonts w:ascii="Arial" w:cs="Arial" w:eastAsia="Arial" w:hAnsi="Arial"/>
          <w:sz w:val="22"/>
          <w:szCs w:val="22"/>
          <w:color w:val="auto"/>
        </w:rPr>
        <w:t>18 U.S.C. SECTION 1350,</w:t>
      </w:r>
    </w:p>
    <w:p>
      <w:pPr>
        <w:jc w:val="center"/>
        <w:spacing w:after="0" w:line="230" w:lineRule="auto"/>
        <w:rPr>
          <w:sz w:val="20"/>
          <w:szCs w:val="20"/>
          <w:color w:val="auto"/>
        </w:rPr>
      </w:pPr>
      <w:r>
        <w:rPr>
          <w:rFonts w:ascii="Arial" w:cs="Arial" w:eastAsia="Arial" w:hAnsi="Arial"/>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Quarterly Report of Latham Group, Inc. (the “</w:t>
      </w:r>
      <w:r>
        <w:rPr>
          <w:rFonts w:ascii="Arial" w:cs="Arial" w:eastAsia="Arial" w:hAnsi="Arial"/>
          <w:sz w:val="22"/>
          <w:szCs w:val="22"/>
          <w:u w:val="single" w:color="auto"/>
          <w:color w:val="auto"/>
        </w:rPr>
        <w:t>Company</w:t>
      </w:r>
      <w:r>
        <w:rPr>
          <w:rFonts w:ascii="Arial" w:cs="Arial" w:eastAsia="Arial" w:hAnsi="Arial"/>
          <w:sz w:val="22"/>
          <w:szCs w:val="22"/>
          <w:color w:val="auto"/>
        </w:rPr>
        <w:t>”) on Form 10-Q for the period ending July 1, 2023 as filed with the Securities and Exchange Commission on the date hereof (the “</w:t>
      </w:r>
      <w:r>
        <w:rPr>
          <w:rFonts w:ascii="Arial" w:cs="Arial" w:eastAsia="Arial" w:hAnsi="Arial"/>
          <w:sz w:val="22"/>
          <w:szCs w:val="22"/>
          <w:u w:val="single" w:color="auto"/>
          <w:color w:val="auto"/>
        </w:rPr>
        <w:t>Report</w:t>
      </w:r>
      <w:r>
        <w:rPr>
          <w:rFonts w:ascii="Arial" w:cs="Arial" w:eastAsia="Arial" w:hAnsi="Arial"/>
          <w:sz w:val="22"/>
          <w:szCs w:val="22"/>
          <w:color w:val="auto"/>
        </w:rPr>
        <w:t>”), I, Scott M. Rajeski, Chief Executive Officer of the Company, certify, pursuant to 18 U.S.C. Section 1350, as adopted pursuant to Section 906 of the Sarbanes-Oxley Act of 2002, that:</w:t>
      </w:r>
    </w:p>
    <w:p>
      <w:pPr>
        <w:spacing w:after="0" w:line="185" w:lineRule="exact"/>
        <w:rPr>
          <w:sz w:val="20"/>
          <w:szCs w:val="20"/>
          <w:color w:val="auto"/>
        </w:rPr>
      </w:pPr>
    </w:p>
    <w:p>
      <w:pPr>
        <w:ind w:left="660" w:hanging="328"/>
        <w:spacing w:after="0" w:line="250"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74" w:lineRule="exact"/>
        <w:rPr>
          <w:rFonts w:ascii="Arial" w:cs="Arial" w:eastAsia="Arial" w:hAnsi="Arial"/>
          <w:sz w:val="22"/>
          <w:szCs w:val="22"/>
          <w:color w:val="auto"/>
        </w:rPr>
      </w:pPr>
    </w:p>
    <w:p>
      <w:pPr>
        <w:ind w:left="660" w:hanging="328"/>
        <w:spacing w:after="0" w:line="250" w:lineRule="auto"/>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60" w:type="dxa"/>
            <w:vAlign w:val="bottom"/>
          </w:tcPr>
          <w:p>
            <w:pPr>
              <w:spacing w:after="0"/>
              <w:rPr>
                <w:sz w:val="20"/>
                <w:szCs w:val="20"/>
                <w:color w:val="auto"/>
              </w:rPr>
            </w:pPr>
            <w:r>
              <w:rPr>
                <w:rFonts w:ascii="Arial" w:cs="Arial" w:eastAsia="Arial" w:hAnsi="Arial"/>
                <w:sz w:val="22"/>
                <w:szCs w:val="22"/>
                <w:color w:val="auto"/>
              </w:rPr>
              <w:t>August 8, 2023</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2"/>
                <w:szCs w:val="22"/>
                <w:i w:val="1"/>
                <w:iCs w:val="1"/>
                <w:color w:val="auto"/>
                <w:w w:val="89"/>
              </w:rPr>
              <w:t>/s/ Scott M. Rajeski</w:t>
            </w:r>
          </w:p>
        </w:tc>
      </w:tr>
      <w:tr>
        <w:trPr>
          <w:trHeight w:val="215"/>
        </w:trPr>
        <w:tc>
          <w:tcPr>
            <w:tcW w:w="4960" w:type="dxa"/>
            <w:vAlign w:val="bottom"/>
          </w:tcPr>
          <w:p>
            <w:pPr>
              <w:spacing w:after="0"/>
              <w:rPr>
                <w:sz w:val="18"/>
                <w:szCs w:val="18"/>
                <w:color w:val="auto"/>
              </w:rPr>
            </w:pPr>
          </w:p>
        </w:tc>
        <w:tc>
          <w:tcPr>
            <w:tcW w:w="4960" w:type="dxa"/>
            <w:vAlign w:val="bottom"/>
          </w:tcPr>
          <w:p>
            <w:pPr>
              <w:jc w:val="center"/>
              <w:spacing w:after="0" w:line="216" w:lineRule="exact"/>
              <w:rPr>
                <w:sz w:val="20"/>
                <w:szCs w:val="20"/>
                <w:color w:val="auto"/>
              </w:rPr>
            </w:pPr>
            <w:r>
              <w:rPr>
                <w:rFonts w:ascii="Arial" w:cs="Arial" w:eastAsia="Arial" w:hAnsi="Arial"/>
                <w:sz w:val="22"/>
                <w:szCs w:val="22"/>
                <w:color w:val="auto"/>
                <w:w w:val="90"/>
              </w:rPr>
              <w:t>Scott M. Rajeski</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line="243" w:lineRule="exact"/>
              <w:rPr>
                <w:sz w:val="20"/>
                <w:szCs w:val="20"/>
                <w:color w:val="auto"/>
              </w:rPr>
            </w:pPr>
            <w:r>
              <w:rPr>
                <w:rFonts w:ascii="Arial" w:cs="Arial" w:eastAsia="Arial" w:hAnsi="Arial"/>
                <w:sz w:val="22"/>
                <w:szCs w:val="22"/>
                <w:color w:val="auto"/>
                <w:w w:val="89"/>
              </w:rPr>
              <w:t>Chief Executive Officer and President</w:t>
            </w:r>
          </w:p>
        </w:tc>
      </w:tr>
      <w:tr>
        <w:trPr>
          <w:trHeight w:val="274"/>
        </w:trPr>
        <w:tc>
          <w:tcPr>
            <w:tcW w:w="496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Arial" w:cs="Arial" w:eastAsia="Arial" w:hAnsi="Arial"/>
                <w:sz w:val="22"/>
                <w:szCs w:val="22"/>
                <w:color w:val="auto"/>
                <w:w w:val="90"/>
              </w:rPr>
              <w:t>Latham Group, Inc.</w:t>
            </w:r>
          </w:p>
        </w:tc>
      </w:tr>
    </w:tbl>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330835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2" w:right="99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32.2</w:t>
      </w:r>
    </w:p>
    <w:p>
      <w:pPr>
        <w:spacing w:after="0" w:line="206"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LATHAM GROUP, INC.</w:t>
      </w:r>
    </w:p>
    <w:p>
      <w:pPr>
        <w:spacing w:after="0" w:line="212"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CERTIFICATION PURSUANT TO</w:t>
      </w:r>
    </w:p>
    <w:p>
      <w:pPr>
        <w:jc w:val="center"/>
        <w:spacing w:after="0" w:line="238" w:lineRule="auto"/>
        <w:rPr>
          <w:sz w:val="20"/>
          <w:szCs w:val="20"/>
          <w:color w:val="auto"/>
        </w:rPr>
      </w:pPr>
      <w:r>
        <w:rPr>
          <w:rFonts w:ascii="Arial" w:cs="Arial" w:eastAsia="Arial" w:hAnsi="Arial"/>
          <w:sz w:val="22"/>
          <w:szCs w:val="22"/>
          <w:color w:val="auto"/>
        </w:rPr>
        <w:t>18 U.S.C. SECTION 1350,</w:t>
      </w:r>
    </w:p>
    <w:p>
      <w:pPr>
        <w:jc w:val="center"/>
        <w:spacing w:after="0" w:line="230" w:lineRule="auto"/>
        <w:rPr>
          <w:sz w:val="20"/>
          <w:szCs w:val="20"/>
          <w:color w:val="auto"/>
        </w:rPr>
      </w:pPr>
      <w:r>
        <w:rPr>
          <w:rFonts w:ascii="Arial" w:cs="Arial" w:eastAsia="Arial" w:hAnsi="Arial"/>
          <w:sz w:val="22"/>
          <w:szCs w:val="22"/>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SECTION 906 OF THE SARBANES-OXLEY ACT OF 2002</w:t>
      </w:r>
    </w:p>
    <w:p>
      <w:pPr>
        <w:spacing w:after="0" w:line="188"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In connection with the Quarterly Report of Latham Group, Inc. (the “</w:t>
      </w:r>
      <w:r>
        <w:rPr>
          <w:rFonts w:ascii="Arial" w:cs="Arial" w:eastAsia="Arial" w:hAnsi="Arial"/>
          <w:sz w:val="21"/>
          <w:szCs w:val="21"/>
          <w:u w:val="single" w:color="auto"/>
          <w:color w:val="auto"/>
        </w:rPr>
        <w:t>Company</w:t>
      </w:r>
      <w:r>
        <w:rPr>
          <w:rFonts w:ascii="Arial" w:cs="Arial" w:eastAsia="Arial" w:hAnsi="Arial"/>
          <w:sz w:val="21"/>
          <w:szCs w:val="21"/>
          <w:color w:val="auto"/>
        </w:rPr>
        <w:t>”) on Form 10-Q for the period ending July 1, 2023 as filed with the Securities and Exchange Commission on the date hereof (the “</w:t>
      </w:r>
      <w:r>
        <w:rPr>
          <w:rFonts w:ascii="Arial" w:cs="Arial" w:eastAsia="Arial" w:hAnsi="Arial"/>
          <w:sz w:val="21"/>
          <w:szCs w:val="21"/>
          <w:u w:val="single" w:color="auto"/>
          <w:color w:val="auto"/>
        </w:rPr>
        <w:t>Report</w:t>
      </w:r>
      <w:r>
        <w:rPr>
          <w:rFonts w:ascii="Arial" w:cs="Arial" w:eastAsia="Arial" w:hAnsi="Arial"/>
          <w:sz w:val="21"/>
          <w:szCs w:val="21"/>
          <w:color w:val="auto"/>
        </w:rPr>
        <w:t>”), I, James Mark Borseth, Interim Chief Financial Officer of the Company, certify, pursuant to 18 U.S.C. Section 1350, as adopted pursuant to Section 906 of the Sarbanes-Oxley Act of 2002, that:</w:t>
      </w:r>
    </w:p>
    <w:p>
      <w:pPr>
        <w:spacing w:after="0" w:line="174" w:lineRule="exact"/>
        <w:rPr>
          <w:sz w:val="20"/>
          <w:szCs w:val="20"/>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74"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condition and results of operations of the Company.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960" w:type="dxa"/>
            <w:vAlign w:val="bottom"/>
          </w:tcPr>
          <w:p>
            <w:pPr>
              <w:spacing w:after="0"/>
              <w:rPr>
                <w:sz w:val="20"/>
                <w:szCs w:val="20"/>
                <w:color w:val="auto"/>
              </w:rPr>
            </w:pPr>
            <w:r>
              <w:rPr>
                <w:rFonts w:ascii="Arial" w:cs="Arial" w:eastAsia="Arial" w:hAnsi="Arial"/>
                <w:sz w:val="22"/>
                <w:szCs w:val="22"/>
                <w:color w:val="auto"/>
              </w:rPr>
              <w:t>August 8, 2023</w:t>
            </w: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22"/>
                <w:szCs w:val="22"/>
                <w:i w:val="1"/>
                <w:iCs w:val="1"/>
                <w:color w:val="auto"/>
                <w:w w:val="88"/>
              </w:rPr>
              <w:t>/s/ James Mark Borseth</w:t>
            </w:r>
          </w:p>
        </w:tc>
      </w:tr>
      <w:tr>
        <w:trPr>
          <w:trHeight w:val="215"/>
        </w:trPr>
        <w:tc>
          <w:tcPr>
            <w:tcW w:w="4960" w:type="dxa"/>
            <w:vAlign w:val="bottom"/>
          </w:tcPr>
          <w:p>
            <w:pPr>
              <w:spacing w:after="0"/>
              <w:rPr>
                <w:sz w:val="18"/>
                <w:szCs w:val="18"/>
                <w:color w:val="auto"/>
              </w:rPr>
            </w:pPr>
          </w:p>
        </w:tc>
        <w:tc>
          <w:tcPr>
            <w:tcW w:w="4960" w:type="dxa"/>
            <w:vAlign w:val="bottom"/>
          </w:tcPr>
          <w:p>
            <w:pPr>
              <w:jc w:val="center"/>
              <w:spacing w:after="0" w:line="216" w:lineRule="exact"/>
              <w:rPr>
                <w:sz w:val="20"/>
                <w:szCs w:val="20"/>
                <w:color w:val="auto"/>
              </w:rPr>
            </w:pPr>
            <w:r>
              <w:rPr>
                <w:rFonts w:ascii="Arial" w:cs="Arial" w:eastAsia="Arial" w:hAnsi="Arial"/>
                <w:sz w:val="22"/>
                <w:szCs w:val="22"/>
                <w:color w:val="auto"/>
                <w:w w:val="87"/>
              </w:rPr>
              <w:t>James Mark Borseth</w:t>
            </w:r>
          </w:p>
        </w:tc>
      </w:tr>
      <w:tr>
        <w:trPr>
          <w:trHeight w:val="243"/>
        </w:trPr>
        <w:tc>
          <w:tcPr>
            <w:tcW w:w="4960" w:type="dxa"/>
            <w:vAlign w:val="bottom"/>
          </w:tcPr>
          <w:p>
            <w:pPr>
              <w:spacing w:after="0"/>
              <w:rPr>
                <w:sz w:val="21"/>
                <w:szCs w:val="21"/>
                <w:color w:val="auto"/>
              </w:rPr>
            </w:pPr>
          </w:p>
        </w:tc>
        <w:tc>
          <w:tcPr>
            <w:tcW w:w="4960" w:type="dxa"/>
            <w:vAlign w:val="bottom"/>
          </w:tcPr>
          <w:p>
            <w:pPr>
              <w:jc w:val="center"/>
              <w:spacing w:after="0" w:line="243" w:lineRule="exact"/>
              <w:rPr>
                <w:sz w:val="20"/>
                <w:szCs w:val="20"/>
                <w:color w:val="auto"/>
              </w:rPr>
            </w:pPr>
            <w:r>
              <w:rPr>
                <w:rFonts w:ascii="Arial" w:cs="Arial" w:eastAsia="Arial" w:hAnsi="Arial"/>
                <w:sz w:val="22"/>
                <w:szCs w:val="22"/>
                <w:color w:val="auto"/>
                <w:w w:val="93"/>
              </w:rPr>
              <w:t>Interim Chief Financial Officer</w:t>
            </w:r>
          </w:p>
        </w:tc>
      </w:tr>
      <w:tr>
        <w:trPr>
          <w:trHeight w:val="274"/>
        </w:trPr>
        <w:tc>
          <w:tcPr>
            <w:tcW w:w="496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Arial" w:cs="Arial" w:eastAsia="Arial" w:hAnsi="Arial"/>
                <w:sz w:val="22"/>
                <w:szCs w:val="22"/>
                <w:color w:val="auto"/>
                <w:w w:val="90"/>
              </w:rPr>
              <w:t>Latham Group, Inc.</w:t>
            </w:r>
          </w:p>
        </w:tc>
      </w:tr>
    </w:tbl>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The foregoing certification is being furnished as an exhibit to the Report pursuant to Item 601(b)(32) of Regulation S-K and Section 1350 of Title 18 of the United States Code and, accordingly, is not being filed with the U.S.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330835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652"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3"/>
    </w:lvl>
  </w:abstractNum>
  <w:abstractNum w:abstractNumId="3">
    <w:nsid w:val="216231B"/>
    <w:multiLevelType w:val="hybridMultilevel"/>
    <w:lvl w:ilvl="0">
      <w:lvlJc w:val="left"/>
      <w:lvlText w:val="(%1)"/>
      <w:numFmt w:val="lowerRoman"/>
      <w:start w:val="2"/>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lowerLetter"/>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55" Type="http://schemas.openxmlformats.org/officeDocument/2006/relationships/hyperlink" Target="https://www.sec.gov/Archives/edgar/data/1833197/000110465923056014/tm2314223d1_ex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2023-08-08T15:54:51Z</dcterms:created>
  <dcterms:modified xsi:type="dcterms:W3CDTF">2023-08-08T15:54:51Z</dcterms:modified>
</cp:coreProperties>
</file>