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118745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8"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March 30,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74"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-1270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-1270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0" w:type="dxa"/>
            <w:vAlign w:val="bottom"/>
          </w:tcPr>
          <w:p>
            <w:pPr>
              <w:spacing w:after="0"/>
              <w:rPr>
                <w:sz w:val="15"/>
                <w:szCs w:val="15"/>
                <w:color w:val="auto"/>
              </w:rPr>
            </w:pPr>
          </w:p>
        </w:tc>
        <w:tc>
          <w:tcPr>
            <w:tcW w:w="4840" w:type="dxa"/>
            <w:vAlign w:val="bottom"/>
            <w:tcBorders>
              <w:bottom w:val="single" w:sz="8" w:color="auto"/>
            </w:tcBorders>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160"/>
        </w:trPr>
        <w:tc>
          <w:tcPr>
            <w:tcW w:w="5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40" w:type="dxa"/>
            <w:vAlign w:val="bottom"/>
          </w:tcPr>
          <w:p>
            <w:pPr>
              <w:spacing w:after="0"/>
              <w:rPr>
                <w:sz w:val="16"/>
                <w:szCs w:val="16"/>
                <w:color w:val="auto"/>
              </w:rPr>
            </w:pPr>
          </w:p>
        </w:tc>
      </w:tr>
      <w:tr>
        <w:trPr>
          <w:trHeight w:val="280"/>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220" w:type="dxa"/>
            <w:vAlign w:val="bottom"/>
          </w:tcPr>
          <w:p>
            <w:pPr>
              <w:spacing w:after="0"/>
              <w:rPr>
                <w:sz w:val="24"/>
                <w:szCs w:val="24"/>
                <w:color w:val="auto"/>
              </w:rPr>
            </w:pPr>
          </w:p>
        </w:tc>
        <w:tc>
          <w:tcPr>
            <w:tcW w:w="4840" w:type="dxa"/>
            <w:vAlign w:val="bottom"/>
            <w:tcBorders>
              <w:bottom w:val="single" w:sz="8" w:color="auto"/>
            </w:tcBorders>
          </w:tcPr>
          <w:p>
            <w:pPr>
              <w:jc w:val="right"/>
              <w:ind w:right="216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240"/>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2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66"/>
        </w:trPr>
        <w:tc>
          <w:tcPr>
            <w:tcW w:w="3920" w:type="dxa"/>
            <w:vAlign w:val="bottom"/>
            <w:tcBorders>
              <w:bottom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0"/>
        </w:trPr>
        <w:tc>
          <w:tcPr>
            <w:tcW w:w="39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SWIM</w:t>
            </w:r>
          </w:p>
        </w:tc>
        <w:tc>
          <w:tcPr>
            <w:tcW w:w="35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76"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100"/>
        <w:spacing w:after="0" w:line="161" w:lineRule="exact"/>
        <w:tabs>
          <w:tab w:leader="none" w:pos="1740" w:val="left"/>
          <w:tab w:leader="none" w:pos="2080" w:val="left"/>
          <w:tab w:leader="none" w:pos="3360" w:val="left"/>
          <w:tab w:leader="none" w:pos="3680" w:val="left"/>
          <w:tab w:leader="none" w:pos="5220" w:val="left"/>
          <w:tab w:leader="none" w:pos="5560" w:val="left"/>
          <w:tab w:leader="none" w:pos="7460" w:val="left"/>
          <w:tab w:leader="none" w:pos="7800" w:val="left"/>
          <w:tab w:leader="none" w:pos="9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4"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48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3, 2024, 115,572,774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49530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160" w:type="dxa"/>
            <w:vAlign w:val="bottom"/>
            <w:tcBorders>
              <w:bottom w:val="single" w:sz="8" w:color="CCEEFF"/>
            </w:tcBorders>
            <w:gridSpan w:val="3"/>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tcBorders>
              <w:top w:val="single" w:sz="8" w:color="CCEEFF"/>
            </w:tcBorders>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3. Quantitative and Qualitative Disclosures About Market Risk</w:t>
            </w: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1.</w:t>
            </w:r>
          </w:p>
        </w:tc>
        <w:tc>
          <w:tcPr>
            <w:tcW w:w="142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Proceedings</w:t>
            </w:r>
          </w:p>
        </w:tc>
        <w:tc>
          <w:tcPr>
            <w:tcW w:w="5420" w:type="dxa"/>
            <w:vAlign w:val="bottom"/>
            <w:tcBorders>
              <w:bottom w:val="single" w:sz="8" w:color="CCEEFF"/>
            </w:tcBorders>
            <w:gridSpan w:val="8"/>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2.</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5.</w:t>
            </w:r>
          </w:p>
        </w:tc>
        <w:tc>
          <w:tcPr>
            <w:tcW w:w="4580" w:type="dxa"/>
            <w:vAlign w:val="bottom"/>
            <w:tcBorders>
              <w:top w:val="single" w:sz="8" w:color="0000EE"/>
            </w:tcBorders>
            <w:gridSpan w:val="10"/>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2260" w:type="dxa"/>
            <w:vAlign w:val="bottom"/>
            <w:tcBorders>
              <w:top w:val="single" w:sz="8" w:color="CCEEFF"/>
            </w:tcBorders>
            <w:gridSpan w:val="2"/>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Item 6.</w:t>
            </w:r>
          </w:p>
        </w:tc>
        <w:tc>
          <w:tcPr>
            <w:tcW w:w="68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5"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5"/>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4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2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5"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43,811</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102,763</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40" w:type="dxa"/>
            <w:vAlign w:val="bottom"/>
            <w:shd w:val="clear" w:color="auto" w:fill="CCEEFF"/>
          </w:tcPr>
          <w:p>
            <w:pPr>
              <w:spacing w:after="0"/>
              <w:rPr>
                <w:sz w:val="18"/>
                <w:szCs w:val="18"/>
                <w:color w:val="auto"/>
              </w:rPr>
            </w:pPr>
          </w:p>
        </w:tc>
      </w:tr>
      <w:tr>
        <w:trPr>
          <w:trHeight w:val="21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238,617</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113,014</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282,793</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40" w:type="dxa"/>
            <w:vAlign w:val="bottom"/>
            <w:shd w:val="clear" w:color="auto" w:fill="CCEEFF"/>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808,612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40" w:type="dxa"/>
            <w:vAlign w:val="bottom"/>
            <w:tcBorders>
              <w:bottom w:val="single" w:sz="8" w:color="CCEEFF"/>
            </w:tcBorders>
          </w:tcPr>
          <w:p>
            <w:pPr>
              <w:spacing w:after="0"/>
              <w:rPr>
                <w:sz w:val="21"/>
                <w:szCs w:val="21"/>
                <w:color w:val="auto"/>
              </w:rPr>
            </w:pPr>
          </w:p>
        </w:tc>
      </w:tr>
      <w:tr>
        <w:trPr>
          <w:trHeight w:val="197"/>
        </w:trPr>
        <w:tc>
          <w:tcPr>
            <w:tcW w:w="7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40" w:type="dxa"/>
            <w:vAlign w:val="bottom"/>
            <w:shd w:val="clear" w:color="auto" w:fill="CCEEFF"/>
          </w:tcPr>
          <w:p>
            <w:pPr>
              <w:spacing w:after="0"/>
              <w:rPr>
                <w:sz w:val="18"/>
                <w:szCs w:val="18"/>
                <w:color w:val="auto"/>
              </w:rPr>
            </w:pPr>
          </w:p>
        </w:tc>
      </w:tr>
      <w:tr>
        <w:trPr>
          <w:trHeight w:val="21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4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435,803</w:t>
            </w:r>
          </w:p>
        </w:tc>
        <w:tc>
          <w:tcPr>
            <w:tcW w:w="40" w:type="dxa"/>
            <w:vAlign w:val="bottom"/>
            <w:shd w:val="clear" w:color="auto" w:fill="CCEEFF"/>
          </w:tcPr>
          <w:p>
            <w:pPr>
              <w:spacing w:after="0"/>
              <w:rPr>
                <w:sz w:val="18"/>
                <w:szCs w:val="18"/>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as of both March 30, 2024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2023; no shares issued and outstanding as of both March 30, 2024 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900,000,000 shares authorized as of March 30, 2024 and</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115,389,689 and 114,871,782 shares issued and outstanding, as of March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and December 31, 2023, respectively</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20"/>
                <w:szCs w:val="20"/>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40" w:type="dxa"/>
            <w:vAlign w:val="bottom"/>
            <w:tcBorders>
              <w:bottom w:val="single" w:sz="8" w:color="CCEEFF"/>
            </w:tcBorders>
          </w:tcPr>
          <w:p>
            <w:pPr>
              <w:spacing w:after="0"/>
              <w:rPr>
                <w:sz w:val="18"/>
                <w:szCs w:val="18"/>
                <w:color w:val="auto"/>
              </w:rPr>
            </w:pPr>
          </w:p>
        </w:tc>
      </w:tr>
      <w:tr>
        <w:trPr>
          <w:trHeight w:val="20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40" w:type="dxa"/>
            <w:vAlign w:val="bottom"/>
            <w:shd w:val="clear" w:color="auto" w:fill="CCEEFF"/>
          </w:tcPr>
          <w:p>
            <w:pPr>
              <w:spacing w:after="0"/>
              <w:rPr>
                <w:sz w:val="18"/>
                <w:szCs w:val="18"/>
                <w:color w:val="auto"/>
              </w:rPr>
            </w:pPr>
          </w:p>
        </w:tc>
      </w:tr>
      <w:tr>
        <w:trPr>
          <w:trHeight w:val="21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808,612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4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58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40" w:type="dxa"/>
            <w:vAlign w:val="bottom"/>
            <w:tcBorders>
              <w:bottom w:val="single" w:sz="8" w:color="CCEEFF"/>
            </w:tcBorders>
          </w:tcPr>
          <w:p>
            <w:pPr>
              <w:spacing w:after="0"/>
              <w:rPr>
                <w:sz w:val="12"/>
                <w:szCs w:val="12"/>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137,719</w:t>
            </w:r>
          </w:p>
        </w:tc>
        <w:tc>
          <w:tcPr>
            <w:tcW w:w="24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104,349</w:t>
            </w:r>
          </w:p>
        </w:tc>
        <w:tc>
          <w:tcPr>
            <w:tcW w:w="240" w:type="dxa"/>
            <w:vAlign w:val="bottom"/>
            <w:tcBorders>
              <w:bottom w:val="single" w:sz="8" w:color="CCEEFF"/>
            </w:tcBorders>
          </w:tcPr>
          <w:p>
            <w:pPr>
              <w:spacing w:after="0"/>
              <w:rPr>
                <w:sz w:val="18"/>
                <w:szCs w:val="18"/>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240" w:type="dxa"/>
            <w:vAlign w:val="bottom"/>
            <w:shd w:val="clear" w:color="auto" w:fill="CCEEFF"/>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240" w:type="dxa"/>
            <w:vAlign w:val="bottom"/>
            <w:shd w:val="clear" w:color="auto" w:fill="CCEEFF"/>
          </w:tcPr>
          <w:p>
            <w:pPr>
              <w:spacing w:after="0"/>
              <w:rPr>
                <w:sz w:val="18"/>
                <w:szCs w:val="18"/>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40" w:type="dxa"/>
            <w:vAlign w:val="bottom"/>
            <w:tcBorders>
              <w:bottom w:val="single" w:sz="8" w:color="CCEEFF"/>
            </w:tcBorders>
          </w:tcPr>
          <w:p>
            <w:pPr>
              <w:spacing w:after="0"/>
              <w:rPr>
                <w:sz w:val="18"/>
                <w:szCs w:val="18"/>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18"/>
                <w:szCs w:val="18"/>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40" w:type="dxa"/>
            <w:vAlign w:val="bottom"/>
            <w:shd w:val="clear" w:color="auto" w:fill="CCEEFF"/>
          </w:tcPr>
          <w:p>
            <w:pPr>
              <w:spacing w:after="0"/>
              <w:rPr>
                <w:sz w:val="18"/>
                <w:szCs w:val="18"/>
                <w:color w:val="auto"/>
              </w:rPr>
            </w:pPr>
          </w:p>
        </w:tc>
      </w:tr>
      <w:tr>
        <w:trPr>
          <w:trHeight w:val="249"/>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240" w:type="dxa"/>
            <w:vAlign w:val="bottom"/>
            <w:tcBorders>
              <w:bottom w:val="single" w:sz="8" w:color="CCEEFF"/>
            </w:tcBorders>
          </w:tcPr>
          <w:p>
            <w:pPr>
              <w:spacing w:after="0"/>
              <w:rPr>
                <w:sz w:val="21"/>
                <w:szCs w:val="21"/>
                <w:color w:val="auto"/>
              </w:rPr>
            </w:pPr>
          </w:p>
        </w:tc>
      </w:tr>
      <w:tr>
        <w:trPr>
          <w:trHeight w:val="197"/>
        </w:trPr>
        <w:tc>
          <w:tcPr>
            <w:tcW w:w="5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112,102,198</w:t>
            </w:r>
          </w:p>
        </w:tc>
        <w:tc>
          <w:tcPr>
            <w:tcW w:w="240" w:type="dxa"/>
            <w:vAlign w:val="bottom"/>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112,102,198</w:t>
            </w:r>
          </w:p>
        </w:tc>
        <w:tc>
          <w:tcPr>
            <w:tcW w:w="24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51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00" w:type="dxa"/>
            <w:vAlign w:val="bottom"/>
            <w:tcBorders>
              <w:bottom w:val="single" w:sz="8" w:color="CCEEFF"/>
            </w:tcBorders>
          </w:tcPr>
          <w:p>
            <w:pPr>
              <w:spacing w:after="0"/>
              <w:rPr>
                <w:sz w:val="12"/>
                <w:szCs w:val="12"/>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CEEFF"/>
          </w:tcPr>
          <w:p>
            <w:pPr>
              <w:spacing w:after="0"/>
              <w:rPr>
                <w:sz w:val="18"/>
                <w:szCs w:val="18"/>
                <w:color w:val="auto"/>
              </w:rPr>
            </w:pPr>
          </w:p>
        </w:tc>
      </w:tr>
      <w:tr>
        <w:trPr>
          <w:trHeight w:val="209"/>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bottom w:val="single" w:sz="8" w:color="CCEEFF"/>
            </w:tcBorders>
          </w:tcPr>
          <w:p>
            <w:pPr>
              <w:spacing w:after="0"/>
              <w:rPr>
                <w:sz w:val="18"/>
                <w:szCs w:val="18"/>
                <w:color w:val="auto"/>
              </w:rPr>
            </w:pPr>
          </w:p>
        </w:tc>
      </w:tr>
      <w:tr>
        <w:trPr>
          <w:trHeight w:val="210"/>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114,667,975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$ 440,880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April 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114,690,053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$ 447,649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$ 459,684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 restricted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30,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115,389,689</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$ 460,927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Fiscal Quarter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237"/>
              <w:spacing w:after="0" w:line="109" w:lineRule="exact"/>
              <w:rPr>
                <w:sz w:val="20"/>
                <w:szCs w:val="20"/>
                <w:color w:val="auto"/>
              </w:rPr>
            </w:pPr>
            <w:r>
              <w:rPr>
                <w:rFonts w:ascii="Times New Roman" w:cs="Times New Roman" w:eastAsia="Times New Roman" w:hAnsi="Times New Roman"/>
                <w:sz w:val="12"/>
                <w:szCs w:val="12"/>
                <w:b w:val="1"/>
                <w:bCs w:val="1"/>
                <w:color w:val="auto"/>
              </w:rPr>
              <w:t>March 30,</w:t>
            </w:r>
          </w:p>
        </w:tc>
        <w:tc>
          <w:tcPr>
            <w:tcW w:w="2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317"/>
              <w:spacing w:after="0" w:line="109" w:lineRule="exact"/>
              <w:rPr>
                <w:sz w:val="20"/>
                <w:szCs w:val="20"/>
                <w:color w:val="auto"/>
              </w:rPr>
            </w:pPr>
            <w:r>
              <w:rPr>
                <w:rFonts w:ascii="Times New Roman" w:cs="Times New Roman" w:eastAsia="Times New Roman" w:hAnsi="Times New Roman"/>
                <w:sz w:val="12"/>
                <w:szCs w:val="12"/>
                <w:b w:val="1"/>
                <w:bCs w:val="1"/>
                <w:color w:val="auto"/>
              </w:rPr>
              <w:t>April 1,</w:t>
            </w:r>
          </w:p>
        </w:tc>
        <w:tc>
          <w:tcPr>
            <w:tcW w:w="20" w:type="dxa"/>
            <w:vAlign w:val="bottom"/>
          </w:tcPr>
          <w:p>
            <w:pPr>
              <w:spacing w:after="0"/>
              <w:rPr>
                <w:sz w:val="9"/>
                <w:szCs w:val="9"/>
                <w:color w:val="auto"/>
              </w:rPr>
            </w:pPr>
          </w:p>
        </w:tc>
      </w:tr>
      <w:tr>
        <w:trPr>
          <w:trHeight w:val="155"/>
        </w:trPr>
        <w:tc>
          <w:tcPr>
            <w:tcW w:w="594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CCEEFF"/>
            </w:tcBorders>
          </w:tcPr>
          <w:p>
            <w:pPr>
              <w:spacing w:after="0"/>
              <w:rPr>
                <w:sz w:val="13"/>
                <w:szCs w:val="13"/>
                <w:color w:val="auto"/>
              </w:rPr>
            </w:pPr>
          </w:p>
        </w:tc>
      </w:tr>
      <w:tr>
        <w:trPr>
          <w:trHeight w:val="128"/>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6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(7,864)</w:t>
            </w:r>
          </w:p>
        </w:tc>
        <w:tc>
          <w:tcPr>
            <w:tcW w:w="4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(14,368)</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10,374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9,258</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430</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430</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lease expense</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interest rate swaps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(1,804)</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4,866</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6,769</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Bad debt expense</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1,700</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non-cash, net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860</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Earnings from equity method investment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Trade receivables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(44,895)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(55,286)</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15,615</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(593)</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tax receivable</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(2,816)</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(1,225)</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8,179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20,947</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(5,987)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(3,190)</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4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717</w:t>
            </w:r>
          </w:p>
        </w:tc>
        <w:tc>
          <w:tcPr>
            <w:tcW w:w="20" w:type="dxa"/>
            <w:vAlign w:val="bottom"/>
            <w:shd w:val="clear" w:color="auto" w:fill="CCEEFF"/>
          </w:tcPr>
          <w:p>
            <w:pPr>
              <w:spacing w:after="0"/>
              <w:rPr>
                <w:sz w:val="11"/>
                <w:szCs w:val="11"/>
                <w:color w:val="auto"/>
              </w:rPr>
            </w:pPr>
          </w:p>
        </w:tc>
      </w:tr>
      <w:tr>
        <w:trPr>
          <w:trHeight w:val="128"/>
        </w:trPr>
        <w:tc>
          <w:tcPr>
            <w:tcW w:w="594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4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(14,476)</w:t>
            </w:r>
          </w:p>
        </w:tc>
        <w:tc>
          <w:tcPr>
            <w:tcW w:w="20" w:type="dxa"/>
            <w:vAlign w:val="bottom"/>
            <w:tcBorders>
              <w:bottom w:val="single" w:sz="8" w:color="CCEEFF"/>
            </w:tcBorders>
          </w:tcPr>
          <w:p>
            <w:pPr>
              <w:spacing w:after="0"/>
              <w:rPr>
                <w:sz w:val="11"/>
                <w:szCs w:val="11"/>
                <w:color w:val="auto"/>
              </w:rPr>
            </w:pPr>
          </w:p>
        </w:tc>
      </w:tr>
      <w:tr>
        <w:trPr>
          <w:trHeight w:val="128"/>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59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4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(5,345)</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(9,942)</w:t>
            </w:r>
          </w:p>
        </w:tc>
        <w:tc>
          <w:tcPr>
            <w:tcW w:w="20" w:type="dxa"/>
            <w:vAlign w:val="bottom"/>
            <w:tcBorders>
              <w:bottom w:val="single" w:sz="8" w:color="CCEEFF"/>
            </w:tcBorders>
          </w:tcPr>
          <w:p>
            <w:pPr>
              <w:spacing w:after="0"/>
              <w:rPr>
                <w:sz w:val="11"/>
                <w:szCs w:val="11"/>
                <w:color w:val="auto"/>
              </w:rPr>
            </w:pPr>
          </w:p>
        </w:tc>
      </w:tr>
      <w:tr>
        <w:trPr>
          <w:trHeight w:val="128"/>
        </w:trPr>
        <w:tc>
          <w:tcPr>
            <w:tcW w:w="594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(5,345)</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(9,942)</w:t>
            </w:r>
          </w:p>
        </w:tc>
        <w:tc>
          <w:tcPr>
            <w:tcW w:w="20" w:type="dxa"/>
            <w:vAlign w:val="bottom"/>
            <w:shd w:val="clear" w:color="auto" w:fill="CCEEFF"/>
          </w:tcPr>
          <w:p>
            <w:pPr>
              <w:spacing w:after="0"/>
              <w:rPr>
                <w:sz w:val="11"/>
                <w:szCs w:val="11"/>
                <w:color w:val="auto"/>
              </w:rPr>
            </w:pPr>
          </w:p>
        </w:tc>
      </w:tr>
      <w:tr>
        <w:trPr>
          <w:trHeight w:val="129"/>
        </w:trPr>
        <w:tc>
          <w:tcPr>
            <w:tcW w:w="5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on long-term debt borrowings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(18,813)</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(813)</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48,000</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Repayments of finance lease obligations</w:t>
            </w:r>
          </w:p>
        </w:tc>
        <w:tc>
          <w:tcPr>
            <w:tcW w:w="14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0" w:type="dxa"/>
            <w:vAlign w:val="bottom"/>
            <w:shd w:val="clear" w:color="auto" w:fill="CCEEFF"/>
          </w:tcPr>
          <w:p>
            <w:pPr>
              <w:spacing w:after="0"/>
              <w:rPr>
                <w:sz w:val="11"/>
                <w:szCs w:val="11"/>
                <w:color w:val="auto"/>
              </w:rPr>
            </w:pPr>
          </w:p>
        </w:tc>
      </w:tr>
      <w:tr>
        <w:trPr>
          <w:trHeight w:val="128"/>
        </w:trPr>
        <w:tc>
          <w:tcPr>
            <w:tcW w:w="59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(19,002)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47,086</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4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w:t>
            </w:r>
          </w:p>
        </w:tc>
        <w:tc>
          <w:tcPr>
            <w:tcW w:w="20" w:type="dxa"/>
            <w:vAlign w:val="bottom"/>
            <w:shd w:val="clear" w:color="auto" w:fill="CCEEFF"/>
          </w:tcPr>
          <w:p>
            <w:pPr>
              <w:spacing w:after="0"/>
              <w:rPr>
                <w:sz w:val="11"/>
                <w:szCs w:val="11"/>
                <w:color w:val="auto"/>
              </w:rPr>
            </w:pPr>
          </w:p>
        </w:tc>
      </w:tr>
      <w:tr>
        <w:trPr>
          <w:trHeight w:val="129"/>
        </w:trPr>
        <w:tc>
          <w:tcPr>
            <w:tcW w:w="5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increase in cash</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(58,952)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22,390</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4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102,763</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32,626</w:t>
            </w:r>
          </w:p>
        </w:tc>
        <w:tc>
          <w:tcPr>
            <w:tcW w:w="20" w:type="dxa"/>
            <w:vAlign w:val="bottom"/>
            <w:shd w:val="clear" w:color="auto" w:fill="CCEEFF"/>
          </w:tcPr>
          <w:p>
            <w:pPr>
              <w:spacing w:after="0"/>
              <w:rPr>
                <w:sz w:val="11"/>
                <w:szCs w:val="11"/>
                <w:color w:val="auto"/>
              </w:rPr>
            </w:pPr>
          </w:p>
        </w:tc>
      </w:tr>
      <w:tr>
        <w:trPr>
          <w:trHeight w:val="168"/>
        </w:trPr>
        <w:tc>
          <w:tcPr>
            <w:tcW w:w="59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1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43,811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55,016</w:t>
            </w:r>
          </w:p>
        </w:tc>
        <w:tc>
          <w:tcPr>
            <w:tcW w:w="20" w:type="dxa"/>
            <w:vAlign w:val="bottom"/>
            <w:tcBorders>
              <w:bottom w:val="single" w:sz="8" w:color="CCEEFF"/>
            </w:tcBorders>
          </w:tcPr>
          <w:p>
            <w:pPr>
              <w:spacing w:after="0"/>
              <w:rPr>
                <w:sz w:val="14"/>
                <w:szCs w:val="14"/>
                <w:color w:val="auto"/>
              </w:rPr>
            </w:pPr>
          </w:p>
        </w:tc>
      </w:tr>
      <w:tr>
        <w:trPr>
          <w:trHeight w:val="115"/>
        </w:trPr>
        <w:tc>
          <w:tcPr>
            <w:tcW w:w="59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60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w:t>
            </w:r>
          </w:p>
        </w:tc>
        <w:tc>
          <w:tcPr>
            <w:tcW w:w="4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5,123</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taxes paid, net</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637</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600" w:type="dxa"/>
            <w:vAlign w:val="bottom"/>
            <w:gridSpan w:val="2"/>
            <w:shd w:val="clear" w:color="auto" w:fill="CCEEFF"/>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426</w:t>
            </w:r>
          </w:p>
        </w:tc>
        <w:tc>
          <w:tcPr>
            <w:tcW w:w="440" w:type="dxa"/>
            <w:vAlign w:val="bottom"/>
            <w:gridSpan w:val="2"/>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5,849</w:t>
            </w:r>
          </w:p>
        </w:tc>
        <w:tc>
          <w:tcPr>
            <w:tcW w:w="2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 included in accounts payable – related party</w:t>
            </w: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20" w:type="dxa"/>
            <w:vAlign w:val="bottom"/>
          </w:tcPr>
          <w:p>
            <w:pPr>
              <w:spacing w:after="0"/>
              <w:rPr>
                <w:sz w:val="11"/>
                <w:szCs w:val="11"/>
                <w:color w:val="auto"/>
              </w:rPr>
            </w:pPr>
          </w:p>
        </w:tc>
      </w:tr>
      <w:tr>
        <w:trPr>
          <w:trHeight w:val="135"/>
        </w:trPr>
        <w:tc>
          <w:tcPr>
            <w:tcW w:w="5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1,625</w:t>
            </w:r>
          </w:p>
        </w:tc>
        <w:tc>
          <w:tcPr>
            <w:tcW w:w="20" w:type="dxa"/>
            <w:vAlign w:val="bottom"/>
            <w:shd w:val="clear" w:color="auto" w:fill="CCEEFF"/>
          </w:tcPr>
          <w:p>
            <w:pPr>
              <w:spacing w:after="0"/>
              <w:rPr>
                <w:sz w:val="11"/>
                <w:szCs w:val="1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Latham Group, Inc. (the “Company”) wholly owns Latham Pool Products, Inc. (“Latham Pool Products”) (together, “Latham”), a designer, manufacturer, and marketer of in-ground residential swimming pools in North America, Australia, and New Zealand. Latham offers a portfolio of in-ground swimming pools and related products, including pool liners and pool covers.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 Initial Public Offering and Reorganization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April 13, 2021, the Company’s certificate of incorporation was amended and restated. On April 13, 2021, the Company effected a 109,673.709-for-one stock split of its issued and outstanding shares of common stock. Accordingly, all share and per share data included in these condensed consolidated financial statements and notes thereto have been adjusted retroactively to reflect the impact of the amended and restated certificate of incorporation and the stock split.</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Prior to the closing of the Company’s IPO, the Company’s parent entity, Latham Investment Holdings, L.P., merged with and into Latham Group,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2023 was derived from audited financial statements but does not include all disclosures required by GAAP. The accompanying unaudited condensed consolidated financial statements as of March 30, 2024 and for the fiscal quarters ended March 30, 2024 and April 1, 2023,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2023 included in the Company’s 2023 Annual Report on Form 10-K, filed with the SEC on March 13, 2024 (the “Annual Report”). In the opinion of management, all adjustments, consisting only of normal recurring adjustments necessary for a fair statement of these condensed consolidated financial statements, have been included. The Company’s results of operations for the fiscal quarter ended March 30, 2024 are not necessarily indicative of the results of operations that may be expected for the fiscal year ending December 31, 2024 or other interim periods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ectPr>
          <w:pgSz w:w="11900" w:h="16838" w:orient="portrait"/>
          <w:cols w:equalWidth="0" w:num="1">
            <w:col w:w="9900"/>
          </w:cols>
          <w:pgMar w:left="980" w:top="378"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the current period presentation in the condensed consolidated financial statements and the accompanying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fiscal year, its business is seasonal and weather is one of the principal external factors affecting the business. Historically, net sales and net income are highest (or net loss is lowest) during the second and third fiscal quarters, representing the peak months of swimming pool use, pool installation, and remodeling and repair activities. Severe weather may also affect net sales in all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 as updated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8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improves financial reporting by requiring disclosure of incremental segment information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for all public entities to enable investors to develop more decision-useful analysis. For all entities, ASU 2023-07 is effective for fiscal years beginning after December 15, 2023. The amendments should be applied retrospectively to all prior periods presented in the financial statements, with early adoption permitted. The Company is currently evaluating ASU 2023-07 and its potential impact on the notes to the condensed consolidated financial statements.</w:t>
      </w:r>
    </w:p>
    <w:p>
      <w:pPr>
        <w:spacing w:after="0" w:line="18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in an effort to enhance the transparency and decision usefulness of income tax disclosures. For all entities, ASU 2023-09 is effective for fiscal years beginning after December 15, 2024. The amendments should be applied prospectively with retrospective application permitted. Early adoption is also permitted. The Company is currently evaluating ASU 2023-09 and its potential impact on the notes to the condensed consolidated financial statements.</w:t>
      </w:r>
    </w:p>
    <w:p>
      <w:pPr>
        <w:spacing w:after="0" w:line="18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 – Stock Compensation (Topic 718): Scope Application of Profits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and Similar Awards </w:t>
      </w:r>
      <w:r>
        <w:rPr>
          <w:rFonts w:ascii="Times New Roman" w:cs="Times New Roman" w:eastAsia="Times New Roman" w:hAnsi="Times New Roman"/>
          <w:sz w:val="18"/>
          <w:szCs w:val="18"/>
          <w:color w:val="auto"/>
        </w:rPr>
        <w:t>(“ASU 2024-01”), which improves financial reporting by providing clarity on when an entity should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scope guidance in paragraph 718-10-15-3. For all public entities, ASU 2024-01 is effective for fiscal years beginning after December 15, 2024. The amendments should be applied retrospectively to all prior periods presented in the financial statements, with early adoption permitted. The Company is currently evaluating ASU 2024-01 and its potential impact on the notes to the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ectPr>
          <w:pgSz w:w="11900" w:h="16838" w:orient="portrait"/>
          <w:cols w:equalWidth="0" w:num="1">
            <w:col w:w="9900"/>
          </w:cols>
          <w:pgMar w:left="980" w:top="378"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quarters ended March 30, 2024 and April 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Company’s term loan (see Note 6) is carried at amortized cost; however, the Company estimates the fair value of the term loan for disclosure purposes. The fair value of the term loan is determined using inputs based on observable market data of a non-public exchange, which are classified as Level 2 inputs. The following table sets forth the carrying amount and fair value of its term loan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4"/>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31"/>
        </w:trPr>
        <w:tc>
          <w:tcPr>
            <w:tcW w:w="4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1"/>
                <w:szCs w:val="11"/>
                <w:color w:val="auto"/>
              </w:rPr>
            </w:pPr>
          </w:p>
        </w:tc>
      </w:t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289,153</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29" w:lineRule="exact"/>
        <w:rPr>
          <w:sz w:val="20"/>
          <w:szCs w:val="20"/>
          <w:color w:val="auto"/>
        </w:rPr>
      </w:pPr>
    </w:p>
    <w:p>
      <w:pPr>
        <w:ind w:right="120" w:firstLine="324"/>
        <w:spacing w:after="0" w:line="276" w:lineRule="auto"/>
        <w:rPr>
          <w:sz w:val="20"/>
          <w:szCs w:val="20"/>
          <w:color w:val="auto"/>
        </w:rPr>
      </w:pPr>
      <w:r>
        <w:rPr>
          <w:rFonts w:ascii="Times New Roman" w:cs="Times New Roman" w:eastAsia="Times New Roman" w:hAnsi="Times New Roman"/>
          <w:sz w:val="17"/>
          <w:szCs w:val="17"/>
          <w:color w:val="auto"/>
        </w:rPr>
        <w:t>The Company estimates the fair value of interest rate swaps (see Note 6) on a fiscal quarterly basis using Level 2 inputs, including the forward SOFR curve. The fair value is estimated by comparing (i) the present value of all future monthly fixed rate payments versus</w:t>
      </w:r>
    </w:p>
    <w:p>
      <w:pPr>
        <w:spacing w:after="0" w:line="1" w:lineRule="exact"/>
        <w:rPr>
          <w:sz w:val="20"/>
          <w:szCs w:val="20"/>
          <w:color w:val="auto"/>
        </w:rPr>
      </w:pPr>
    </w:p>
    <w:p>
      <w:pPr>
        <w:ind w:right="12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payments based on the forward SOFR curve. As of March 30, 2024 and December 31, 2023, the fair value of the Company’s interest rate swap was an asset of $0.6 million and a liability of $1.2 million, respectively, which were recorded within other assets and other long-term liabilities on the condensed consolidated balance sheets,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March 30, 2024 and as of December 31, 2023 was $131.0 million and $131.4 million, respectively. The change in the carrying value during the fiscal quarter ended March 30, 2024 was solely because of fluctuations in foreign currency exchange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March 30, 2024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$ 116,616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130,975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$ 393,493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$ 275,876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$6.4 million of amortization expense related to intangible assets during the fiscal quarter ended March 30, 2024. The Company recognized $6.6 million of amortization expense related to intangible assets during the fiscal quarter ended April 1,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December 31, 2023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$ 148,100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$ 118,589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134,906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$ 393,493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$ 282,793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years and thereafter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0" w:type="dxa"/>
            <w:vAlign w:val="bottom"/>
          </w:tcPr>
          <w:p>
            <w:pPr>
              <w:spacing w:after="0"/>
              <w:rPr>
                <w:sz w:val="1"/>
                <w:szCs w:val="1"/>
                <w:color w:val="auto"/>
              </w:rPr>
            </w:pPr>
          </w:p>
        </w:tc>
      </w:tr>
      <w:tr>
        <w:trPr>
          <w:trHeight w:val="148"/>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3540" w:type="dxa"/>
            <w:vAlign w:val="bottom"/>
            <w:tcBorders>
              <w:bottom w:val="single" w:sz="8" w:color="auto"/>
            </w:tcBorders>
            <w:vMerge w:val="continue"/>
          </w:tcPr>
          <w:p>
            <w:pPr>
              <w:spacing w:after="0"/>
              <w:rPr>
                <w:sz w:val="15"/>
                <w:szCs w:val="15"/>
                <w:color w:val="auto"/>
              </w:rPr>
            </w:pPr>
          </w:p>
        </w:tc>
        <w:tc>
          <w:tcPr>
            <w:tcW w:w="47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4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7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155,348</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700" w:type="dxa"/>
            <w:vAlign w:val="bottom"/>
            <w:vMerge w:val="restart"/>
          </w:tcPr>
          <w:p>
            <w:pPr>
              <w:jc w:val="right"/>
              <w:ind w:right="309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54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78"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60" w:type="dxa"/>
            <w:vAlign w:val="bottom"/>
            <w:tcBorders>
              <w:bottom w:val="single" w:sz="8" w:color="CCEEFF"/>
            </w:tcBorders>
          </w:tcPr>
          <w:p>
            <w:pPr>
              <w:spacing w:after="0"/>
              <w:rPr>
                <w:sz w:val="18"/>
                <w:szCs w:val="18"/>
                <w:color w:val="auto"/>
              </w:rPr>
            </w:pPr>
          </w:p>
        </w:tc>
      </w:tr>
      <w:tr>
        <w:trPr>
          <w:trHeight w:val="210"/>
        </w:trPr>
        <w:tc>
          <w:tcPr>
            <w:tcW w:w="35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95,151</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60" w:type="dxa"/>
            <w:vAlign w:val="bottom"/>
            <w:shd w:val="clear" w:color="auto" w:fill="CCEEFF"/>
          </w:tcPr>
          <w:p>
            <w:pPr>
              <w:spacing w:after="0"/>
              <w:rPr>
                <w:sz w:val="18"/>
                <w:szCs w:val="18"/>
                <w:color w:val="auto"/>
              </w:rPr>
            </w:pP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60" w:type="dxa"/>
            <w:vAlign w:val="bottom"/>
            <w:shd w:val="clear" w:color="auto" w:fill="CCEEFF"/>
          </w:tcPr>
          <w:p>
            <w:pPr>
              <w:spacing w:after="0"/>
              <w:rPr>
                <w:sz w:val="18"/>
                <w:szCs w:val="18"/>
                <w:color w:val="auto"/>
              </w:rPr>
            </w:pPr>
          </w:p>
        </w:tc>
      </w:tr>
      <w:tr>
        <w:trPr>
          <w:trHeight w:val="21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279,531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February 23, 2022, Latham Pool Products entered into an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30, 2024, the Company was in compliance with all financial covenants under the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the “First Lien Net Leverage Ratio”). Borrowings under the Revolving Credit Facility are due at maturity.</w:t>
      </w:r>
    </w:p>
    <w:p>
      <w:pPr>
        <w:spacing w:after="0" w:line="18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Revolving Credit Facility. The debt issuance costs were recorded within other assets on the condensed consolidated balance sheet as of the applicable period and are being amortized over the life of the Revolving Credit Facility.</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 connection with the Revolving Credit Facility, including maintaining specific liquidity measurements. There are also negative covenants, including certain restrictions on the Company’s and its subsidiaries’ ability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March 30, 2024, there were no outstanding borrowings on the Revolving Credit Facility and $75.0 million was available for future borrowing.</w:t>
      </w:r>
    </w:p>
    <w:p>
      <w:pPr>
        <w:sectPr>
          <w:pgSz w:w="11900" w:h="16838" w:orient="portrait"/>
          <w:cols w:equalWidth="0" w:num="1">
            <w:col w:w="9920"/>
          </w:cols>
          <w:pgMar w:left="980" w:top="378"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Term Loan matures on February 23, 2029. The Term Loan bears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The Term Loan is subject to scheduled quarterly amortization payments of $812,500, equal to</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0.25% of the initial principal amount of the Term Loan. The Credit Agreement contains customary mandatory prepayment provisions for the Term Loan,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quarter ended March 30, 2024, the Company made a payment of $18.0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borrowings as of March 30, 2024 were $282.8 million, net of unamortized discount and debt issuance costs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million. In connection with the Term Loan, the Company is subject to various negative, reporting, financial, and other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maintaining specific liquidity measurements.</w:t>
      </w:r>
    </w:p>
    <w:p>
      <w:pPr>
        <w:spacing w:after="0" w:line="207"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As of March 30, 2024, the unamortized debt issuance costs and discount on the Term Loan were $4.3 million and $3.4 million, respectively. The effective interest rate was 9.89% at March 30, 2024, including the impact of the Company’s interest rate swaps.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interest rate swaps.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executed an interest rate swap on April 30, 2020. The swap had an effective date of May 18, 2020 and a termination date of May 18, 2023. In February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was not designated as a hedging instrument for accounting purposes (see Note 3).</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Additionally, 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Revolving Credit Facility, in the next five fiscal years, excluding any potential payments based on excess cash flow, are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275,062</w:t>
            </w:r>
          </w:p>
        </w:tc>
      </w:tr>
      <w:tr>
        <w:trPr>
          <w:trHeight w:val="209"/>
        </w:trPr>
        <w:tc>
          <w:tcPr>
            <w:tcW w:w="504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290,500</w:t>
            </w:r>
          </w:p>
        </w:tc>
      </w:tr>
      <w:tr>
        <w:trPr>
          <w:trHeight w:val="20"/>
        </w:trPr>
        <w:tc>
          <w:tcPr>
            <w:tcW w:w="5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as defined in the security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ectPr>
          <w:pgSz w:w="11900" w:h="16838" w:orient="portrait"/>
          <w:cols w:equalWidth="0" w:num="1">
            <w:col w:w="9920"/>
          </w:cols>
          <w:pgMar w:left="980" w:top="378"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PRODUCT WARRANTIES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60" w:type="dxa"/>
            <w:vAlign w:val="bottom"/>
          </w:tcPr>
          <w:p>
            <w:pPr>
              <w:spacing w:after="0"/>
              <w:rPr>
                <w:sz w:val="12"/>
                <w:szCs w:val="12"/>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reserve</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0" w:type="dxa"/>
            <w:vAlign w:val="bottom"/>
            <w:shd w:val="clear" w:color="auto" w:fill="CCEEFF"/>
          </w:tcPr>
          <w:p>
            <w:pPr>
              <w:spacing w:after="0"/>
              <w:rPr>
                <w:sz w:val="18"/>
                <w:szCs w:val="18"/>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components of lease expense for the fiscal quarters ended March 30, 2024 and April 1, 2023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6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40" w:type="dxa"/>
            <w:vAlign w:val="bottom"/>
          </w:tcPr>
          <w:p>
            <w:pPr>
              <w:spacing w:after="0"/>
              <w:rPr>
                <w:sz w:val="12"/>
                <w:szCs w:val="12"/>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4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March 30, 2024 and December 31, 2023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3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Lease-related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March 30,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73"/>
        </w:trPr>
        <w:tc>
          <w:tcPr>
            <w:tcW w:w="6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maturities of operating lease liabilities as of March 30,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4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43"/>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w:t>
            </w:r>
          </w:p>
        </w:tc>
      </w:tr>
      <w:tr>
        <w:trPr>
          <w:trHeight w:val="223"/>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39,135</w:t>
            </w:r>
          </w:p>
        </w:tc>
      </w:tr>
      <w:tr>
        <w:trPr>
          <w:trHeight w:val="243"/>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r>
      <w:tr>
        <w:trPr>
          <w:trHeight w:val="210"/>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w:t>
            </w:r>
          </w:p>
        </w:tc>
      </w:tr>
      <w:tr>
        <w:trPr>
          <w:trHeight w:val="20"/>
        </w:trPr>
        <w:tc>
          <w:tcPr>
            <w:tcW w:w="4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60" w:type="dxa"/>
            <w:vAlign w:val="bottom"/>
          </w:tcPr>
          <w:p>
            <w:pPr>
              <w:spacing w:after="0"/>
              <w:rPr>
                <w:sz w:val="12"/>
                <w:szCs w:val="12"/>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In-ground Swimming Pools</w:t>
            </w:r>
          </w:p>
        </w:tc>
        <w:tc>
          <w:tcPr>
            <w:tcW w:w="1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Covers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Liners</w:t>
            </w:r>
          </w:p>
        </w:tc>
        <w:tc>
          <w:tcPr>
            <w:tcW w:w="1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60" w:type="dxa"/>
            <w:vAlign w:val="bottom"/>
            <w:shd w:val="clear" w:color="auto" w:fill="CCEEFF"/>
          </w:tcPr>
          <w:p>
            <w:pPr>
              <w:spacing w:after="0"/>
              <w:rPr>
                <w:sz w:val="18"/>
                <w:szCs w:val="18"/>
                <w:color w:val="auto"/>
              </w:rPr>
            </w:pPr>
          </w:p>
        </w:tc>
      </w:tr>
      <w:tr>
        <w:trPr>
          <w:trHeight w:val="209"/>
        </w:trPr>
        <w:tc>
          <w:tcPr>
            <w:tcW w:w="3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137,719</w:t>
            </w:r>
          </w:p>
        </w:tc>
        <w:tc>
          <w:tcPr>
            <w:tcW w:w="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fiscal quarter ended March 30, 2024 was (7.2)% compared to 16.9% for the fiscal quarter ended April 1, 2023. The differences between the U.S. federal statutory income tax rate and our effective income tax rates for the fiscal quarter ended March 30, 2024 and the fiscal quarter ended April 1, 2023 were primarily attributable to the discrete impact of stock compensation expense for which there is no associated tax benefit.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May 10, 2022, the Board of Directors of the Company approved a stock repurchase program (the “Repurchase Program”), which authorizes the Company to repurchase up to $100 million of the Company’s shares of common stock by May 2025.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March 30, 2024, $77.0 million remained available for share repurchases pursuant to the Repurchase Program. The Company did not repurchase any shares of its common stock during the fiscal quarter ended March 30, 2024. The Company accounts for the excess of the repurchase price over the par value of shares acquired as a reduction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12, 2021, the Company’s stockholders approved the 2021 Omnibus Equity Incentive Plan (the “2021 Omnibus Equity Plan”), which became effective on April 22, 2021, upon pricing of its initial public offering. The 2021 Omnibus Equity Plan provides for the issuance of incentive stock options, non-qualified stock options, stock appreciation rights, restricted stock, restricted stock units, performance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May 2, 2023, at the 2023 annual meeting of stockholders of the Company, the stockholders approved the first amendment (the “First Amendment”) to the 2021 Omnibus Equity Plan, which was previously approved by the Board of Directors of the Company. The First Amendment became effective upon stockholder approval, and included an increase by 8,000,000 shares of the share pool, i.e. the maximum number of shares of the Company’s common stock that may be issued pursuant to awards granted under the 2021 Omnibus Equity Plan.</w:t>
      </w:r>
    </w:p>
    <w:p>
      <w:pPr>
        <w:spacing w:after="0" w:line="18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Except as amended by the First Amendment, the other terms of the 2021 Omnibus Equity Plan remain in full force and effect. Subsequent to the First Amendment, the maximum aggregate number of shares reserved for issuance under the 2021 Omnibus Equity Plan is 21,170,212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47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360" w:type="dxa"/>
            <w:vAlign w:val="bottom"/>
            <w:tcBorders>
              <w:bottom w:val="single" w:sz="8" w:color="CCEEFF"/>
            </w:tcBorders>
          </w:tcPr>
          <w:p>
            <w:pPr>
              <w:spacing w:after="0"/>
              <w:rPr>
                <w:sz w:val="12"/>
                <w:szCs w:val="12"/>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6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360" w:type="dxa"/>
            <w:vAlign w:val="bottom"/>
            <w:tcBorders>
              <w:bottom w:val="single" w:sz="8" w:color="CCEEFF"/>
            </w:tcBorders>
          </w:tcPr>
          <w:p>
            <w:pPr>
              <w:spacing w:after="0"/>
              <w:rPr>
                <w:sz w:val="18"/>
                <w:szCs w:val="18"/>
                <w:color w:val="auto"/>
              </w:rPr>
            </w:pPr>
          </w:p>
        </w:tc>
      </w:tr>
      <w:tr>
        <w:trPr>
          <w:trHeight w:val="209"/>
        </w:trPr>
        <w:tc>
          <w:tcPr>
            <w:tcW w:w="476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360" w:type="dxa"/>
            <w:vAlign w:val="bottom"/>
            <w:tcBorders>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March 30, 2024, total unrecognized stock-based compensation expense related to all unvested stock-based awards was $13.3 million, which is expected to be recognized over a weighted-average period of 2.2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awards activity during the fiscal quarter ended March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4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30,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378"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fiscal quarter ended March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2,235,479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(411,301)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(85,392)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9"/>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4,021,122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 activity during the fiscal quarter ended March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30,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1,454,674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30, 2024</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1,454,674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15.30</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March 30, 2024</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678,477</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16.10</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7.38</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ind w:lef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 w:cs="Times New Roman" w:eastAsia="Times New Roman" w:hAnsi="Times New Roman"/>
          <w:sz w:val="10"/>
          <w:szCs w:val="10"/>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During the fiscal quarter ended April 1, 2023, as a portion of the annual equity award grants to the Company’s executive officers, the Compensation Committee of the Board of Directors approved stock appreciation rights for an aggregate of 790,181 shares of the Company’s common stock, with a strike price of $3.24 per share. At the time of such approval, the Company did not have enough shares of the Company’s common stock in the share pool under the 2021 Omnibus Equity Plan to support such grant. As of April 1, 2023, the contingent grant of stock appreciation rights remained subject to stockholder approval of the First Amendment. On May 2, 2023, following stockholder approval of the First Amendment, the foregoing stock appreciation right awards became effective without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fiscal quarter ended March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 Term</w:t>
            </w:r>
          </w:p>
        </w:tc>
        <w:tc>
          <w:tcPr>
            <w:tcW w:w="16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30,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569,296</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March 30, 2024</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706,460</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9.13</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569,296</w:t>
            </w:r>
          </w:p>
        </w:tc>
        <w:tc>
          <w:tcPr>
            <w:tcW w:w="0" w:type="dxa"/>
            <w:vAlign w:val="bottom"/>
          </w:tcPr>
          <w:p>
            <w:pPr>
              <w:spacing w:after="0"/>
              <w:rPr>
                <w:sz w:val="1"/>
                <w:szCs w:val="1"/>
                <w:color w:val="auto"/>
              </w:rPr>
            </w:pPr>
          </w:p>
        </w:tc>
      </w:tr>
      <w:tr>
        <w:trPr>
          <w:trHeight w:val="197"/>
        </w:trPr>
        <w:tc>
          <w:tcPr>
            <w:tcW w:w="58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 appreciation rights exercisable at March 30, 2024</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161,893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9.09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116,563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stock appreciation rights were granted under this plan during the fiscal quarter ended March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30, 2024 the Compensation Committee of the Board of Directors approved the grant of performance stock units (“PSUs”) as a portion of the annual equity award to the Company’s executive officers for an aggregate of 427,145 shares of the Company’s common stock.</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PSUs will be earned at 0% to 200% of the target PSUs (with 100% of PSUs being earned at target performance, and linear interpolation between threshold and target and maximum performance) based on the Company’s achievement of Adjusted EBITDA, as defined in the award agreement, over a one-year performance period ending December 31, 2024. Any earned PSUs cliff vest on the third anniversary of the grant date. Adjusted EBITDA is considered a performance condition and the grant date fair value corresponds with management’s expectation of the probable outcome of the performance condition as of the grant date. The grant date fair value is determined based on the fair market value of the Company’s stock at market close on the grant date multiplied by the target number of shares subject to the award. The probability of achieving the performance criteria is assessed quarterly during the performance period. Compensation expense related to unvested PSUs is recognized ratably over the service period.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fiscal quarter ended March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427,145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Adjustment for expected performance achievement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Outstanding at March 30, 2024 </w:t>
            </w:r>
            <w:r>
              <w:rPr>
                <w:rFonts w:ascii="Times New Roman" w:cs="Times New Roman" w:eastAsia="Times New Roman" w:hAnsi="Times New Roman"/>
                <w:sz w:val="24"/>
                <w:szCs w:val="24"/>
                <w:color w:val="auto"/>
                <w:vertAlign w:val="superscript"/>
              </w:rPr>
              <w:t>(2)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427,145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right="1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performance expectations as of the end of each respective fiscal year.</w:t>
      </w:r>
    </w:p>
    <w:p>
      <w:pPr>
        <w:spacing w:after="0" w:line="161"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427,145 PSUs could potentially be included if the maximum performance level of 200% is earned for all PSUs outstanding as of March 30,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55"/>
        </w:trPr>
        <w:tc>
          <w:tcPr>
            <w:tcW w:w="5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right"/>
              <w:ind w:right="660"/>
              <w:spacing w:after="0" w:line="155"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320" w:type="dxa"/>
            <w:vAlign w:val="bottom"/>
          </w:tcPr>
          <w:p>
            <w:pPr>
              <w:spacing w:after="0"/>
              <w:rPr>
                <w:sz w:val="13"/>
                <w:szCs w:val="13"/>
                <w:color w:val="auto"/>
              </w:rPr>
            </w:pPr>
          </w:p>
        </w:tc>
        <w:tc>
          <w:tcPr>
            <w:tcW w:w="1620" w:type="dxa"/>
            <w:vAlign w:val="bottom"/>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(7,864)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112,102,198</w:t>
            </w:r>
          </w:p>
        </w:tc>
      </w:tr>
      <w:tr>
        <w:trPr>
          <w:trHeight w:val="209"/>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115,038,929</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112,102,198</w:t>
            </w:r>
          </w:p>
        </w:tc>
      </w:tr>
      <w:tr>
        <w:trPr>
          <w:trHeight w:val="21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9"/>
        </w:trPr>
        <w:tc>
          <w:tcPr>
            <w:tcW w:w="5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March 30, 2024 and December 31, 2023, 115,346,803 and 114,828,896 shares of common stock were issued and outstanding for accounting purposes, respectively.</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loss per share because the effect was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376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6160" w:type="dxa"/>
            <w:vAlign w:val="bottom"/>
          </w:tcPr>
          <w:p>
            <w:pPr>
              <w:spacing w:after="0"/>
              <w:rPr>
                <w:sz w:val="12"/>
                <w:szCs w:val="12"/>
                <w:color w:val="auto"/>
              </w:rPr>
            </w:pPr>
          </w:p>
        </w:tc>
        <w:tc>
          <w:tcPr>
            <w:tcW w:w="2000" w:type="dxa"/>
            <w:vAlign w:val="bottom"/>
            <w:tcBorders>
              <w:top w:val="single" w:sz="8" w:color="auto"/>
            </w:tcBorders>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172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40" w:type="dxa"/>
            <w:vAlign w:val="bottom"/>
          </w:tcPr>
          <w:p>
            <w:pPr>
              <w:spacing w:after="0"/>
              <w:rPr>
                <w:sz w:val="12"/>
                <w:szCs w:val="12"/>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2,576,219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500,751</w:t>
            </w:r>
          </w:p>
        </w:tc>
        <w:tc>
          <w:tcPr>
            <w:tcW w:w="4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1,521,158</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1,886,497</w:t>
            </w:r>
          </w:p>
        </w:tc>
        <w:tc>
          <w:tcPr>
            <w:tcW w:w="40" w:type="dxa"/>
            <w:vAlign w:val="bottom"/>
            <w:shd w:val="clear" w:color="auto" w:fill="CCEEFF"/>
          </w:tcPr>
          <w:p>
            <w:pPr>
              <w:spacing w:after="0"/>
              <w:rPr>
                <w:sz w:val="18"/>
                <w:szCs w:val="18"/>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657,999</w:t>
            </w:r>
          </w:p>
        </w:tc>
        <w:tc>
          <w:tcPr>
            <w:tcW w:w="3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75,937</w:t>
            </w:r>
          </w:p>
        </w:tc>
        <w:tc>
          <w:tcPr>
            <w:tcW w:w="3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BrightAI Services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Starting in 2020, BrightAI Corporation (“BrightAI”) has rendered services to the Company, for which the cost has been capitalized as internal-use software. A co-founder of BrightAI Services served on the Company’s Board of Directors from December 9, 2020 until his resignation on February 21, 2024. In December 2022, the Company executed an additional agreement with BrightAI for the provision of hardware to run the technology developed by BrightAI and the Company. The Company had no material transactions with BrightAI during the quarters ended March 30, 2024 and April 1, 2023. As of December 31, 2023, the Company had no accounts payable related to BrightAI.</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RESTRUCTURING COSTS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second and third fiscal quarters of 2023, the Company initiated an additional plan focused on efforts to improve efficiencies and decrease costs. The plan involved a reduction in the Company’s workforce as well as closures of various manufacturing facilities. The Company had an exit or disposal cost related liability of $0.1 million as of March 30, 2024 and $0.2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2023 Annual Report on Form 10-K filed with the Securities and Exchange Commission, or SEC, on March 13, 2024 (the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the implementation of our cost reduction plans and expected annualized cost savings, the implementation of our digital transformation and lean manufacturing activities, a potential non-cash impairment charge for goodwill</w:t>
      </w:r>
      <w:r>
        <w:rPr>
          <w:rFonts w:ascii="Times New Roman" w:cs="Times New Roman" w:eastAsia="Times New Roman" w:hAnsi="Times New Roman"/>
          <w:sz w:val="18"/>
          <w:szCs w:val="18"/>
          <w:color w:val="B5082E"/>
        </w:rPr>
        <w:t>,</w:t>
      </w:r>
      <w:r>
        <w:rPr>
          <w:rFonts w:ascii="Times New Roman" w:cs="Times New Roman" w:eastAsia="Times New Roman" w:hAnsi="Times New Roman"/>
          <w:sz w:val="18"/>
          <w:szCs w:val="18"/>
          <w:color w:val="auto"/>
        </w:rPr>
        <w:t xml:space="preserve">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or furnish with the SEC, including elsewhere in this Quarterly Report on Form 10-Q. For similar reasons, our past results may not be a reliable indicator of future performance and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20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liners, and pool covers.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0"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approximately 1,800 employees across approximately 24 locations.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liners, and pool covers.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March 30, 2024</w:t>
      </w:r>
    </w:p>
    <w:p>
      <w:pPr>
        <w:spacing w:after="0" w:line="229" w:lineRule="exact"/>
        <w:rPr>
          <w:sz w:val="20"/>
          <w:szCs w:val="20"/>
          <w:color w:val="auto"/>
        </w:rPr>
      </w:pPr>
    </w:p>
    <w:p>
      <w:pPr>
        <w:ind w:left="680" w:right="24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sales of 19.7%, or $27.1 million, to $110.6 million for the fiscal quarter ended March 30, 2024, compared to $137.7 million for the fiscal quarter ended April 1, 2023.</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loss of $6.5 million to $7.9 million and representing a 7.1% net loss margin for the fiscal quarter ended March 30, 2024, compared to net loss of $14.4 million for the fiscal quarter ended April 1, 2023.</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(as defined below) of $1.3 million to $12.3 million for the fiscal quarter ended March 30, 2024, compared to $11.0 million for the fiscal quarter ended April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78" w:right="10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Ongoing macroeconomic challenges have impacted and are expected to continue to impact consumer spending and demand. As anticipated, this resulted in a decline in U.S. new in-ground residential pool installations in the first quarter of 2024, mainly driven by lower packaged pool demand. Fiberglass products continue to show strength relative to packaged pools.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the completion of previously announced projects such as our recent multi-year capital plan to invest in our facilities.</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responded to economic uncertainty by implementing cost reduction programs and lean manufacturing initiatives that structurally reduce our cost basis, while maintaining capacity. We expect to realize an additional $4.8 million of annualized savings during 2024 from plans initiated in the second and third quarters of 2023, with $2.7 million realized in the first quarter and the remainder expected to be realized in the second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aluminum,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gross profit is primarily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w:t>
      </w:r>
    </w:p>
    <w:p>
      <w:pPr>
        <w:sectPr>
          <w:pgSz w:w="11900" w:h="16838" w:orient="portrait"/>
          <w:cols w:equalWidth="0" w:num="1">
            <w:col w:w="9900"/>
          </w:cols>
          <w:pgMar w:left="980" w:top="378"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(iii) income tax (benefit) expense, (iv) loss (gain) on sale and disposal of property and equipment, (v) restructuring charges, (vi) stock-based compensation expense, (vii) unrealized (gains) losses on foreign currency transactions, (viii) strategic initiative costs, (ix) acquisition and integration related costs, (x) the Odessa fire and other such unusual events and (xi) other.</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Adjusted EBITDA and Adjusted EBITDA margin and the limitations on their use, and the reconciliation of Adjusted EBITDA to net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March 30, 2024 Compared to Fiscal Quarter Ended April 1, 2023</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March 30, 2024 and April 1,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in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137,719</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gridSpan w:val="3"/>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(a)</w:t>
            </w:r>
          </w:p>
        </w:tc>
        <w:tc>
          <w:tcPr>
            <w:tcW w:w="5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6"/>
        </w:trPr>
        <w:tc>
          <w:tcPr>
            <w:tcW w:w="3700" w:type="dxa"/>
            <w:vAlign w:val="bottom"/>
            <w:gridSpan w:val="3"/>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12,293</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11,033</w:t>
            </w:r>
          </w:p>
        </w:tc>
        <w:tc>
          <w:tcPr>
            <w:tcW w:w="14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1,260</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360" w:firstLine="332"/>
        <w:spacing w:after="0" w:line="282"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loss,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Net sales were $110.6 million for the fiscal quarter ended March 30, 2024, compared to $137.7 million for the fiscal quarter ended April 1, 2023. The $27.1 million, or 19.7%, decrease in net sales was due to a $25.8 million decrease in sales volume and a $1.3 million decrease from lower pricing. The sales volume decrease was primarily driven by continued difficult economic conditions, lower backlog entering the year and normalized seasonality. The decrease in total net sales of $27.1 million across our product lines consisted of $18.8 million for in-ground swimming pools, $5.9 million for pool covers and $2.4 million for pool liners.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Cost of sales was $80.0 million for the fiscal quarter ended March 30, 2024, compared to $104.3 million for the fiscal quarter ended April 1, 2023. The $24.3 million, or 23.3%, decrease in cost of sales was primarily the result of the decrease in fixed cost leverage and sales volume and a $0.4 million decrease in non-cash stock-based compensation expense. Gross margin increased by 3.5%, to 27.7% of net sales for the fiscal quarter ended March 30, 2024, compared to 24.2% of net sales for the fiscal quarter ended April 1, 2023. The</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3.5% increase in gross margin was primarily driven by our improved cost structure, increased productivity associated with ongoing lean and value engineering efforts and lower material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was $26.3 million for the fiscal quarter ended March 30, 2024, compared to $33.1 million for the fiscal quarter ended April 1, 2023, and decreased as a percentage of net sales by 0.2%. The $6.8 million, or 20.6%, decrease in selling, general, and administrative expense was primarily driven by a $5.1 million decrease in non-cash stock-based compensation expense, lower headcount and reduced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Amortization was $6.4 million for the fiscal quarter ended March 30, 2024, compared to $6.6 million for the fiscal quarter ended April 1, 2023. The $0.2 million, or 3.3%, decrease in amortization was driven by certain definite-lived intangible assets becoming fully amortized during the fiscal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was $5.0 million for the fiscal quarter ended March 30, 2024, compared to $10.8 million for the fiscal quarter ended April 1, 2023. The $5.8 million, or 53.9%, decrease in interest expense, net was primarily the result of the change in the fair value of our interest rate swap, compared to the fiscal quarter ended April 1, 2023, partially offset by a higher effective interest rate on lower total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Other expense, net was $1.6 million for the fiscal quarter ended March 30, 2024, compared to $0.2 million for fiscal quarter ended April 1, 2023. The $1.4 million increase in other expense was primarily driven by an unfavorable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 were $1.3 million for the fiscal quarter ended March 30, 2024, compared to less than $0.1 million for the fiscal quarter ended April 1, 2023, because of the financial performance of Premier Pools &amp; Spa.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was $0.5 million for the fiscal quarter ended March 30, 2024, compared to income tax benefit of $(2.9) million for the fiscal quarter ended April 1, 2023. Our effective tax rate was (7.2)% for the fiscal quarter ended March 30, 2024, compared to 16.9% for the fiscal quarter ended April 1, 2023. The difference between the U.S. federal statutory income tax rate and our effective income tax rate for both the fiscal quarters ended March 30, 2024 and April 1, 2023 was primarily attributable to the discrete impact of stock-based compensation expense and foreign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Net loss was $7.9 million for the fiscal quarter ended March 30, 2024, compared to $14.4 million for the fiscal quarter ended April 1, 2023. The $6.5 million, or 45.3%, decrease in net loss was primarily because of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Margin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loss margin was 7.1% for the fiscal quarter ended March 30, 2024, compared to 10.4% for the fiscal quarter ended April 1, 2023. The 3.3% decrease in net loss margin was driven by a $6.5 million decrease in net loss, compared to the fiscal quarter ended April 1, 2023 because of the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Adjusted EBITDA was $12.3 million for the fiscal quarter ended March 30, 2024, compared to $11.0 million for the fiscal quarter ended April 1, 2023. The $1.3 million, or 11.4%, increase in Adjusted EBITDA was primarily because of the increase in gross margin and the reduction in selling, general and administrative expenses, partially offset by the decrease in net sales, as well as the other factors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Adjusted EBITDA margin was 11.1% for the fiscal quarter ended March 30, 2024, compared to 8.0% for the fiscal quarter ended April 1, 2023. The 3.1% increase in Adjusted EBITDA margin was primarily because of a $1.3 million increase in Adjusted EBITDA and a $27.1 million decrease in net sales, compared to the fiscal quarter ended April 1, 2023, which were impacted by the factors described above.</w:t>
      </w:r>
    </w:p>
    <w:p>
      <w:pPr>
        <w:sectPr>
          <w:pgSz w:w="11900" w:h="16838" w:orient="portrait"/>
          <w:cols w:equalWidth="0" w:num="1">
            <w:col w:w="9920"/>
          </w:cols>
          <w:pgMar w:left="980" w:top="378"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w:t>
      </w:r>
    </w:p>
    <w:p>
      <w:pPr>
        <w:spacing w:after="0" w:line="6" w:lineRule="exact"/>
        <w:rPr>
          <w:sz w:val="20"/>
          <w:szCs w:val="20"/>
          <w:color w:val="auto"/>
        </w:rPr>
      </w:pPr>
    </w:p>
    <w:p>
      <w:pPr>
        <w:ind w:right="160" w:firstLine="8"/>
        <w:spacing w:after="0" w:line="250"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 (iv) loss (gain) on sale and disposal of property and equipment, (v) restructuring charges, (vi) stock-based compensation expense, (vii) unrealized (gains) losses on foreign currency transactions, (viii) strategic initiative costs,</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integration related costs, (x) the Odessa fire and other such unusual events and (xi) other.</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00" w:right="16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(benefit) expense,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00" w:right="36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ectPr>
          <w:pgSz w:w="11900" w:h="16838" w:orient="portrait"/>
          <w:cols w:equalWidth="0" w:num="1">
            <w:col w:w="9860"/>
          </w:cols>
          <w:pgMar w:left="980" w:top="378" w:right="1059"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378" w:right="10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loss to Adjusted EBITDA for the periods presented and the calculation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4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3"/>
          </w:tcPr>
          <w:p>
            <w:pPr>
              <w:ind w:left="10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5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and disposal of property and equipment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(a)</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 expense</w:t>
            </w:r>
            <w:r>
              <w:rPr>
                <w:rFonts w:ascii="Times New Roman" w:cs="Times New Roman" w:eastAsia="Times New Roman" w:hAnsi="Times New Roman"/>
                <w:sz w:val="25"/>
                <w:szCs w:val="25"/>
                <w:color w:val="auto"/>
                <w:vertAlign w:val="superscript"/>
              </w:rPr>
              <w:t>(b)</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Unrealized losses on foreign currency transactions </w:t>
            </w:r>
            <w:r>
              <w:rPr>
                <w:rFonts w:ascii="Times New Roman" w:cs="Times New Roman" w:eastAsia="Times New Roman" w:hAnsi="Times New Roman"/>
                <w:sz w:val="25"/>
                <w:szCs w:val="25"/>
                <w:color w:val="auto"/>
                <w:vertAlign w:val="superscript"/>
              </w:rPr>
              <w:t>(c)</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Acquisition and integration related costs</w:t>
            </w:r>
            <w:r>
              <w:rPr>
                <w:rFonts w:ascii="Times New Roman" w:cs="Times New Roman" w:eastAsia="Times New Roman" w:hAnsi="Times New Roman"/>
                <w:sz w:val="25"/>
                <w:szCs w:val="25"/>
                <w:color w:val="auto"/>
                <w:vertAlign w:val="superscript"/>
              </w:rPr>
              <w:t>(e)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Odessa fire</w:t>
            </w:r>
            <w:r>
              <w:rPr>
                <w:rFonts w:ascii="Times New Roman" w:cs="Times New Roman" w:eastAsia="Times New Roman" w:hAnsi="Times New Roman"/>
                <w:sz w:val="25"/>
                <w:szCs w:val="25"/>
                <w:color w:val="auto"/>
                <w:vertAlign w:val="superscript"/>
              </w:rPr>
              <w:t>(f)</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(g)</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110,629</w:t>
            </w:r>
          </w:p>
        </w:tc>
        <w:tc>
          <w:tcPr>
            <w:tcW w:w="2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137,719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8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right="80" w:hanging="332"/>
        <w:spacing w:after="0" w:line="25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associated with our international subsidiaries.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as well as other costs related to potential transactions.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and insurance recoveries related to a production facility fire in Odessa, Texas.</w:t>
      </w:r>
    </w:p>
    <w:p>
      <w:pPr>
        <w:spacing w:after="0" w:line="9" w:lineRule="exact"/>
        <w:rPr>
          <w:rFonts w:ascii="Times New Roman" w:cs="Times New Roman" w:eastAsia="Times New Roman" w:hAnsi="Times New Roman"/>
          <w:sz w:val="18"/>
          <w:szCs w:val="18"/>
          <w:color w:val="auto"/>
        </w:rPr>
      </w:pPr>
    </w:p>
    <w:p>
      <w:pPr>
        <w:ind w:left="340" w:right="200" w:hanging="332"/>
        <w:spacing w:after="0" w:line="26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 As of March 30, 2024, we had $43.8 million of cash, $282.8 million of outstanding indebtedness and an additional $75.0 million of borrowing availability under our Revolving Credit Facility.</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investments in lean manufacturing and value engineering, including production capacity, diversifying our product offerings, storage, and delivery equipment. We are in the midst of a multi-year capital plan to invest in our facilities, technology, and systems.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entered into an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 (the “Refinancing”). On such date, proceeds under the Credit Agreement were used to repay and replace $294.0 million under, and terminate, the previous credit agreement and for general corporate purposes.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30, 2024, we were in compliance with all covenants under the Revolving Credit Facility and the Term Loan.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3.50%. A commitment fee accrues on any unused portion of the commitments under the Revolving Credit Facility. The commitment fee is due and payable quarterly in arrears, and initially was 0.375% per annum and thereafter accrues at a rate per annum ranging from</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0.25% to 0.50%, depending on the First Lien Net Leverage Ratio (as defined in the Credit Agreement, the “First Lien Net Leverage Ratio”). The Revolving Credit Facility is not subject to amortization.</w:t>
      </w:r>
    </w:p>
    <w:p>
      <w:pPr>
        <w:spacing w:after="0" w:line="18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also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March 30, 2024, we had no outstanding borrowings under the Revolving Credit Facility and $75.0 million was available for future borrowing.</w:t>
      </w:r>
    </w:p>
    <w:p>
      <w:pPr>
        <w:sectPr>
          <w:pgSz w:w="11900" w:h="16838" w:orient="portrait"/>
          <w:cols w:equalWidth="0" w:num="1">
            <w:col w:w="9920"/>
          </w:cols>
          <w:pgMar w:left="980" w:top="378"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30, 2024, we had $282.8 million of outstanding borrowings under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(the “Repurchase Program”), which authorizes us to repurchase up to $100 million of our shares of common stock by May 2025.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We did not repurchase any shares of our common stock during the fiscal quarter ended March 30, 2024. As of March 30, 2024, $77.0 million remained available for share repurchases pursuant to our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42"/>
        </w:trPr>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60" w:type="dxa"/>
            <w:vAlign w:val="bottom"/>
          </w:tcPr>
          <w:p>
            <w:pPr>
              <w:spacing w:after="0"/>
              <w:rPr>
                <w:sz w:val="12"/>
                <w:szCs w:val="12"/>
                <w:color w:val="auto"/>
              </w:rPr>
            </w:pPr>
          </w:p>
        </w:tc>
      </w:tr>
      <w:tr>
        <w:trPr>
          <w:trHeight w:val="196"/>
        </w:trPr>
        <w:tc>
          <w:tcPr>
            <w:tcW w:w="5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6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Borders>
              <w:bottom w:val="single" w:sz="8" w:color="CCEEFF"/>
            </w:tcBorders>
          </w:tcPr>
          <w:p>
            <w:pPr>
              <w:spacing w:after="0"/>
              <w:rPr>
                <w:sz w:val="18"/>
                <w:szCs w:val="18"/>
                <w:color w:val="auto"/>
              </w:rPr>
            </w:pPr>
          </w:p>
        </w:tc>
      </w:tr>
      <w:tr>
        <w:trPr>
          <w:trHeight w:val="210"/>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(58,952)</w:t>
            </w:r>
          </w:p>
        </w:tc>
        <w:tc>
          <w:tcPr>
            <w:tcW w:w="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During the fiscal quarter ended March 30, 2024, operating activities used $34.5 million of cash. Net loss, after adjustments for non-cash items, provided cash of $6.8 million. Cash used in operating activities was driven by changes in our operating assets and liabilities of $41.3 million. Net cash used by changes in our operating assets and liabilities for the fiscal quarter ended March 30, 2024 consisted primarily of a $44.9 million increase in trade receivables, a $6.0 million decrease in accrued expenses and other current liabilities, a $0.4 million increase in income tax receivable, a $0.2 million decrease in other long-term liabilities and a $0.1 million increase in other assets, partially offset by a $8.2 million increase in accounts payable, a $1.6 million decrease in inventories and a $0.5 million decrease in prepaid expenses and other current assets. The change in trade receivables was primarily driven by the timing of net sales. The changes in accrued expenses and other current liabilities and accounts payable were primarily driven by volume of purchases and timing of payments.</w:t>
      </w:r>
    </w:p>
    <w:p>
      <w:pPr>
        <w:spacing w:after="0" w:line="18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During the fiscal quarter ended April 1, 2023, operating activities used $14.5 million of cash. Net loss, after adjustments for non-cash items, provided cash of $11.4 million. Cash used in operating activities was driven by changes in our operating assets and liabilities of $25.8 million. Net cash used by changes in our operating assets and liabilities for the fiscal quarter ended April 1, 2023 consisted primarily of a $55.3 million increase in trade receivables, a $2.8 million increase in income tax receivable, a $1.2 million increase in other assets, a $0.6 million increase in prepaid expenses and other current assets, and a $3.2 million decrease in accrued expenses and other current liabilities, partially offset by a $15.6 million decrease in inventories, a $20.9 million increase in accounts</w:t>
      </w:r>
    </w:p>
    <w:p>
      <w:pPr>
        <w:sectPr>
          <w:pgSz w:w="11900" w:h="16838" w:orient="portrait"/>
          <w:cols w:equalWidth="0" w:num="1">
            <w:col w:w="9920"/>
          </w:cols>
          <w:pgMar w:left="980" w:top="378"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payable, and a $0.7 million increase in other long-term liabilities. The change in trade receivables was primarily driven by the timing of net sales, and the decrease in inventories was primarily driven by efforts to meet demand outlook while maintaining lead times and service levels. The changes in accrued expenses and other current liabilities and accounts payable were primarily driven by volume of purchases and timing of payments.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30, 2024, investing activities used $5.3 million of cash, consisting of purchases of property and equipment for $5.3 million. The purchase of property and equipment was primarily to expand capacity for production and diversify offerings, especially for fiberglass pools, the majority of which relates to finishing up carryover projects from the prior year.</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April 1, 2023, investing activities used $9.9 million of cash, consisting of purchases of property and equipment for $9.9 million. The purchase of property and equipment was primarily to expand capacity for production, especially for fiberglass pools.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30, 2024, financing activities used $19.0 million of cash, primarily consisting of repayments on long-term debt borrowings of $18.8 million and repayments of finance lease obligations of $0.2 million.</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April 1, 2023, financing activities provided $47.1 million of cash, primarily consisting of borrowings on revolving credit facility of $48.0 million, partially offset by repayments on long-term debt borrowings of $0.8 million, and repayments of finance lease obligations of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fiscal quarter ended March 30, 2024 from those described under the heading “Management’s Discussion and Analysis of Financial Condition and Results of Operations—Contractual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below and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evaluate goodwill for impairment at least annually, or more frequently when events or changes in circumstances indicate that the carrying value may not be recoverable. We have selected the first day of the fourth fiscal quarter to perform our annual goodwill impairment testing.</w:t>
      </w:r>
    </w:p>
    <w:p>
      <w:pPr>
        <w:spacing w:after="0" w:line="176"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spacing w:after="0" w:line="17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w:t>
      </w:r>
    </w:p>
    <w:p>
      <w:pPr>
        <w:sectPr>
          <w:pgSz w:w="11900" w:h="16838" w:orient="portrait"/>
          <w:cols w:equalWidth="0" w:num="1">
            <w:col w:w="9900"/>
          </w:cols>
          <w:pgMar w:left="980" w:top="378"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maximum goodwill impairment is the carrying value of the goodwill.</w:t>
      </w:r>
    </w:p>
    <w:p>
      <w:pPr>
        <w:spacing w:after="0" w:line="18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qualitative factors we assessed as part of our annual impairment testing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Based on the results of the quantitative assessment performed for our one reporting unit, we determined that goodwill was not impaired at October 1, 2023. However, if factors exist that could indicate an impairment in the future, including a sustained decrease in our stock price, we may be required to record impairment charges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condensed consolidated financial statements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120" w:firstLine="324"/>
        <w:spacing w:after="0" w:line="270" w:lineRule="auto"/>
        <w:rPr>
          <w:sz w:val="20"/>
          <w:szCs w:val="20"/>
          <w:color w:val="auto"/>
        </w:rPr>
      </w:pPr>
      <w:r>
        <w:rPr>
          <w:rFonts w:ascii="Times New Roman" w:cs="Times New Roman" w:eastAsia="Times New Roman" w:hAnsi="Times New Roman"/>
          <w:sz w:val="17"/>
          <w:szCs w:val="17"/>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Changes in these rates may have an impact on future cash flow and earnings. We manage these risks through normal operating and financing activities.</w:t>
      </w:r>
    </w:p>
    <w:p>
      <w:pPr>
        <w:spacing w:after="0" w:line="18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30, 2024, there have been no material changes to the information included under the heading “Management’s Discussion and Analysis of Financial Condition and Results of Operations—Quantitative and Qualitative Disclosures about Market Risk” in our Annual Report.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entered into an additional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March 30, 2024, would cause an increase or decrease to annual interest expense, net of approximately $1.3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March 30, 2024.</w:t>
      </w:r>
    </w:p>
    <w:p>
      <w:pPr>
        <w:sectPr>
          <w:pgSz w:w="11900" w:h="16838" w:orient="portrait"/>
          <w:cols w:equalWidth="0" w:num="1">
            <w:col w:w="9900"/>
          </w:cols>
          <w:pgMar w:left="980" w:top="378"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78" w:right="10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Based upon their evaluation, our Chief Executive Officer and Chief Financial Officer concluded that our disclosure controls and procedures were effective at a reasonable assurance level as of March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our operations and businesses,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fiscal quarter ended March 30, 2024. However, the results of any current or future litigation cannot be predicted with certainty and, regardless of the outcome, we may incur significant costs and experience a diversion of management resources as a result of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and other subsequent reports we file or furnish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 dispositions, joint ventures or investments we may undertake. Any of these known or emerging factors may materially adversely affect our business, financial condition, and operating results, as well as the trading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which authorizes us to repurchase up to $100.0 million of our shares of common stock by May 2025.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March 30, 2024, $77.0 million remained available for share repurchases pursuant to the repurchase program. We did not repurchase any shares of our common stock during the fiscal quarter ended March 30, 2024.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78"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30, 2024,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8700" w:type="dxa"/>
            <w:vAlign w:val="bottom"/>
            <w:tcBorders>
              <w:top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Amended and Restated Certificate of Incorporation of Latham Group, Inc. (incorporated by reference to Exhibit 3.1 to</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Latham Group, Inc.’s Quarterly Report on Form 10-Q filed with the SEC on June 3, 2021 (File No. 001-40358))</w:t>
              </w:r>
            </w:hyperlink>
          </w:p>
        </w:tc>
        <w:tc>
          <w:tcPr>
            <w:tcW w:w="420" w:type="dxa"/>
            <w:vAlign w:val="bottom"/>
            <w:tcBorders>
              <w:top w:val="single" w:sz="8" w:color="0000EE"/>
            </w:tcBorders>
            <w:gridSpan w:val="2"/>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8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Bylaws of Latham Group, Inc. (incorporated by reference to Exhibit 3.2 to Latham Group, Inc.’s</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Quarterly Report on Form 10-Q filed with the SEC on June 3, 2021 (File No. 001-40358))</w:t>
              </w:r>
            </w:hyperlink>
          </w:p>
        </w:tc>
        <w:tc>
          <w:tcPr>
            <w:tcW w:w="2200" w:type="dxa"/>
            <w:vAlign w:val="bottom"/>
            <w:gridSpan w:val="7"/>
          </w:tcPr>
          <w:p>
            <w:pPr>
              <w:spacing w:after="0"/>
              <w:rPr>
                <w:sz w:val="17"/>
                <w:szCs w:val="17"/>
                <w:color w:val="auto"/>
              </w:rPr>
            </w:pPr>
          </w:p>
        </w:tc>
      </w:tr>
      <w:tr>
        <w:trPr>
          <w:trHeight w:val="196"/>
        </w:trPr>
        <w:tc>
          <w:tcPr>
            <w:tcW w:w="12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4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 of Performance Stock Unit Award Agreement under the 2021 Omnibus Equity Incentive Plan (incorporated by</w:t>
              </w:r>
            </w:hyperlink>
          </w:p>
        </w:tc>
        <w:tc>
          <w:tcPr>
            <w:tcW w:w="3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reference to Exhibit 10.20 to Latham Group, Inc.’s Annual Report on Form 10-K filed with the SEC on March 13, 2024</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(File No. 001-40358))</w:t>
              </w:r>
            </w:hyperlink>
          </w:p>
        </w:tc>
      </w:tr>
      <w:tr>
        <w:trPr>
          <w:trHeight w:val="20"/>
        </w:trPr>
        <w:tc>
          <w:tcPr>
            <w:tcW w:w="1220" w:type="dxa"/>
            <w:vAlign w:val="bottom"/>
            <w:tcBorders>
              <w:right w:val="single" w:sz="8" w:color="0000EE"/>
            </w:tcBorders>
            <w:gridSpan w:val="3"/>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Latham Group, Inc. Amended and Restated Non-Employee Director Compensation Policy</w:t>
            </w: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SEC Rule 13a-14(a) and 15d-14(a)</w:t>
            </w:r>
          </w:p>
        </w:tc>
        <w:tc>
          <w:tcPr>
            <w:tcW w:w="1540" w:type="dxa"/>
            <w:vAlign w:val="bottom"/>
            <w:tcBorders>
              <w:top w:val="single" w:sz="8" w:color="0000EE"/>
            </w:tcBorders>
          </w:tcPr>
          <w:p>
            <w:pPr>
              <w:spacing w:after="0"/>
              <w:rPr>
                <w:sz w:val="17"/>
                <w:szCs w:val="17"/>
                <w:color w:val="auto"/>
              </w:rPr>
            </w:pPr>
          </w:p>
        </w:tc>
        <w:tc>
          <w:tcPr>
            <w:tcW w:w="2200" w:type="dxa"/>
            <w:vAlign w:val="bottom"/>
            <w:gridSpan w:val="7"/>
          </w:tcPr>
          <w:p>
            <w:pPr>
              <w:spacing w:after="0"/>
              <w:rPr>
                <w:sz w:val="17"/>
                <w:szCs w:val="17"/>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CFO, pursuant to SEC Rule 13a-14(a) and 15d-14(a)</w:t>
            </w:r>
          </w:p>
        </w:tc>
      </w:tr>
      <w:tr>
        <w:trPr>
          <w:trHeight w:val="20"/>
        </w:trPr>
        <w:tc>
          <w:tcPr>
            <w:tcW w:w="10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87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 Sarbanes-Oxley</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86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by the CFO, pursuant to 18 U.S.C. Section 1350, as adopted pursuant to Section 906 of the Sarbanes-Oxley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220" w:type="dxa"/>
            <w:vAlign w:val="bottom"/>
            <w:tcBorders>
              <w:right w:val="single" w:sz="8" w:color="0000EE"/>
            </w:tcBorders>
            <w:gridSpan w:val="3"/>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r>
      <w:tr>
        <w:trPr>
          <w:trHeight w:val="218"/>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15684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86" w:lineRule="exact"/>
        <w:rPr>
          <w:sz w:val="20"/>
          <w:szCs w:val="20"/>
          <w:color w:val="auto"/>
        </w:rPr>
      </w:pPr>
    </w:p>
    <w:p>
      <w:pPr>
        <w:ind w:left="1160" w:hanging="115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1160" w:hanging="115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160" w:hanging="115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78"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Oliver C. Gloe</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980" w:top="378" w:right="1319" w:bottom="1440" w:gutter="0" w:footer="0" w:header="0"/>
        </w:sectPr>
      </w:pPr>
    </w:p>
    <w:bookmarkStart w:id="37" w:name="page38"/>
    <w:bookmarkEnd w:id="37"/>
    <w:p>
      <w:pPr>
        <w:jc w:val="right"/>
        <w:ind w:right="219"/>
        <w:spacing w:after="0"/>
        <w:rPr>
          <w:sz w:val="20"/>
          <w:szCs w:val="20"/>
          <w:color w:val="auto"/>
        </w:rPr>
      </w:pPr>
      <w:r>
        <w:rPr>
          <w:rFonts w:ascii="Times New Roman" w:cs="Times New Roman" w:eastAsia="Times New Roman" w:hAnsi="Times New Roman"/>
          <w:sz w:val="20"/>
          <w:szCs w:val="20"/>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-131445</wp:posOffset>
            </wp:positionV>
            <wp:extent cx="1457325" cy="52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57325" cy="5226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left="200" w:right="219"/>
        <w:spacing w:after="0" w:line="284" w:lineRule="auto"/>
        <w:rPr>
          <w:sz w:val="20"/>
          <w:szCs w:val="20"/>
          <w:color w:val="auto"/>
        </w:rPr>
      </w:pPr>
      <w:r>
        <w:rPr>
          <w:rFonts w:ascii="Times New Roman" w:cs="Times New Roman" w:eastAsia="Times New Roman" w:hAnsi="Times New Roman"/>
          <w:sz w:val="20"/>
          <w:szCs w:val="20"/>
          <w:b w:val="1"/>
          <w:bCs w:val="1"/>
          <w:color w:val="auto"/>
        </w:rPr>
        <w:t>Amended and Restated Non-Employee Director Compensation Policy (Effective March 4, 2024)</w:t>
      </w:r>
    </w:p>
    <w:p>
      <w:pPr>
        <w:spacing w:after="0" w:line="349" w:lineRule="exact"/>
        <w:rPr>
          <w:sz w:val="20"/>
          <w:szCs w:val="20"/>
          <w:color w:val="auto"/>
        </w:rPr>
      </w:pPr>
    </w:p>
    <w:p>
      <w:pPr>
        <w:ind w:left="200" w:right="439"/>
        <w:spacing w:after="0" w:line="289" w:lineRule="auto"/>
        <w:rPr>
          <w:sz w:val="20"/>
          <w:szCs w:val="20"/>
          <w:color w:val="auto"/>
        </w:rPr>
      </w:pPr>
      <w:r>
        <w:rPr>
          <w:rFonts w:ascii="Times New Roman" w:cs="Times New Roman" w:eastAsia="Times New Roman" w:hAnsi="Times New Roman"/>
          <w:sz w:val="19"/>
          <w:szCs w:val="19"/>
          <w:color w:val="auto"/>
        </w:rPr>
        <w:t>Each “non-employee director” of Latham Group, Inc. (the “Company”) will be entitled to receive the following compensation (directors that are (i) employees of the Company or any of its subsidiaries or (ii) directors that are employed by or affiliated with our Sponsors (Pamplona Capital Management, LLC and Wynnchurch Capital, L.P.) shall not be entitled to the compensation listed below or any additional compensation in respect of their service as a member of the Company’s board of directors (the “Board”)):</w:t>
      </w:r>
    </w:p>
    <w:p>
      <w:pPr>
        <w:spacing w:after="0" w:line="89" w:lineRule="exact"/>
        <w:rPr>
          <w:sz w:val="20"/>
          <w:szCs w:val="20"/>
          <w:color w:val="auto"/>
        </w:rPr>
      </w:pPr>
    </w:p>
    <w:p>
      <w:pPr>
        <w:ind w:left="860" w:hanging="651"/>
        <w:spacing w:after="0"/>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Cash Retainer</w:t>
      </w:r>
      <w:r>
        <w:rPr>
          <w:rFonts w:ascii="Times New Roman" w:cs="Times New Roman" w:eastAsia="Times New Roman" w:hAnsi="Times New Roman"/>
          <w:sz w:val="20"/>
          <w:szCs w:val="20"/>
          <w:color w:val="auto"/>
        </w:rPr>
        <w:t>: $75,000; to be paid in quarterly installments.</w:t>
      </w:r>
    </w:p>
    <w:p>
      <w:pPr>
        <w:spacing w:after="0" w:line="161" w:lineRule="exact"/>
        <w:rPr>
          <w:rFonts w:ascii="Times New Roman" w:cs="Times New Roman" w:eastAsia="Times New Roman" w:hAnsi="Times New Roman"/>
          <w:sz w:val="20"/>
          <w:szCs w:val="20"/>
          <w:color w:val="auto"/>
        </w:rPr>
      </w:pPr>
    </w:p>
    <w:p>
      <w:pPr>
        <w:ind w:left="860" w:right="259" w:hanging="651"/>
        <w:spacing w:after="0" w:line="271"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Equity Grant</w:t>
      </w:r>
      <w:r>
        <w:rPr>
          <w:rFonts w:ascii="Times New Roman" w:cs="Times New Roman" w:eastAsia="Times New Roman" w:hAnsi="Times New Roman"/>
          <w:sz w:val="20"/>
          <w:szCs w:val="20"/>
          <w:color w:val="auto"/>
        </w:rPr>
        <w:t>: $95,000. The number of shares granted will be equal to $95,000 divided by the fair market value of the underlying stock on the date of grant. The Annual Equity Grant will be shares of restricted stock or restricted stock units and such shares will vest and the restrictions will lapse on the first anniversary of the date of grant, unless the director is removed for cause or resigns prior to such date.</w:t>
      </w:r>
    </w:p>
    <w:p>
      <w:pPr>
        <w:spacing w:after="0" w:line="105"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(COB):</w:t>
      </w:r>
    </w:p>
    <w:p>
      <w:pPr>
        <w:spacing w:after="0" w:line="17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COB Cash Retainer $50,000; to be paid in quarterly instalments.</w:t>
      </w:r>
    </w:p>
    <w:p>
      <w:pPr>
        <w:spacing w:after="0" w:line="161" w:lineRule="exact"/>
        <w:rPr>
          <w:rFonts w:ascii="Times New Roman" w:cs="Times New Roman" w:eastAsia="Times New Roman" w:hAnsi="Times New Roman"/>
          <w:sz w:val="20"/>
          <w:szCs w:val="20"/>
          <w:color w:val="auto"/>
        </w:rPr>
      </w:pPr>
    </w:p>
    <w:p>
      <w:pPr>
        <w:ind w:left="860" w:right="279" w:hanging="3"/>
        <w:spacing w:after="0" w:line="271" w:lineRule="auto"/>
        <w:tabs>
          <w:tab w:leader="none" w:pos="150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COB Equity Grant $30,000. The number of shares granted will be equal to $30,000 divided by the fair market value of the underlying stock on the date of grant. The Annual COB Equity Grant will be shares of restricted stock or restricted stock units and such shares will vest and the restrictions will lapse on the first anniversary of the date of grant, unless the COB is removed for cause or resigns prior to such date.</w:t>
      </w:r>
    </w:p>
    <w:p>
      <w:pPr>
        <w:spacing w:after="0" w:line="119" w:lineRule="exact"/>
        <w:rPr>
          <w:rFonts w:ascii="Times New Roman" w:cs="Times New Roman" w:eastAsia="Times New Roman" w:hAnsi="Times New Roman"/>
          <w:sz w:val="20"/>
          <w:szCs w:val="20"/>
          <w:color w:val="auto"/>
        </w:rPr>
      </w:pPr>
    </w:p>
    <w:p>
      <w:pPr>
        <w:ind w:left="860" w:right="619" w:hanging="651"/>
        <w:spacing w:after="0" w:line="283"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Retainer for Chairperson of the Audit Committee: $20,000; paid in quarterly installments.</w:t>
      </w:r>
    </w:p>
    <w:p>
      <w:pPr>
        <w:spacing w:after="0" w:line="105" w:lineRule="exact"/>
        <w:rPr>
          <w:rFonts w:ascii="Times New Roman" w:cs="Times New Roman" w:eastAsia="Times New Roman" w:hAnsi="Times New Roman"/>
          <w:sz w:val="20"/>
          <w:szCs w:val="20"/>
          <w:color w:val="auto"/>
        </w:rPr>
      </w:pPr>
    </w:p>
    <w:p>
      <w:pPr>
        <w:ind w:left="860" w:right="299" w:hanging="651"/>
        <w:spacing w:after="0" w:line="283"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Retainer for the Chairperson of the Compensation Committee: $15,000; paid in quarterly installments.</w:t>
      </w:r>
    </w:p>
    <w:p>
      <w:pPr>
        <w:spacing w:after="0" w:line="105"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Nominating and Corporate Governance Committee</w:t>
      </w:r>
      <w:r>
        <w:rPr>
          <w:rFonts w:ascii="Times New Roman" w:cs="Times New Roman" w:eastAsia="Times New Roman" w:hAnsi="Times New Roman"/>
          <w:sz w:val="19"/>
          <w:szCs w:val="19"/>
          <w:color w:val="auto"/>
        </w:rPr>
        <w:t>: Retainer for the Chairperson of the Nominating</w:t>
      </w:r>
    </w:p>
    <w:p>
      <w:pPr>
        <w:spacing w:after="0" w:line="39" w:lineRule="exact"/>
        <w:rPr>
          <w:rFonts w:ascii="Times New Roman" w:cs="Times New Roman" w:eastAsia="Times New Roman" w:hAnsi="Times New Roman"/>
          <w:sz w:val="19"/>
          <w:szCs w:val="19"/>
          <w:color w:val="auto"/>
        </w:rPr>
      </w:pPr>
    </w:p>
    <w:p>
      <w:pPr>
        <w:ind w:left="8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Corporate Governance Committee: $10,000; paid in quarterly installments.</w:t>
      </w:r>
    </w:p>
    <w:p>
      <w:pPr>
        <w:spacing w:after="0" w:line="159" w:lineRule="exact"/>
        <w:rPr>
          <w:rFonts w:ascii="Times New Roman" w:cs="Times New Roman" w:eastAsia="Times New Roman" w:hAnsi="Times New Roman"/>
          <w:sz w:val="19"/>
          <w:szCs w:val="19"/>
          <w:color w:val="auto"/>
        </w:rPr>
      </w:pPr>
    </w:p>
    <w:p>
      <w:pPr>
        <w:ind w:left="860" w:right="679" w:hanging="651"/>
        <w:spacing w:after="0" w:line="283"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payments which are made in installments are subject to the director’s continued service on the Board on the date such installment is required to be paid.</w:t>
      </w:r>
    </w:p>
    <w:p>
      <w:pPr>
        <w:spacing w:after="0" w:line="105" w:lineRule="exact"/>
        <w:rPr>
          <w:rFonts w:ascii="Times New Roman" w:cs="Times New Roman" w:eastAsia="Times New Roman" w:hAnsi="Times New Roman"/>
          <w:sz w:val="20"/>
          <w:szCs w:val="20"/>
          <w:color w:val="auto"/>
        </w:rPr>
      </w:pPr>
    </w:p>
    <w:p>
      <w:pPr>
        <w:ind w:left="860" w:right="299" w:hanging="651"/>
        <w:spacing w:after="0" w:line="291" w:lineRule="auto"/>
        <w:tabs>
          <w:tab w:leader="none" w:pos="8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Modification; Termination &amp; Administration</w:t>
      </w:r>
      <w:r>
        <w:rPr>
          <w:rFonts w:ascii="Times New Roman" w:cs="Times New Roman" w:eastAsia="Times New Roman" w:hAnsi="Times New Roman"/>
          <w:sz w:val="19"/>
          <w:szCs w:val="19"/>
          <w:color w:val="auto"/>
        </w:rPr>
        <w:t>. This policy is to be administered by the Company’s Compensation Committee or their designee, unless the Board determines to administer this policy itself (the Committee or Board, as applicable, in its role administering this policy, the “Administrator”). The Administrator is permitted to amend or modify the policy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558800</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620" w:val="left"/>
        </w:tabs>
        <w:rPr>
          <w:sz w:val="20"/>
          <w:szCs w:val="20"/>
          <w:color w:val="auto"/>
        </w:rPr>
      </w:pPr>
      <w:r>
        <w:rPr>
          <w:rFonts w:ascii="Times New Roman" w:cs="Times New Roman" w:eastAsia="Times New Roman" w:hAnsi="Times New Roman"/>
          <w:sz w:val="21"/>
          <w:szCs w:val="21"/>
          <w:color w:val="auto"/>
        </w:rPr>
        <w:t>May 8, 2024</w:t>
      </w:r>
      <w:r>
        <w:rPr>
          <w:sz w:val="20"/>
          <w:szCs w:val="20"/>
          <w:color w:val="auto"/>
        </w:rPr>
        <w:tab/>
      </w:r>
      <w:r>
        <w:rPr>
          <w:rFonts w:ascii="Times New Roman" w:cs="Times New Roman" w:eastAsia="Times New Roman" w:hAnsi="Times New Roman"/>
          <w:sz w:val="20"/>
          <w:szCs w:val="20"/>
          <w:i w:val="1"/>
          <w:iCs w:val="1"/>
          <w:color w:val="auto"/>
        </w:rPr>
        <w:t>/s/ Scott M.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Scott M. Rajeski</w:t>
      </w:r>
    </w:p>
    <w:p>
      <w:pPr>
        <w:spacing w:after="0" w:line="1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Chief Executive Officer and President</w:t>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Latham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9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1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21"/>
          <w:szCs w:val="21"/>
          <w:color w:val="auto"/>
        </w:rPr>
      </w:pPr>
    </w:p>
    <w:p>
      <w:pPr>
        <w:jc w:val="both"/>
        <w:ind w:left="660" w:hanging="328"/>
        <w:spacing w:after="0" w:line="251"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21"/>
          <w:szCs w:val="21"/>
          <w:color w:val="auto"/>
        </w:rPr>
      </w:pPr>
    </w:p>
    <w:p>
      <w:pPr>
        <w:jc w:val="both"/>
        <w:ind w:left="660" w:right="20" w:hanging="328"/>
        <w:spacing w:after="0" w:line="255" w:lineRule="auto"/>
        <w:tabs>
          <w:tab w:leader="none" w:pos="6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21"/>
          <w:szCs w:val="21"/>
          <w:color w:val="auto"/>
        </w:rPr>
      </w:pPr>
    </w:p>
    <w:p>
      <w:pPr>
        <w:ind w:left="1300" w:right="20" w:hanging="320"/>
        <w:spacing w:after="0" w:line="270" w:lineRule="auto"/>
        <w:tabs>
          <w:tab w:leader="none" w:pos="13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21"/>
          <w:szCs w:val="21"/>
          <w:color w:val="auto"/>
        </w:rPr>
        <w:t>May 8, 2024</w:t>
      </w:r>
      <w:r>
        <w:rPr>
          <w:sz w:val="20"/>
          <w:szCs w:val="20"/>
          <w:color w:val="auto"/>
        </w:rPr>
        <w:tab/>
      </w:r>
      <w:r>
        <w:rPr>
          <w:rFonts w:ascii="Times New Roman" w:cs="Times New Roman" w:eastAsia="Times New Roman" w:hAnsi="Times New Roman"/>
          <w:sz w:val="20"/>
          <w:szCs w:val="20"/>
          <w:i w:val="1"/>
          <w:iCs w:val="1"/>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Oliver C. Gloe</w:t>
      </w:r>
    </w:p>
    <w:p>
      <w:pPr>
        <w:spacing w:after="0" w:line="1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color w:val="auto"/>
        </w:rPr>
        <w:t>Latham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March 30, 2024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Scott M. Rajeski,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tabs>
          <w:tab w:leader="none" w:pos="6580" w:val="left"/>
        </w:tabs>
        <w:rPr>
          <w:sz w:val="20"/>
          <w:szCs w:val="20"/>
          <w:color w:val="auto"/>
        </w:rPr>
      </w:pPr>
      <w:r>
        <w:rPr>
          <w:rFonts w:ascii="Times New Roman" w:cs="Times New Roman" w:eastAsia="Times New Roman" w:hAnsi="Times New Roman"/>
          <w:sz w:val="22"/>
          <w:szCs w:val="22"/>
          <w:color w:val="auto"/>
        </w:rPr>
        <w:t>May 8, 2024</w:t>
      </w:r>
      <w:r>
        <w:rPr>
          <w:sz w:val="20"/>
          <w:szCs w:val="20"/>
          <w:color w:val="auto"/>
        </w:rPr>
        <w:tab/>
      </w:r>
      <w:r>
        <w:rPr>
          <w:rFonts w:ascii="Times New Roman" w:cs="Times New Roman" w:eastAsia="Times New Roman" w:hAnsi="Times New Roman"/>
          <w:sz w:val="21"/>
          <w:szCs w:val="21"/>
          <w:i w:val="1"/>
          <w:iCs w:val="1"/>
          <w:color w:val="auto"/>
        </w:rPr>
        <w:t>/s/ Scott M.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13335</wp:posOffset>
            </wp:positionV>
            <wp:extent cx="3145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Scott M. Rajeski</w:t>
      </w:r>
    </w:p>
    <w:p>
      <w:pPr>
        <w:jc w:val="center"/>
        <w:ind w:left="4940"/>
        <w:spacing w:after="0" w:line="230" w:lineRule="auto"/>
        <w:rPr>
          <w:sz w:val="20"/>
          <w:szCs w:val="20"/>
          <w:color w:val="auto"/>
        </w:rPr>
      </w:pPr>
      <w:r>
        <w:rPr>
          <w:rFonts w:ascii="Times New Roman" w:cs="Times New Roman" w:eastAsia="Times New Roman" w:hAnsi="Times New Roman"/>
          <w:sz w:val="22"/>
          <w:szCs w:val="22"/>
          <w:color w:val="auto"/>
        </w:rPr>
        <w:t>Chief Executive Officer and President</w:t>
      </w:r>
    </w:p>
    <w:p>
      <w:pPr>
        <w:spacing w:after="0" w:line="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March 30, 2024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660" w:right="2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tabs>
          <w:tab w:leader="none" w:pos="6660" w:val="left"/>
        </w:tabs>
        <w:rPr>
          <w:sz w:val="20"/>
          <w:szCs w:val="20"/>
          <w:color w:val="auto"/>
        </w:rPr>
      </w:pPr>
      <w:r>
        <w:rPr>
          <w:rFonts w:ascii="Times New Roman" w:cs="Times New Roman" w:eastAsia="Times New Roman" w:hAnsi="Times New Roman"/>
          <w:sz w:val="22"/>
          <w:szCs w:val="22"/>
          <w:color w:val="auto"/>
        </w:rPr>
        <w:t>May 8, 2024</w:t>
      </w:r>
      <w:r>
        <w:rPr>
          <w:sz w:val="20"/>
          <w:szCs w:val="20"/>
          <w:color w:val="auto"/>
        </w:rPr>
        <w:tab/>
      </w:r>
      <w:r>
        <w:rPr>
          <w:rFonts w:ascii="Times New Roman" w:cs="Times New Roman" w:eastAsia="Times New Roman" w:hAnsi="Times New Roman"/>
          <w:sz w:val="21"/>
          <w:szCs w:val="21"/>
          <w:i w:val="1"/>
          <w:iCs w:val="1"/>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13335</wp:posOffset>
            </wp:positionV>
            <wp:extent cx="3145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Oliver C. Gloe</w:t>
      </w:r>
    </w:p>
    <w:p>
      <w:pPr>
        <w:jc w:val="center"/>
        <w:ind w:left="4940"/>
        <w:spacing w:after="0" w:line="230"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Roman"/>
      <w:start w:val="3"/>
    </w:lvl>
  </w:abstractNum>
  <w:abstractNum w:abstractNumId="7">
    <w:nsid w:val="3352255A"/>
    <w:multiLevelType w:val="hybridMultilevel"/>
    <w:lvl w:ilvl="0">
      <w:lvlJc w:val="left"/>
      <w:lvlText w:val="(%1)"/>
      <w:numFmt w:val="lowerRoman"/>
      <w:start w:val="9"/>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jpe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0" Type="http://schemas.openxmlformats.org/officeDocument/2006/relationships/hyperlink" Target="https://www.sec.gov/Archives/edgar/data/1833197/000110465921076404/tm2117455d1_ex3-1.htm" TargetMode="External"/><Relationship Id="rId51" Type="http://schemas.openxmlformats.org/officeDocument/2006/relationships/hyperlink" Target="https://www.sec.gov/Archives/edgar/data/1833197/000110465921076404/tm2117455d1_ex3-2.htm" TargetMode="External"/><Relationship Id="rId52" Type="http://schemas.openxmlformats.org/officeDocument/2006/relationships/hyperlink" Target="https://www.sec.gov/Archives/edgar/data/1833197/000155837024003050/swim-20231231xex10d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2024-05-08T06:39:08Z</dcterms:created>
  <dcterms:modified xsi:type="dcterms:W3CDTF">2024-05-08T06:39:08Z</dcterms:modified>
</cp:coreProperties>
</file>