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8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3, 2026</w:t>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Latham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58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4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001-40358</w:t>
            </w:r>
          </w:p>
        </w:tc>
        <w:tc>
          <w:tcPr>
            <w:tcW w:w="3120" w:type="dxa"/>
            <w:vAlign w:val="bottom"/>
            <w:tcBorders>
              <w:bottom w:val="single" w:sz="8" w:color="auto"/>
            </w:tcBorders>
            <w:gridSpan w:val="3"/>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rPr>
              <w:t>83-2797583</w:t>
            </w:r>
          </w:p>
        </w:tc>
      </w:tr>
      <w:tr>
        <w:trPr>
          <w:trHeight w:val="189"/>
        </w:trPr>
        <w:tc>
          <w:tcPr>
            <w:tcW w:w="3580" w:type="dxa"/>
            <w:vAlign w:val="bottom"/>
          </w:tcPr>
          <w:p>
            <w:pPr>
              <w:spacing w:after="0"/>
              <w:rPr>
                <w:sz w:val="16"/>
                <w:szCs w:val="16"/>
                <w:color w:val="auto"/>
              </w:rPr>
            </w:pPr>
          </w:p>
        </w:tc>
        <w:tc>
          <w:tcPr>
            <w:tcW w:w="4540" w:type="dxa"/>
            <w:vAlign w:val="bottom"/>
          </w:tcPr>
          <w:p>
            <w:pPr>
              <w:ind w:left="1520"/>
              <w:spacing w:after="0" w:line="189" w:lineRule="exact"/>
              <w:rPr>
                <w:sz w:val="20"/>
                <w:szCs w:val="20"/>
                <w:color w:val="auto"/>
              </w:rPr>
            </w:pPr>
            <w:r>
              <w:rPr>
                <w:rFonts w:ascii="Times New Roman" w:cs="Times New Roman" w:eastAsia="Times New Roman" w:hAnsi="Times New Roman"/>
                <w:sz w:val="18"/>
                <w:szCs w:val="18"/>
                <w:color w:val="auto"/>
              </w:rPr>
              <w:t>(Commission</w:t>
            </w:r>
          </w:p>
        </w:tc>
        <w:tc>
          <w:tcPr>
            <w:tcW w:w="3120" w:type="dxa"/>
            <w:vAlign w:val="bottom"/>
            <w:gridSpan w:val="3"/>
          </w:tcPr>
          <w:p>
            <w:pPr>
              <w:jc w:val="center"/>
              <w:ind w:right="55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43"/>
        </w:trPr>
        <w:tc>
          <w:tcPr>
            <w:tcW w:w="35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45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File Number)</w:t>
            </w:r>
          </w:p>
        </w:tc>
        <w:tc>
          <w:tcPr>
            <w:tcW w:w="3120" w:type="dxa"/>
            <w:vAlign w:val="bottom"/>
            <w:gridSpan w:val="3"/>
          </w:tcPr>
          <w:p>
            <w:pPr>
              <w:jc w:val="center"/>
              <w:ind w:righ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61"/>
        </w:trPr>
        <w:tc>
          <w:tcPr>
            <w:tcW w:w="81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787 Watervliet Shaker Road, Latham, NY</w:t>
            </w:r>
          </w:p>
        </w:tc>
        <w:tc>
          <w:tcPr>
            <w:tcW w:w="3120" w:type="dxa"/>
            <w:vAlign w:val="bottom"/>
            <w:gridSpan w:val="3"/>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12110</w:t>
            </w:r>
          </w:p>
        </w:tc>
      </w:tr>
      <w:tr>
        <w:trPr>
          <w:trHeight w:val="257"/>
        </w:trPr>
        <w:tc>
          <w:tcPr>
            <w:tcW w:w="8120" w:type="dxa"/>
            <w:vAlign w:val="bottom"/>
            <w:tcBorders>
              <w:top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567"/>
        </w:trPr>
        <w:tc>
          <w:tcPr>
            <w:tcW w:w="3580" w:type="dxa"/>
            <w:vAlign w:val="bottom"/>
          </w:tcPr>
          <w:p>
            <w:pPr>
              <w:spacing w:after="0"/>
              <w:rPr>
                <w:sz w:val="24"/>
                <w:szCs w:val="24"/>
                <w:color w:val="auto"/>
              </w:rPr>
            </w:pPr>
          </w:p>
        </w:tc>
        <w:tc>
          <w:tcPr>
            <w:tcW w:w="45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(800) 833-3800</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70"/>
        </w:trPr>
        <w:tc>
          <w:tcPr>
            <w:tcW w:w="3580" w:type="dxa"/>
            <w:vAlign w:val="bottom"/>
          </w:tcPr>
          <w:p>
            <w:pPr>
              <w:spacing w:after="0"/>
              <w:rPr>
                <w:sz w:val="23"/>
                <w:szCs w:val="23"/>
                <w:color w:val="auto"/>
              </w:rPr>
            </w:pPr>
          </w:p>
        </w:tc>
        <w:tc>
          <w:tcPr>
            <w:tcW w:w="454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40" w:type="dxa"/>
            <w:vAlign w:val="bottom"/>
          </w:tcPr>
          <w:p>
            <w:pPr>
              <w:spacing w:after="0"/>
              <w:rPr>
                <w:sz w:val="23"/>
                <w:szCs w:val="23"/>
                <w:color w:val="auto"/>
              </w:rPr>
            </w:pPr>
          </w:p>
        </w:tc>
      </w:tr>
    </w:tbl>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9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466"/>
        </w:trPr>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80" w:type="dxa"/>
            <w:vAlign w:val="bottom"/>
          </w:tcPr>
          <w:p>
            <w:pPr>
              <w:spacing w:after="0"/>
              <w:rPr>
                <w:sz w:val="24"/>
                <w:szCs w:val="24"/>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00" w:type="dxa"/>
            <w:vAlign w:val="bottom"/>
          </w:tcPr>
          <w:p>
            <w:pPr>
              <w:spacing w:after="0"/>
              <w:rPr>
                <w:sz w:val="24"/>
                <w:szCs w:val="24"/>
                <w:color w:val="auto"/>
              </w:rPr>
            </w:pP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7"/>
        </w:trPr>
        <w:tc>
          <w:tcPr>
            <w:tcW w:w="4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SWIM</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6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8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November 3, 2026, Latham Group, Inc. (the “Company”) issued a press release announcing its financial results for the fiscal third quarter ended September 26, 2026. A copy of the Company’s press release is attached hereto as Exhibit 99 and is incorporated herein by reference.</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furnished with this Item 2.02 (including Exhibit 99 referenced under Item 9.01 below) of this Current Report on Form 8-K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4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0"/>
          <w:szCs w:val="20"/>
          <w:color w:val="auto"/>
        </w:rPr>
      </w:pPr>
    </w:p>
    <w:p>
      <w:pPr>
        <w:ind w:left="1020" w:right="380" w:hanging="657"/>
        <w:spacing w:after="0" w:line="250" w:lineRule="auto"/>
        <w:tabs>
          <w:tab w:leader="none" w:pos="1020" w:val="left"/>
        </w:tabs>
        <w:numPr>
          <w:ilvl w:val="0"/>
          <w:numId w:val="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Press release of Latham Group, Inc., dated November 3, 2026, reporting financial results for the fiscal third quarter ended September 26, 2026</w:t>
      </w:r>
    </w:p>
    <w:p>
      <w:pPr>
        <w:spacing w:after="0" w:line="95"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1221740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2026</w:t>
            </w:r>
          </w:p>
        </w:tc>
        <w:tc>
          <w:tcPr>
            <w:tcW w:w="756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LATHAM GROUP, INC.</w:t>
            </w:r>
          </w:p>
        </w:tc>
      </w:tr>
      <w:tr>
        <w:trPr>
          <w:trHeight w:val="439"/>
        </w:trPr>
        <w:tc>
          <w:tcPr>
            <w:tcW w:w="3660" w:type="dxa"/>
            <w:vAlign w:val="bottom"/>
          </w:tcPr>
          <w:p>
            <w:pPr>
              <w:spacing w:after="0"/>
              <w:rPr>
                <w:sz w:val="24"/>
                <w:szCs w:val="24"/>
                <w:color w:val="auto"/>
              </w:rPr>
            </w:pPr>
          </w:p>
        </w:tc>
        <w:tc>
          <w:tcPr>
            <w:tcW w:w="26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Sean Gadd</w:t>
            </w:r>
          </w:p>
        </w:tc>
      </w:tr>
      <w:tr>
        <w:trPr>
          <w:trHeight w:val="257"/>
        </w:trPr>
        <w:tc>
          <w:tcPr>
            <w:tcW w:w="3660" w:type="dxa"/>
            <w:vAlign w:val="bottom"/>
          </w:tcPr>
          <w:p>
            <w:pPr>
              <w:spacing w:after="0"/>
              <w:rPr>
                <w:sz w:val="22"/>
                <w:szCs w:val="22"/>
                <w:color w:val="auto"/>
              </w:rPr>
            </w:pPr>
          </w:p>
        </w:tc>
        <w:tc>
          <w:tcPr>
            <w:tcW w:w="26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Gadd</w:t>
            </w:r>
          </w:p>
        </w:tc>
      </w:tr>
      <w:tr>
        <w:trPr>
          <w:trHeight w:val="270"/>
        </w:trPr>
        <w:tc>
          <w:tcPr>
            <w:tcW w:w="3660" w:type="dxa"/>
            <w:vAlign w:val="bottom"/>
          </w:tcPr>
          <w:p>
            <w:pPr>
              <w:spacing w:after="0"/>
              <w:rPr>
                <w:sz w:val="23"/>
                <w:szCs w:val="23"/>
                <w:color w:val="auto"/>
              </w:rPr>
            </w:pPr>
          </w:p>
        </w:tc>
        <w:tc>
          <w:tcPr>
            <w:tcW w:w="26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bl>
    <w:p>
      <w:pPr>
        <w:sectPr>
          <w:pgSz w:w="11900" w:h="16838" w:orient="portrait"/>
          <w:cols w:equalWidth="0" w:num="1">
            <w:col w:w="11240"/>
          </w:cols>
          <w:pgMar w:left="320" w:top="927" w:right="339" w:bottom="1440" w:gutter="0" w:footer="0" w:header="0"/>
        </w:sectPr>
      </w:pPr>
    </w:p>
    <w:bookmarkStart w:id="3" w:name="page4"/>
    <w:bookmarkEnd w:id="3"/>
    <w:p>
      <w:pPr>
        <w:ind w:left="104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3157220</wp:posOffset>
            </wp:positionH>
            <wp:positionV relativeFrom="page">
              <wp:posOffset>88900</wp:posOffset>
            </wp:positionV>
            <wp:extent cx="1234440" cy="4629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Exhibit 99</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Latham Group, Inc. Reports Third Quarter 2026 Financial Results</w:t>
      </w:r>
    </w:p>
    <w:p>
      <w:pPr>
        <w:spacing w:after="0" w:line="237" w:lineRule="exact"/>
        <w:rPr>
          <w:sz w:val="20"/>
          <w:szCs w:val="20"/>
          <w:color w:val="auto"/>
        </w:rPr>
      </w:pPr>
    </w:p>
    <w:p>
      <w:pPr>
        <w:ind w:left="660" w:right="420" w:hanging="328"/>
        <w:spacing w:after="0" w:line="249" w:lineRule="auto"/>
        <w:tabs>
          <w:tab w:leader="none" w:pos="648" w:val="left"/>
        </w:tabs>
        <w:numPr>
          <w:ilvl w:val="0"/>
          <w:numId w:val="3"/>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Third Quarter Net Sales Increased 12.5%, Led by 8.4% Organic Growth; YTD Net Sales Were Up 11.4% with Organic Growth at 7.9%</w:t>
      </w:r>
    </w:p>
    <w:p>
      <w:pPr>
        <w:spacing w:after="0" w:line="177"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Third Quarter Sand State Sales Increased 21% Driven by Accelerated Growth in Florida and Texas</w:t>
      </w:r>
    </w:p>
    <w:p>
      <w:pPr>
        <w:spacing w:after="0" w:line="233" w:lineRule="exact"/>
        <w:rPr>
          <w:rFonts w:ascii="Arial" w:cs="Arial" w:eastAsia="Arial" w:hAnsi="Arial"/>
          <w:sz w:val="20"/>
          <w:szCs w:val="20"/>
          <w:color w:val="auto"/>
        </w:rPr>
      </w:pPr>
    </w:p>
    <w:p>
      <w:pPr>
        <w:ind w:left="660" w:right="780" w:hanging="328"/>
        <w:spacing w:after="0" w:line="262" w:lineRule="auto"/>
        <w:tabs>
          <w:tab w:leader="none" w:pos="635" w:val="left"/>
        </w:tabs>
        <w:numPr>
          <w:ilvl w:val="0"/>
          <w:numId w:val="3"/>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Third Quarter Gross Margin Expanded by 130 Basis Points to 36.7% Reflecting Volume Leverage, and the Benefits of Lean Manufacturing and Value Engineering Initiatives</w:t>
      </w:r>
    </w:p>
    <w:p>
      <w:pPr>
        <w:spacing w:after="0" w:line="163" w:lineRule="exact"/>
        <w:rPr>
          <w:rFonts w:ascii="Arial" w:cs="Arial" w:eastAsia="Arial" w:hAnsi="Arial"/>
          <w:sz w:val="20"/>
          <w:szCs w:val="20"/>
          <w:color w:val="auto"/>
        </w:rPr>
      </w:pPr>
    </w:p>
    <w:p>
      <w:pPr>
        <w:ind w:left="660" w:right="540" w:hanging="328"/>
        <w:spacing w:after="0" w:line="249" w:lineRule="auto"/>
        <w:tabs>
          <w:tab w:leader="none" w:pos="635" w:val="left"/>
        </w:tabs>
        <w:numPr>
          <w:ilvl w:val="0"/>
          <w:numId w:val="3"/>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Reaffirms and narrows Full-Year Guidance for Net Sales Growth to 11.7% and Adjusted EBITDA Growth to 15.2% at the Midpoints</w:t>
      </w:r>
    </w:p>
    <w:p>
      <w:pPr>
        <w:spacing w:after="0" w:line="177"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Expects to Continue to Outperform the U.S. In-Ground Pool Market in 2027</w:t>
      </w:r>
    </w:p>
    <w:p>
      <w:pPr>
        <w:spacing w:after="0" w:line="219"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2"/>
          <w:szCs w:val="22"/>
          <w:b w:val="1"/>
          <w:bCs w:val="1"/>
          <w:color w:val="auto"/>
        </w:rPr>
        <w:t>Board of Directors Approved $100 Million Share Buyback Program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Third Quarter 2026 Financial Highlights:</w:t>
      </w:r>
    </w:p>
    <w:p>
      <w:pPr>
        <w:spacing w:after="0" w:line="210"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color w:val="auto"/>
        </w:rPr>
        <w:t>Net sales of $182.2 million up 12.5%</w:t>
      </w:r>
    </w:p>
    <w:p>
      <w:pPr>
        <w:ind w:left="640" w:hanging="308"/>
        <w:spacing w:after="0" w:line="217" w:lineRule="auto"/>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color w:val="auto"/>
        </w:rPr>
        <w:t>Net income of $12.1 million up 48.5% / net income per diluted share of $0.10</w:t>
      </w:r>
    </w:p>
    <w:p>
      <w:pPr>
        <w:ind w:left="640" w:hanging="308"/>
        <w:spacing w:after="0" w:line="217" w:lineRule="auto"/>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2"/>
          <w:szCs w:val="22"/>
          <w:color w:val="auto"/>
        </w:rPr>
        <w:t>Adjusted EBITDA of $45.3 million up 18.1% and representing 24.8% of net sales</w:t>
      </w:r>
    </w:p>
    <w:p>
      <w:pPr>
        <w:spacing w:after="0"/>
        <w:tabs>
          <w:tab w:leader="none" w:pos="0" w:val="left"/>
        </w:tabs>
        <w:numPr>
          <w:ilvl w:val="0"/>
          <w:numId w:val="4"/>
        </w:numPr>
        <w:rPr>
          <w:rFonts w:ascii="Times New Roman" w:cs="Times New Roman" w:eastAsia="Times New Roman" w:hAnsi="Times New Roman"/>
          <w:sz w:val="22"/>
          <w:szCs w:val="22"/>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Nine Months 2026 Financial Highlights:</w:t>
      </w:r>
    </w:p>
    <w:p>
      <w:pPr>
        <w:spacing w:after="0" w:line="196"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2"/>
          <w:szCs w:val="22"/>
          <w:color w:val="auto"/>
        </w:rPr>
        <w:t>Net sales of $497.0 million up 11.4%</w:t>
      </w:r>
    </w:p>
    <w:p>
      <w:pPr>
        <w:ind w:left="640" w:hanging="308"/>
        <w:spacing w:after="0" w:line="217" w:lineRule="auto"/>
        <w:tabs>
          <w:tab w:leader="none" w:pos="6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2"/>
          <w:szCs w:val="22"/>
          <w:color w:val="auto"/>
        </w:rPr>
        <w:t>Net income of $16.3 million down 10.3% / net income per diluted share of $0.14</w:t>
      </w:r>
    </w:p>
    <w:p>
      <w:pPr>
        <w:ind w:left="640" w:hanging="308"/>
        <w:spacing w:after="0"/>
        <w:tabs>
          <w:tab w:leader="none" w:pos="64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2"/>
          <w:szCs w:val="22"/>
          <w:color w:val="auto"/>
        </w:rPr>
        <w:t>Adjusted EBITDA of $102.0 million up 14.2% and representing 20.5% of net sales</w:t>
      </w:r>
    </w:p>
    <w:p>
      <w:pPr>
        <w:spacing w:after="0" w:line="209"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LATHAM, N.Y. – November 3, 2026 – Latham Group, Inc. (Nasdaq: SWIM), the largest designer, manufacturer, and marketer of in-ground residential swimming pools in North America, Australia, and New Zealand, today announced financial results for the third quarter 2026 ended September 26, 2026.</w:t>
      </w:r>
    </w:p>
    <w:p>
      <w:pPr>
        <w:spacing w:after="0" w:line="192" w:lineRule="exact"/>
        <w:rPr>
          <w:sz w:val="20"/>
          <w:szCs w:val="20"/>
          <w:color w:val="auto"/>
        </w:rPr>
      </w:pPr>
    </w:p>
    <w:p>
      <w:pPr>
        <w:ind w:right="80"/>
        <w:spacing w:after="0" w:line="233" w:lineRule="auto"/>
        <w:rPr>
          <w:sz w:val="20"/>
          <w:szCs w:val="20"/>
          <w:color w:val="auto"/>
        </w:rPr>
      </w:pPr>
      <w:r>
        <w:rPr>
          <w:rFonts w:ascii="Times New Roman" w:cs="Times New Roman" w:eastAsia="Times New Roman" w:hAnsi="Times New Roman"/>
          <w:sz w:val="22"/>
          <w:szCs w:val="22"/>
          <w:color w:val="auto"/>
        </w:rPr>
        <w:t>Sean Gadd, President and CEO, said, “We delivered strong third quarter and year-to-date results, demonstrating continued success in material conversion, reinforcing our expectation of further market share expansion, and achieving considerable operating leverage while investing to accelerate growth. Third quarter net sales increased 12.5%, including 8.4% organic growth, led by in-ground pool sales, which grew by 22.6%, or 13.9% organically, year-over-year.</w:t>
      </w:r>
    </w:p>
    <w:p>
      <w:pPr>
        <w:spacing w:after="0" w:line="192" w:lineRule="exact"/>
        <w:rPr>
          <w:sz w:val="20"/>
          <w:szCs w:val="20"/>
          <w:color w:val="auto"/>
        </w:rPr>
      </w:pPr>
    </w:p>
    <w:p>
      <w:pPr>
        <w:ind w:right="80"/>
        <w:spacing w:after="0" w:line="227" w:lineRule="auto"/>
        <w:rPr>
          <w:sz w:val="20"/>
          <w:szCs w:val="20"/>
          <w:color w:val="auto"/>
        </w:rPr>
      </w:pPr>
      <w:r>
        <w:rPr>
          <w:rFonts w:ascii="Times New Roman" w:cs="Times New Roman" w:eastAsia="Times New Roman" w:hAnsi="Times New Roman"/>
          <w:sz w:val="22"/>
          <w:szCs w:val="22"/>
          <w:color w:val="auto"/>
        </w:rPr>
        <w:t>“The substantial increase in in-ground pool sales was driven almost entirely by fiberglass pools, which continue to gain traction for their ease of installation, cost efficiency, durability, lifetime warranty, and low maintenance costs. Autocovers also gained momentum for their safety benefits, cost savings to pool owners, and compatibility with all types of in-ground pools. Cover sales increased 8.7%, led by substantial organic growth of autocovers, which are benefiting from meaningful revenue synergies from the Coverstar dealer acquisitions we completed in the last two years.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17" w:right="339" w:bottom="1440" w:gutter="0" w:footer="0" w:header="0"/>
        </w:sectPr>
      </w:pPr>
    </w:p>
    <w:bookmarkStart w:id="4" w:name="page5"/>
    <w:bookmarkEnd w:id="4"/>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3157220</wp:posOffset>
            </wp:positionH>
            <wp:positionV relativeFrom="page">
              <wp:posOffset>88900</wp:posOffset>
            </wp:positionV>
            <wp:extent cx="1234440" cy="462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r>
    </w:p>
    <w:p>
      <w:pPr>
        <w:ind w:right="620"/>
        <w:spacing w:after="0" w:line="234" w:lineRule="auto"/>
        <w:rPr>
          <w:sz w:val="20"/>
          <w:szCs w:val="20"/>
          <w:color w:val="auto"/>
        </w:rPr>
      </w:pPr>
      <w:r>
        <w:rPr>
          <w:rFonts w:ascii="Times New Roman" w:cs="Times New Roman" w:eastAsia="Times New Roman" w:hAnsi="Times New Roman"/>
          <w:sz w:val="22"/>
          <w:szCs w:val="22"/>
          <w:color w:val="auto"/>
        </w:rPr>
        <w:t>“The Sand States remain a key growth market for Latham, which we believe has the potential to drive a step-change in companywide sales. Sales growth accelerated to 21.1% in the third quarter and increased 16.6% year-to-date, led by strong performance in Florida and Texas.</w:t>
      </w:r>
    </w:p>
    <w:p>
      <w:pPr>
        <w:spacing w:after="0" w:line="192"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22"/>
          <w:szCs w:val="22"/>
          <w:color w:val="auto"/>
        </w:rPr>
        <w:t>“We are making meaningful progress in executing the Sand States growth strategy we outlined earlier this year, delivering on key initiatives that position us to drive continued growth. Building on our refined market development framework, we hosted several successful community pool events in targeted Florida neighborhoods, with additional events planned in Florida and Texas before year-end. We also partnered with a national homebuilder to offer Latham fiberglass pools as an option for its new home construction in Florida. There is one Latham pool already installed in a model home, and we look forward to expanding this relationship further. In parallel, we continued to strengthen our sales capabilities, adding field sales resources in Florida, with further expansion planned in Texas and Arizona, while targeted marketing initiatives are gaining traction and contributing to growth.</w:t>
      </w:r>
    </w:p>
    <w:p>
      <w:pPr>
        <w:spacing w:after="0" w:line="195"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“Additionally, we completed the build-out of our commercial organization with the appointment of a new Chief Commercial Officer, Todd Antonelli, and the addition of key leadership across sales strategy and sales operations, establishing the foundation for a world-class commercial organization. These capabilities will enable our sales team to pursue growth opportunities more effectively and operate more efficiently.”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Third Quarter 2026 Results Compared to the Prior-Year Period</w:t>
      </w:r>
    </w:p>
    <w:p>
      <w:pPr>
        <w:spacing w:after="0" w:line="224" w:lineRule="exact"/>
        <w:rPr>
          <w:sz w:val="20"/>
          <w:szCs w:val="20"/>
          <w:color w:val="auto"/>
        </w:rPr>
      </w:pPr>
    </w:p>
    <w:p>
      <w:pPr>
        <w:ind w:right="320"/>
        <w:spacing w:after="0" w:line="234" w:lineRule="auto"/>
        <w:rPr>
          <w:sz w:val="20"/>
          <w:szCs w:val="20"/>
          <w:color w:val="auto"/>
        </w:rPr>
      </w:pPr>
      <w:r>
        <w:rPr>
          <w:rFonts w:ascii="Times New Roman" w:cs="Times New Roman" w:eastAsia="Times New Roman" w:hAnsi="Times New Roman"/>
          <w:sz w:val="22"/>
          <w:szCs w:val="22"/>
          <w:color w:val="auto"/>
        </w:rPr>
        <w:t>Net sales increased 12.5% to $182.2 million. The increase in net sales was primarily the result of the organic growth of our in-ground pool sales including sales growth in the Sand States, organic growth of autocovers, and the benefit of recent price increases, together with the acquisition of Freedom Pools earlier this year.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Quarter &amp; Nine Month 2026 Net Sales by Product Line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100" w:type="dxa"/>
            <w:vAlign w:val="bottom"/>
            <w:tcBorders>
              <w:bottom w:val="single" w:sz="8" w:color="CCEEFF"/>
            </w:tcBorders>
          </w:tcPr>
          <w:p>
            <w:pPr>
              <w:spacing w:after="0"/>
              <w:rPr>
                <w:sz w:val="16"/>
                <w:szCs w:val="16"/>
                <w:color w:val="auto"/>
              </w:rPr>
            </w:pPr>
          </w:p>
        </w:tc>
      </w:tr>
      <w:tr>
        <w:trPr>
          <w:trHeight w:val="201"/>
        </w:trPr>
        <w:tc>
          <w:tcPr>
            <w:tcW w:w="3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2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2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27, 2025</w:t>
            </w:r>
          </w:p>
        </w:tc>
      </w:tr>
      <w:tr>
        <w:trPr>
          <w:trHeight w:val="232"/>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In-ground Swimming Pools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92,442</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75,377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248,487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211,711</w:t>
            </w:r>
          </w:p>
        </w:tc>
        <w:tc>
          <w:tcPr>
            <w:tcW w:w="100" w:type="dxa"/>
            <w:vAlign w:val="bottom"/>
          </w:tcPr>
          <w:p>
            <w:pPr>
              <w:spacing w:after="0"/>
              <w:rPr>
                <w:sz w:val="20"/>
                <w:szCs w:val="20"/>
                <w:color w:val="auto"/>
              </w:rPr>
            </w:pPr>
          </w:p>
        </w:tc>
      </w:tr>
      <w:tr>
        <w:trPr>
          <w:trHeight w:val="247"/>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Covers</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123,749</w:t>
            </w:r>
          </w:p>
        </w:tc>
        <w:tc>
          <w:tcPr>
            <w:tcW w:w="100" w:type="dxa"/>
            <w:vAlign w:val="bottom"/>
            <w:shd w:val="clear" w:color="auto" w:fill="CCEEFF"/>
          </w:tcPr>
          <w:p>
            <w:pPr>
              <w:spacing w:after="0"/>
              <w:rPr>
                <w:sz w:val="21"/>
                <w:szCs w:val="21"/>
                <w:color w:val="auto"/>
              </w:rPr>
            </w:pPr>
          </w:p>
        </w:tc>
      </w:tr>
      <w:tr>
        <w:trPr>
          <w:trHeight w:val="23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Liners</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30,090</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114,352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110,502</w:t>
            </w:r>
          </w:p>
        </w:tc>
        <w:tc>
          <w:tcPr>
            <w:tcW w:w="100" w:type="dxa"/>
            <w:vAlign w:val="bottom"/>
            <w:tcBorders>
              <w:bottom w:val="single" w:sz="8" w:color="CCEEFF"/>
            </w:tcBorders>
          </w:tcPr>
          <w:p>
            <w:pPr>
              <w:spacing w:after="0"/>
              <w:rPr>
                <w:sz w:val="20"/>
                <w:szCs w:val="20"/>
                <w:color w:val="auto"/>
              </w:rPr>
            </w:pPr>
          </w:p>
        </w:tc>
      </w:tr>
      <w:tr>
        <w:trPr>
          <w:trHeight w:val="237"/>
        </w:trPr>
        <w:tc>
          <w:tcPr>
            <w:tcW w:w="35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182,175</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161,903</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496,964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445,962</w:t>
            </w:r>
          </w:p>
        </w:tc>
        <w:tc>
          <w:tcPr>
            <w:tcW w:w="100" w:type="dxa"/>
            <w:vAlign w:val="bottom"/>
            <w:shd w:val="clear" w:color="auto" w:fill="CCEEFF"/>
          </w:tcPr>
          <w:p>
            <w:pPr>
              <w:spacing w:after="0"/>
              <w:rPr>
                <w:sz w:val="20"/>
                <w:szCs w:val="20"/>
                <w:color w:val="auto"/>
              </w:rPr>
            </w:pPr>
          </w:p>
        </w:tc>
      </w:tr>
    </w:tbl>
    <w:p>
      <w:pPr>
        <w:spacing w:after="0" w:line="310" w:lineRule="exact"/>
        <w:rPr>
          <w:sz w:val="20"/>
          <w:szCs w:val="20"/>
          <w:color w:val="auto"/>
        </w:rPr>
      </w:pPr>
    </w:p>
    <w:p>
      <w:pPr>
        <w:ind w:right="360"/>
        <w:spacing w:after="0" w:line="234" w:lineRule="auto"/>
        <w:rPr>
          <w:sz w:val="20"/>
          <w:szCs w:val="20"/>
          <w:color w:val="auto"/>
        </w:rPr>
      </w:pPr>
      <w:r>
        <w:rPr>
          <w:rFonts w:ascii="Times New Roman" w:cs="Times New Roman" w:eastAsia="Times New Roman" w:hAnsi="Times New Roman"/>
          <w:sz w:val="22"/>
          <w:szCs w:val="22"/>
          <w:color w:val="auto"/>
        </w:rPr>
        <w:t>Gross profit increased by 16.6% to $66.8 million. Gross margin was 36.7%, 130 basis points above year-ago levels, reflecting greater plant absorption on higher volumes and the ongoing benefits from our lean manufacturing and value engineering initiatives.</w:t>
      </w:r>
    </w:p>
    <w:p>
      <w:pPr>
        <w:spacing w:after="0" w:line="192" w:lineRule="exact"/>
        <w:rPr>
          <w:sz w:val="20"/>
          <w:szCs w:val="20"/>
          <w:color w:val="auto"/>
        </w:rPr>
      </w:pPr>
    </w:p>
    <w:p>
      <w:pPr>
        <w:ind w:right="100"/>
        <w:spacing w:after="0" w:line="230" w:lineRule="auto"/>
        <w:rPr>
          <w:sz w:val="20"/>
          <w:szCs w:val="20"/>
          <w:color w:val="auto"/>
        </w:rPr>
      </w:pPr>
      <w:r>
        <w:rPr>
          <w:rFonts w:ascii="Times New Roman" w:cs="Times New Roman" w:eastAsia="Times New Roman" w:hAnsi="Times New Roman"/>
          <w:sz w:val="22"/>
          <w:szCs w:val="22"/>
          <w:color w:val="auto"/>
        </w:rPr>
        <w:t>Selling, general, and administrative expenses (“SG&amp;A”) increased by 25.5% to $35.9 million. The increase in SG&amp;A was due to investments in support of our growth strategies and market share expansion, sales and marketing initiatives to drive accelerated fiberglass conversion in the Sand States, acquisition and integration related costs, which included $3.2 million of performance-based compensatory earn-out expenses related to our Coverstar Central acquisition in 2024, as well as costs related to our digital transformation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jc w:val="both"/>
        <w:ind w:right="180"/>
        <w:spacing w:after="0" w:line="234"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3157220</wp:posOffset>
            </wp:positionH>
            <wp:positionV relativeFrom="page">
              <wp:posOffset>88900</wp:posOffset>
            </wp:positionV>
            <wp:extent cx="123444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Net income was $12.1 million, or $0.10 per diluted share, compared to $8.1 million, or $0.07 per diluted share, in the prior-year period. Third quarter net income included a one-time loss on extinguishment and modification of debt of $5.0 million related to our debt refinancing. Net income margin was 6.6% compared to 5.0% for the prior year’s third quarter.</w:t>
      </w:r>
    </w:p>
    <w:p>
      <w:pPr>
        <w:spacing w:after="0" w:line="192" w:lineRule="exact"/>
        <w:rPr>
          <w:sz w:val="20"/>
          <w:szCs w:val="20"/>
          <w:color w:val="auto"/>
        </w:rPr>
      </w:pPr>
    </w:p>
    <w:p>
      <w:pPr>
        <w:ind w:right="540"/>
        <w:spacing w:after="0" w:line="245" w:lineRule="auto"/>
        <w:rPr>
          <w:sz w:val="20"/>
          <w:szCs w:val="20"/>
          <w:color w:val="auto"/>
        </w:rPr>
      </w:pPr>
      <w:r>
        <w:rPr>
          <w:rFonts w:ascii="Times New Roman" w:cs="Times New Roman" w:eastAsia="Times New Roman" w:hAnsi="Times New Roman"/>
          <w:sz w:val="22"/>
          <w:szCs w:val="22"/>
          <w:color w:val="auto"/>
        </w:rPr>
        <w:t>Adjusted EBITDA increased by 18.1% to $45.3 million; Adjusted EBITDA margin expanded by 110 basis points to 24.8%, reflecting higher gross margin that more than offset higher sales and marketing expenses.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Nine Months 2026 Results Compared to the Prior-Year Period</w:t>
      </w:r>
    </w:p>
    <w:p>
      <w:pPr>
        <w:spacing w:after="0" w:line="224" w:lineRule="exact"/>
        <w:rPr>
          <w:sz w:val="20"/>
          <w:szCs w:val="20"/>
          <w:color w:val="auto"/>
        </w:rPr>
      </w:pPr>
    </w:p>
    <w:p>
      <w:pPr>
        <w:ind w:right="480"/>
        <w:spacing w:after="0" w:line="245" w:lineRule="auto"/>
        <w:rPr>
          <w:sz w:val="20"/>
          <w:szCs w:val="20"/>
          <w:color w:val="auto"/>
        </w:rPr>
      </w:pPr>
      <w:r>
        <w:rPr>
          <w:rFonts w:ascii="Times New Roman" w:cs="Times New Roman" w:eastAsia="Times New Roman" w:hAnsi="Times New Roman"/>
          <w:sz w:val="22"/>
          <w:szCs w:val="22"/>
          <w:color w:val="auto"/>
        </w:rPr>
        <w:t>Net sales increased 11.4% to $497.0 million, primarily due to organic growth of 7.9% with the acquisition of Freedom Pools contributing the remainder.</w:t>
      </w:r>
    </w:p>
    <w:p>
      <w:pPr>
        <w:spacing w:after="0" w:line="186" w:lineRule="exact"/>
        <w:rPr>
          <w:sz w:val="20"/>
          <w:szCs w:val="20"/>
          <w:color w:val="auto"/>
        </w:rPr>
      </w:pPr>
    </w:p>
    <w:p>
      <w:pPr>
        <w:ind w:right="580"/>
        <w:spacing w:after="0" w:line="245" w:lineRule="auto"/>
        <w:rPr>
          <w:sz w:val="20"/>
          <w:szCs w:val="20"/>
          <w:color w:val="auto"/>
        </w:rPr>
      </w:pPr>
      <w:r>
        <w:rPr>
          <w:rFonts w:ascii="Times New Roman" w:cs="Times New Roman" w:eastAsia="Times New Roman" w:hAnsi="Times New Roman"/>
          <w:sz w:val="22"/>
          <w:szCs w:val="22"/>
          <w:color w:val="auto"/>
        </w:rPr>
        <w:t>Gross profit increased by 12.9% to $174.1 million. Gross margin increased by 40 basis points, reflecting the benefits of our incremental lean manufacturing and value engineering initiatives.</w:t>
      </w:r>
    </w:p>
    <w:p>
      <w:pPr>
        <w:spacing w:after="0" w:line="186"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2"/>
          <w:szCs w:val="22"/>
          <w:color w:val="auto"/>
        </w:rPr>
        <w:t>Selling, general, and administrative expenses increased by 20.8% to $110.1 million. The increase in SG&amp;A was primarily due to higher sales and marketing spend to accelerate our fiberglass conversion strategy in the Sand States, acquisition and integration-related costs, which included $7.7 million of performance-based compensatory earn-out expenses related to the Coverstar Central acquisition in 2024, and costs related to our digital transformation program.</w:t>
      </w:r>
    </w:p>
    <w:p>
      <w:pPr>
        <w:spacing w:after="0" w:line="205"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2"/>
          <w:szCs w:val="22"/>
          <w:color w:val="auto"/>
        </w:rPr>
        <w:t>Net income was $16.3 million, or $0.14 per diluted share, compared to $18.1 million, or $0.15 per diluted share in the prior-year period. Net income included a one-time loss on extinguishment and modification of debt of $5.0 million related to our debt refinancing. Net income margin was 3.3% compared to 4.1% in the first nine months of 2025.</w:t>
      </w:r>
    </w:p>
    <w:p>
      <w:pPr>
        <w:spacing w:after="0" w:line="192" w:lineRule="exact"/>
        <w:rPr>
          <w:sz w:val="20"/>
          <w:szCs w:val="20"/>
          <w:color w:val="auto"/>
        </w:rPr>
      </w:pPr>
    </w:p>
    <w:p>
      <w:pPr>
        <w:ind w:right="180"/>
        <w:spacing w:after="0" w:line="448" w:lineRule="auto"/>
        <w:rPr>
          <w:sz w:val="20"/>
          <w:szCs w:val="20"/>
          <w:color w:val="auto"/>
        </w:rPr>
      </w:pPr>
      <w:r>
        <w:rPr>
          <w:rFonts w:ascii="Times New Roman" w:cs="Times New Roman" w:eastAsia="Times New Roman" w:hAnsi="Times New Roman"/>
          <w:sz w:val="22"/>
          <w:szCs w:val="22"/>
          <w:color w:val="auto"/>
        </w:rPr>
        <w:t xml:space="preserve">Adjusted EBITDA increased by 14.2% to $102.0 million, and Adjusted EBITDA margin increased by 50 basis points to 20.5%. </w:t>
      </w:r>
      <w:r>
        <w:rPr>
          <w:rFonts w:ascii="Times New Roman" w:cs="Times New Roman" w:eastAsia="Times New Roman" w:hAnsi="Times New Roman"/>
          <w:sz w:val="22"/>
          <w:szCs w:val="22"/>
          <w:b w:val="1"/>
          <w:bCs w:val="1"/>
          <w:color w:val="auto"/>
        </w:rPr>
        <w:t>Balance Sheet, Cash Flow, and Liquidity</w:t>
      </w:r>
    </w:p>
    <w:p>
      <w:pPr>
        <w:spacing w:after="0" w:line="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2"/>
          <w:szCs w:val="22"/>
          <w:color w:val="auto"/>
        </w:rPr>
        <w:t>Latham ended the third quarter of 2026 with cash of $94.8 million. Net cash provided by operating activities was $48.8 million in the third quarter and $54.6 million for the first nine months of 2026.</w:t>
      </w:r>
    </w:p>
    <w:p>
      <w:pPr>
        <w:spacing w:after="0" w:line="186" w:lineRule="exact"/>
        <w:rPr>
          <w:sz w:val="20"/>
          <w:szCs w:val="20"/>
          <w:color w:val="auto"/>
        </w:rPr>
      </w:pPr>
    </w:p>
    <w:p>
      <w:pPr>
        <w:ind w:right="480"/>
        <w:spacing w:after="0" w:line="245" w:lineRule="auto"/>
        <w:rPr>
          <w:sz w:val="20"/>
          <w:szCs w:val="20"/>
          <w:color w:val="auto"/>
        </w:rPr>
      </w:pPr>
      <w:r>
        <w:rPr>
          <w:rFonts w:ascii="Times New Roman" w:cs="Times New Roman" w:eastAsia="Times New Roman" w:hAnsi="Times New Roman"/>
          <w:sz w:val="22"/>
          <w:szCs w:val="22"/>
          <w:color w:val="auto"/>
        </w:rPr>
        <w:t>In the third quarter, we completed a debt refinancing, including a $75 million revolver and $300 million term loan, to extend maturities until 2033 and provide additional flexibility to advance our strategic priorities.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Total debt was $292.5 million at the end of the third quarter, and the net debt leverage ratio was 1.8.</w:t>
      </w:r>
    </w:p>
    <w:p>
      <w:pPr>
        <w:spacing w:after="0" w:line="220" w:lineRule="exact"/>
        <w:rPr>
          <w:sz w:val="20"/>
          <w:szCs w:val="20"/>
          <w:color w:val="auto"/>
        </w:rPr>
      </w:pPr>
    </w:p>
    <w:p>
      <w:pPr>
        <w:ind w:right="180"/>
        <w:spacing w:after="0" w:line="230" w:lineRule="auto"/>
        <w:rPr>
          <w:sz w:val="20"/>
          <w:szCs w:val="20"/>
          <w:color w:val="auto"/>
        </w:rPr>
      </w:pPr>
      <w:r>
        <w:rPr>
          <w:rFonts w:ascii="Times New Roman" w:cs="Times New Roman" w:eastAsia="Times New Roman" w:hAnsi="Times New Roman"/>
          <w:sz w:val="22"/>
          <w:szCs w:val="22"/>
          <w:color w:val="auto"/>
        </w:rPr>
        <w:t>Capital expenditures totaled $6.1 million in the third quarter of 2026, compared to $5.8 million in the third quarter last year. For the nine months ended September 26, 2026, capital expenditures were $34.2 million, inclusive of the purchase of four key previously leased production sites. In last year’s first nine months, capital expenditures were $16.2 million. In addition, the Company completed the acquisition of Freedom Pools for a purchase price of $17.0 million in February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08" w:right="339" w:bottom="1440" w:gutter="0" w:footer="0" w:header="0"/>
        </w:sectPr>
      </w:pPr>
    </w:p>
    <w:bookmarkStart w:id="6" w:name="page7"/>
    <w:bookmarkEnd w:id="6"/>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3157220</wp:posOffset>
            </wp:positionH>
            <wp:positionV relativeFrom="page">
              <wp:posOffset>88900</wp:posOffset>
            </wp:positionV>
            <wp:extent cx="1234440" cy="462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Summary and Outlook</w:t>
      </w:r>
    </w:p>
    <w:p>
      <w:pPr>
        <w:spacing w:after="0" w:line="224"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“Our year-to-date performance reinforces our expectation that fiberglass will gain at least one percentage point of market share in 2026, representing approximately 25% of total U.S. in-ground pool sales. Our ability to achieve substantial organic growth in a challenging market reflects our superior execution, successful strategies, market leadership, and product quality.</w:t>
      </w:r>
    </w:p>
    <w:p>
      <w:pPr>
        <w:spacing w:after="0" w:line="19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1"/>
          <w:szCs w:val="21"/>
          <w:color w:val="auto"/>
        </w:rPr>
        <w:t>“Looking ahead, we see considerable growth opportunities as we continue to take share in established markets, build momentum in Florida and Texas, extend our micro-market strategy to additional Sand State markets, and pursue accretive acquisitions. These initiatives position Latham to drive meaningful growth regardless of the pace of market recovery, and we are confident that Latham will continue to outperform the U.S. in-ground pool market in 2027 and beyond. Reflecting that confidence, our Board of Directors recently approved a three-year $100 million stock repurchase plan that underscores our positive long-term outlook.</w:t>
      </w:r>
    </w:p>
    <w:p>
      <w:pPr>
        <w:spacing w:after="0" w:line="192"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2"/>
          <w:szCs w:val="22"/>
          <w:color w:val="auto"/>
        </w:rPr>
        <w:t>“With much of the pool building season now behind us, and based on our current visibility through year-end, we are narrowing our net sales guidance range to $605-615 million and our adjusted EBITDA guidance range to $112-118 million. This represents 11.7% net sales growth and 15.2% adjusted EBITDA growth at the midpoints,” Mr. Gadd concluded.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FY 2026 Guidance Ranges</w:t>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404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Updated</w:t>
            </w:r>
          </w:p>
        </w:tc>
        <w:tc>
          <w:tcPr>
            <w:tcW w:w="33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Prior</w:t>
            </w:r>
          </w:p>
        </w:tc>
      </w:tr>
      <w:tr>
        <w:trPr>
          <w:trHeight w:val="27"/>
        </w:trPr>
        <w:tc>
          <w:tcPr>
            <w:tcW w:w="366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r>
      <w:tr>
        <w:trPr>
          <w:trHeight w:val="243"/>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04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$605-615 million</w:t>
            </w:r>
          </w:p>
        </w:tc>
        <w:tc>
          <w:tcPr>
            <w:tcW w:w="33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$600-620 million</w:t>
            </w:r>
          </w:p>
        </w:tc>
      </w:tr>
      <w:tr>
        <w:trPr>
          <w:trHeight w:val="257"/>
        </w:trPr>
        <w:tc>
          <w:tcPr>
            <w:tcW w:w="3660" w:type="dxa"/>
            <w:vAlign w:val="bottom"/>
            <w:tcBorders>
              <w:bottom w:val="single" w:sz="8" w:color="auto"/>
            </w:tcBorders>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1</w:t>
            </w:r>
          </w:p>
        </w:tc>
        <w:tc>
          <w:tcPr>
            <w:tcW w:w="404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$112-118 million</w:t>
            </w:r>
          </w:p>
        </w:tc>
        <w:tc>
          <w:tcPr>
            <w:tcW w:w="33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$110-120 million</w:t>
            </w:r>
          </w:p>
        </w:tc>
      </w:tr>
      <w:tr>
        <w:trPr>
          <w:trHeight w:val="243"/>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404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$40-45 million</w:t>
            </w:r>
          </w:p>
        </w:tc>
        <w:tc>
          <w:tcPr>
            <w:tcW w:w="33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$40-45 million</w:t>
            </w:r>
          </w:p>
        </w:tc>
      </w:tr>
    </w:tbl>
    <w:p>
      <w:pPr>
        <w:spacing w:after="0" w:line="319" w:lineRule="exact"/>
        <w:rPr>
          <w:sz w:val="20"/>
          <w:szCs w:val="20"/>
          <w:color w:val="auto"/>
        </w:rPr>
      </w:pPr>
    </w:p>
    <w:p>
      <w:pPr>
        <w:ind w:left="660" w:right="320" w:hanging="328"/>
        <w:spacing w:after="0" w:line="239" w:lineRule="auto"/>
        <w:tabs>
          <w:tab w:leader="none" w:pos="64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 reconciliation of Latham’s projected Adjusted EBITDA to net income (loss) for 2026 is not available due to uncertainty related to our future income tax expense (benefit).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 Details</w:t>
      </w:r>
    </w:p>
    <w:p>
      <w:pPr>
        <w:spacing w:after="0" w:line="22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2"/>
          <w:szCs w:val="22"/>
          <w:color w:val="auto"/>
        </w:rPr>
        <w:t>Latham will hold a conference call to discuss its third quarter 2026 financial results today, November 3, 2026, at 4:30 PM Eastern Time.</w:t>
      </w:r>
    </w:p>
    <w:p>
      <w:pPr>
        <w:spacing w:after="0" w:line="186"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1"/>
          <w:szCs w:val="21"/>
          <w:color w:val="auto"/>
        </w:rPr>
        <w:t xml:space="preserve">Participants are encouraged to pre-register for the conference call by visiting </w:t>
      </w:r>
      <w:r>
        <w:rPr>
          <w:rFonts w:ascii="Times New Roman" w:cs="Times New Roman" w:eastAsia="Times New Roman" w:hAnsi="Times New Roman"/>
          <w:sz w:val="21"/>
          <w:szCs w:val="21"/>
          <w:color w:val="467886"/>
        </w:rPr>
        <w:t>https://dpregister.com/sreg/10212095/104ecd84455</w:t>
      </w:r>
      <w:r>
        <w:rPr>
          <w:rFonts w:ascii="Times New Roman" w:cs="Times New Roman" w:eastAsia="Times New Roman" w:hAnsi="Times New Roman"/>
          <w:sz w:val="21"/>
          <w:szCs w:val="21"/>
          <w:color w:val="auto"/>
        </w:rPr>
        <w:t>. Callers who pre-register will be sent a confirmation e-mail including a conference passcode and unique PIN to gain immediate access to the call. Participants may pre-register at any time, including up to and after the call start time. To ensure you are connected for the full call, please register at least 10 minutes before the start of the call.</w:t>
      </w:r>
    </w:p>
    <w:p>
      <w:pPr>
        <w:spacing w:after="0" w:line="2" w:lineRule="exact"/>
        <w:rPr>
          <w:sz w:val="20"/>
          <w:szCs w:val="20"/>
          <w:color w:val="auto"/>
        </w:rPr>
      </w:pPr>
    </w:p>
    <w:p>
      <w:pPr>
        <w:ind w:right="1540"/>
        <w:spacing w:after="0" w:line="231" w:lineRule="auto"/>
        <w:rPr>
          <w:sz w:val="20"/>
          <w:szCs w:val="20"/>
          <w:color w:val="auto"/>
        </w:rPr>
      </w:pPr>
      <w:r>
        <w:rPr>
          <w:rFonts w:ascii="Times New Roman" w:cs="Times New Roman" w:eastAsia="Times New Roman" w:hAnsi="Times New Roman"/>
          <w:sz w:val="22"/>
          <w:szCs w:val="22"/>
          <w:color w:val="auto"/>
        </w:rPr>
        <w:t xml:space="preserve">A live audio webcast of the conference call, along with related presentation materials, will be available online at </w:t>
      </w:r>
      <w:r>
        <w:rPr>
          <w:rFonts w:ascii="Times New Roman" w:cs="Times New Roman" w:eastAsia="Times New Roman" w:hAnsi="Times New Roman"/>
          <w:sz w:val="22"/>
          <w:szCs w:val="22"/>
          <w:color w:val="467886"/>
        </w:rPr>
        <w:t xml:space="preserve">https://ir.lathampool.com </w:t>
      </w:r>
      <w:r>
        <w:rPr>
          <w:rFonts w:ascii="Times New Roman" w:cs="Times New Roman" w:eastAsia="Times New Roman" w:hAnsi="Times New Roman"/>
          <w:sz w:val="22"/>
          <w:szCs w:val="22"/>
          <w:color w:val="000000"/>
        </w:rPr>
        <w:t>under “Events &amp; Presentations”.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Those without internet access or unable to pre-register may dial in by calling: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PARTICIPANT DIAL-IN (TOLL-FREE): </w:t>
      </w:r>
      <w:r>
        <w:rPr>
          <w:rFonts w:ascii="Times New Roman" w:cs="Times New Roman" w:eastAsia="Times New Roman" w:hAnsi="Times New Roman"/>
          <w:sz w:val="22"/>
          <w:szCs w:val="22"/>
          <w:color w:val="auto"/>
        </w:rPr>
        <w:t>1-833-953-2435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PARTICIPANT INTERNATIONAL DIAL-IN: </w:t>
      </w:r>
      <w:r>
        <w:rPr>
          <w:rFonts w:ascii="Times New Roman" w:cs="Times New Roman" w:eastAsia="Times New Roman" w:hAnsi="Times New Roman"/>
          <w:sz w:val="22"/>
          <w:szCs w:val="22"/>
          <w:color w:val="auto"/>
        </w:rPr>
        <w:t>1-412-317-5764</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3157220</wp:posOffset>
            </wp:positionH>
            <wp:positionV relativeFrom="page">
              <wp:posOffset>88900</wp:posOffset>
            </wp:positionV>
            <wp:extent cx="1234440" cy="46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r>
    </w:p>
    <w:p>
      <w:pPr>
        <w:jc w:val="both"/>
        <w:ind w:right="180"/>
        <w:spacing w:after="0" w:line="234" w:lineRule="auto"/>
        <w:rPr>
          <w:sz w:val="20"/>
          <w:szCs w:val="20"/>
          <w:color w:val="auto"/>
        </w:rPr>
      </w:pPr>
      <w:r>
        <w:rPr>
          <w:rFonts w:ascii="Times New Roman" w:cs="Times New Roman" w:eastAsia="Times New Roman" w:hAnsi="Times New Roman"/>
          <w:sz w:val="22"/>
          <w:szCs w:val="22"/>
          <w:color w:val="auto"/>
        </w:rPr>
        <w:t>An archived webcast will be available approximately two hours after the conclusion of the call, through November 3, 2027, on the Company’s investor relations website under “Events &amp; Presentations.” A transcript of the event will also be available on the Company’s investor relations website approximately three business days after the call.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Latham Group, Inc.</w:t>
      </w:r>
    </w:p>
    <w:p>
      <w:pPr>
        <w:spacing w:after="0" w:line="224" w:lineRule="exact"/>
        <w:rPr>
          <w:sz w:val="20"/>
          <w:szCs w:val="20"/>
          <w:color w:val="auto"/>
        </w:rPr>
      </w:pPr>
    </w:p>
    <w:p>
      <w:pPr>
        <w:jc w:val="both"/>
        <w:ind w:right="260"/>
        <w:spacing w:after="0" w:line="238" w:lineRule="auto"/>
        <w:rPr>
          <w:sz w:val="20"/>
          <w:szCs w:val="20"/>
          <w:color w:val="auto"/>
        </w:rPr>
      </w:pPr>
      <w:r>
        <w:rPr>
          <w:rFonts w:ascii="Times New Roman" w:cs="Times New Roman" w:eastAsia="Times New Roman" w:hAnsi="Times New Roman"/>
          <w:sz w:val="22"/>
          <w:szCs w:val="22"/>
          <w:color w:val="auto"/>
        </w:rPr>
        <w:t>Latham Group, Inc., headquartered in Latham, NY, is the largest designer, manufacturer, and marketer of in-ground residential swimming pools in North America, Australia, and New Zealand. Latham has a coast-to-coast operations platform consisting of approximately 1,900 employees across 40 locations.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224" w:lineRule="exact"/>
        <w:rPr>
          <w:sz w:val="20"/>
          <w:szCs w:val="20"/>
          <w:color w:val="auto"/>
        </w:rPr>
      </w:pPr>
    </w:p>
    <w:p>
      <w:pPr>
        <w:ind w:right="120"/>
        <w:spacing w:after="0" w:line="224" w:lineRule="auto"/>
        <w:rPr>
          <w:sz w:val="20"/>
          <w:szCs w:val="20"/>
          <w:color w:val="auto"/>
        </w:rPr>
      </w:pPr>
      <w:r>
        <w:rPr>
          <w:rFonts w:ascii="Times New Roman" w:cs="Times New Roman" w:eastAsia="Times New Roman" w:hAnsi="Times New Roman"/>
          <w:sz w:val="22"/>
          <w:szCs w:val="22"/>
          <w:color w:val="auto"/>
        </w:rPr>
        <w:t>We track our non-GAAP financial measures to monitor and manage our underlying financial performance. This earnings release includes the presentation of Adjusted EBITDA, Adjusted EBITDA margin, net debt and net debt leverage ratio which are non-GAAP financial measures that exclude the impact of certain costs, losses, and gains that are required to be included under U.S. GAAP. Although we believe these measures are useful to investors and analysts for the same reasons it is useful to management, as discussed below, these measures are neither a substitute for, nor superior to, U.S. GAAP financial measures or disclosures. Other companies may calculate similarly-titled non-GAAP measures differently, limiting their usefulness as comparative measures. In addition, our presentation of non-GAAP financial measures should not be construed to imply that our future results will be unaffected by any such adjustments. We have reconciled our historic non-GAAP financial measures to the applicable most comparable U.S. GAAP measures in this earnings release.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Adjusted EBITDA and Adjusted EBITDA Margin</w:t>
      </w:r>
    </w:p>
    <w:p>
      <w:pPr>
        <w:spacing w:after="0" w:line="224"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1"/>
          <w:szCs w:val="21"/>
          <w:color w:val="auto"/>
        </w:rPr>
        <w:t>Adjusted EBITDA and Adjusted EBITDA margin are key metrics used by management and our board of directors to assess our financial performance. Adjusted EBITDA and Adjusted EBITDA margin are also frequently used by analysts, investors and other interested parties to evaluate companies in our industry, when considered alongside other GAAP measures. We use Adjusted EBITDA and Adjusted EBITDA margin to supplement GAAP measures of performance to evaluate the effectiveness of our business strategies, to make budgeting decisions, to utilize as a significant performance metric in our incentive compensation plans,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w:t>
      </w:r>
    </w:p>
    <w:p>
      <w:pPr>
        <w:spacing w:after="0" w:line="2" w:lineRule="exact"/>
        <w:rPr>
          <w:sz w:val="20"/>
          <w:szCs w:val="20"/>
          <w:color w:val="auto"/>
        </w:rPr>
      </w:pPr>
    </w:p>
    <w:p>
      <w:pPr>
        <w:ind w:right="60" w:firstLine="8"/>
        <w:spacing w:after="0" w:line="224"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depreciation and amortization, (ii) interest expense, net, (iii) income tax (benefit) expense, (iv) (gain) loss on sale and disposal of property and equipment, (v) restructuring charges, (vi) stock-based compensation expense, (vii) unrealized (gains) losses on foreign currency transactions, (viii) strategic initiative costs, (ix) acquisition and integration related costs, (x) Loss on extinguishment and modification of debt and (xi) other.</w:t>
      </w:r>
    </w:p>
    <w:p>
      <w:pPr>
        <w:spacing w:after="0" w:line="19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1"/>
          <w:szCs w:val="21"/>
          <w:color w:val="auto"/>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ind w:right="40"/>
        <w:spacing w:after="0" w:line="225"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3157220</wp:posOffset>
            </wp:positionH>
            <wp:positionV relativeFrom="page">
              <wp:posOffset>88900</wp:posOffset>
            </wp:positionV>
            <wp:extent cx="1234440"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earnings release. There can be no assurance that we will not modify the presentation of Adjusted EBITDA and Adjusted EBITDA margin in the future, and any such modification may be material.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95" w:lineRule="exact"/>
        <w:rPr>
          <w:sz w:val="20"/>
          <w:szCs w:val="20"/>
          <w:color w:val="auto"/>
        </w:rPr>
      </w:pPr>
    </w:p>
    <w:p>
      <w:pPr>
        <w:ind w:right="160"/>
        <w:spacing w:after="0" w:line="234" w:lineRule="auto"/>
        <w:rPr>
          <w:sz w:val="20"/>
          <w:szCs w:val="20"/>
          <w:color w:val="auto"/>
        </w:rPr>
      </w:pPr>
      <w:r>
        <w:rPr>
          <w:rFonts w:ascii="Times New Roman" w:cs="Times New Roman" w:eastAsia="Times New Roman" w:hAnsi="Times New Roman"/>
          <w:sz w:val="22"/>
          <w:szCs w:val="22"/>
          <w:color w:val="auto"/>
        </w:rPr>
        <w:t>Adjusted EBITDA and Adjusted EBITDA margin have their limitations as analytical tools, and you should not consider them in isolation or as a substitute for analysis of our results as reported under GAAP. Some of these limitations are that Adjusted EBITDA and Adjusted EBITDA margin:</w:t>
      </w:r>
    </w:p>
    <w:p>
      <w:pPr>
        <w:spacing w:after="0" w:line="178" w:lineRule="exact"/>
        <w:rPr>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2"/>
          <w:szCs w:val="22"/>
          <w:color w:val="auto"/>
        </w:rPr>
        <w:t>do not reflect every expenditure, future requirements for capital expenditures or contractual commitments;</w:t>
      </w:r>
    </w:p>
    <w:p>
      <w:pPr>
        <w:spacing w:after="0" w:line="44"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2"/>
          <w:szCs w:val="22"/>
          <w:color w:val="auto"/>
        </w:rPr>
        <w:t>do not reflect changes in our working capital needs;</w:t>
      </w:r>
    </w:p>
    <w:p>
      <w:pPr>
        <w:spacing w:after="0" w:line="57" w:lineRule="exact"/>
        <w:rPr>
          <w:rFonts w:ascii="Arial" w:cs="Arial" w:eastAsia="Arial" w:hAnsi="Arial"/>
          <w:sz w:val="20"/>
          <w:szCs w:val="20"/>
          <w:color w:val="auto"/>
        </w:rPr>
      </w:pPr>
    </w:p>
    <w:p>
      <w:pPr>
        <w:ind w:left="660" w:right="860" w:hanging="328"/>
        <w:spacing w:after="0" w:line="245" w:lineRule="auto"/>
        <w:tabs>
          <w:tab w:leader="none" w:pos="635" w:val="left"/>
        </w:tabs>
        <w:numPr>
          <w:ilvl w:val="0"/>
          <w:numId w:val="8"/>
        </w:numPr>
        <w:rPr>
          <w:rFonts w:ascii="Arial" w:cs="Arial" w:eastAsia="Arial" w:hAnsi="Arial"/>
          <w:sz w:val="20"/>
          <w:szCs w:val="20"/>
          <w:color w:val="auto"/>
        </w:rPr>
      </w:pPr>
      <w:r>
        <w:rPr>
          <w:rFonts w:ascii="Times New Roman" w:cs="Times New Roman" w:eastAsia="Times New Roman" w:hAnsi="Times New Roman"/>
          <w:sz w:val="22"/>
          <w:szCs w:val="22"/>
          <w:color w:val="auto"/>
        </w:rPr>
        <w:t>do not reflect the interest expense, net, or the amounts necessary to service interest or principal payments, on our outstanding debt;</w:t>
      </w:r>
    </w:p>
    <w:p>
      <w:pPr>
        <w:spacing w:after="0" w:line="10" w:lineRule="exact"/>
        <w:rPr>
          <w:rFonts w:ascii="Arial" w:cs="Arial" w:eastAsia="Arial" w:hAnsi="Arial"/>
          <w:sz w:val="20"/>
          <w:szCs w:val="20"/>
          <w:color w:val="auto"/>
        </w:rPr>
      </w:pPr>
    </w:p>
    <w:p>
      <w:pPr>
        <w:ind w:left="660" w:right="300" w:hanging="328"/>
        <w:spacing w:after="0" w:line="245" w:lineRule="auto"/>
        <w:tabs>
          <w:tab w:leader="none" w:pos="635" w:val="left"/>
        </w:tabs>
        <w:numPr>
          <w:ilvl w:val="0"/>
          <w:numId w:val="8"/>
        </w:numPr>
        <w:rPr>
          <w:rFonts w:ascii="Arial" w:cs="Arial" w:eastAsia="Arial" w:hAnsi="Arial"/>
          <w:sz w:val="20"/>
          <w:szCs w:val="20"/>
          <w:color w:val="auto"/>
        </w:rPr>
      </w:pPr>
      <w:r>
        <w:rPr>
          <w:rFonts w:ascii="Times New Roman" w:cs="Times New Roman" w:eastAsia="Times New Roman" w:hAnsi="Times New Roman"/>
          <w:sz w:val="22"/>
          <w:szCs w:val="22"/>
          <w:color w:val="auto"/>
        </w:rPr>
        <w:t>do not reflect income tax (benefit) expense, and because the payment of taxes is part of our operations, tax expense is a necessary element of our costs and ability to operate;</w:t>
      </w:r>
    </w:p>
    <w:p>
      <w:pPr>
        <w:spacing w:after="0" w:line="10" w:lineRule="exact"/>
        <w:rPr>
          <w:rFonts w:ascii="Arial" w:cs="Arial" w:eastAsia="Arial" w:hAnsi="Arial"/>
          <w:sz w:val="20"/>
          <w:szCs w:val="20"/>
          <w:color w:val="auto"/>
        </w:rPr>
      </w:pPr>
    </w:p>
    <w:p>
      <w:pPr>
        <w:ind w:left="660" w:right="60" w:hanging="328"/>
        <w:spacing w:after="0" w:line="245" w:lineRule="auto"/>
        <w:tabs>
          <w:tab w:leader="none" w:pos="635" w:val="left"/>
        </w:tabs>
        <w:numPr>
          <w:ilvl w:val="0"/>
          <w:numId w:val="8"/>
        </w:numPr>
        <w:rPr>
          <w:rFonts w:ascii="Arial" w:cs="Arial" w:eastAsia="Arial" w:hAnsi="Arial"/>
          <w:sz w:val="20"/>
          <w:szCs w:val="20"/>
          <w:color w:val="auto"/>
        </w:rPr>
      </w:pPr>
      <w:r>
        <w:rPr>
          <w:rFonts w:ascii="Times New Roman" w:cs="Times New Roman" w:eastAsia="Times New Roman" w:hAnsi="Times New Roman"/>
          <w:sz w:val="22"/>
          <w:szCs w:val="22"/>
          <w:color w:val="auto"/>
        </w:rPr>
        <w:t>do not reflect non-cash stock-based compensation, which will remain a key element of our overall compensation package; and</w:t>
      </w:r>
    </w:p>
    <w:p>
      <w:pPr>
        <w:spacing w:after="0" w:line="10" w:lineRule="exact"/>
        <w:rPr>
          <w:rFonts w:ascii="Arial" w:cs="Arial" w:eastAsia="Arial" w:hAnsi="Arial"/>
          <w:sz w:val="20"/>
          <w:szCs w:val="20"/>
          <w:color w:val="auto"/>
        </w:rPr>
      </w:pPr>
    </w:p>
    <w:p>
      <w:pPr>
        <w:ind w:left="660" w:right="420" w:hanging="328"/>
        <w:spacing w:after="0" w:line="245" w:lineRule="auto"/>
        <w:tabs>
          <w:tab w:leader="none" w:pos="635" w:val="left"/>
        </w:tabs>
        <w:numPr>
          <w:ilvl w:val="0"/>
          <w:numId w:val="8"/>
        </w:numPr>
        <w:rPr>
          <w:rFonts w:ascii="Arial" w:cs="Arial" w:eastAsia="Arial" w:hAnsi="Arial"/>
          <w:sz w:val="20"/>
          <w:szCs w:val="20"/>
          <w:color w:val="auto"/>
        </w:rPr>
      </w:pPr>
      <w:r>
        <w:rPr>
          <w:rFonts w:ascii="Times New Roman" w:cs="Times New Roman" w:eastAsia="Times New Roman" w:hAnsi="Times New Roman"/>
          <w:sz w:val="22"/>
          <w:szCs w:val="22"/>
          <w:color w:val="auto"/>
        </w:rPr>
        <w:t>do not reflect the impact of earnings or charges resulting from matters we consider not to be indicative of our ongoing operations.</w:t>
      </w:r>
    </w:p>
    <w:p>
      <w:pPr>
        <w:spacing w:after="0" w:line="199" w:lineRule="exact"/>
        <w:rPr>
          <w:sz w:val="20"/>
          <w:szCs w:val="20"/>
          <w:color w:val="auto"/>
        </w:rPr>
      </w:pPr>
    </w:p>
    <w:p>
      <w:pPr>
        <w:ind w:right="280"/>
        <w:spacing w:after="0" w:line="238" w:lineRule="auto"/>
        <w:rPr>
          <w:sz w:val="20"/>
          <w:szCs w:val="20"/>
          <w:color w:val="auto"/>
        </w:rPr>
      </w:pPr>
      <w:r>
        <w:rPr>
          <w:rFonts w:ascii="Times New Roman" w:cs="Times New Roman" w:eastAsia="Times New Roman" w:hAnsi="Times New Roman"/>
          <w:sz w:val="22"/>
          <w:szCs w:val="22"/>
          <w:color w:val="auto"/>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Net Debt and Net Debt Leverage Ratio</w:t>
      </w:r>
    </w:p>
    <w:p>
      <w:pPr>
        <w:spacing w:after="0" w:line="224"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22"/>
          <w:szCs w:val="22"/>
          <w:color w:val="auto"/>
        </w:rPr>
        <w:t>Net Debt and Net Debt Leverage Ratio are non-GAAP financial measures used in monitoring and evaluating our overall liquidity, financial flexibility, and leverage. Other companies may calculate similarly titled non-GAAP measures differently, limiting their usefulness as comparative measures. We define Net Debt as total debt less cash and cash equivalents. We define the Net Debt Leverage Ratio as Net Debt divided by last twelve months (“LTM”) of Adjusted EBITDA. We believe this measure is an important indicator of our ability to service our long-term debt obligations. There are material limitations to using Net Debt Leverage Ratio as we may not always be able to use cash to repay debt on a dollar-for-dollar basis.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jc w:val="both"/>
        <w:ind w:right="420"/>
        <w:spacing w:after="0" w:line="234" w:lineRule="auto"/>
        <w:rPr>
          <w:sz w:val="20"/>
          <w:szCs w:val="20"/>
          <w:color w:val="auto"/>
        </w:rPr>
      </w:pPr>
      <w:r>
        <w:rPr>
          <w:rFonts w:ascii="Times New Roman" w:cs="Times New Roman" w:eastAsia="Times New Roman" w:hAnsi="Times New Roman"/>
          <w:sz w:val="22"/>
          <w:szCs w:val="22"/>
          <w:color w:val="auto"/>
        </w:rPr>
        <w:t>Certain statements in this earnings release constitute forward-looking statements within the meaning of the Private Securities Litigation Reform Act of 1995. All statements contained in this release other than statements of historical fact may constitute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08" w:right="339" w:bottom="1440" w:gutter="0" w:footer="0" w:header="0"/>
        </w:sectPr>
      </w:pPr>
    </w:p>
    <w:bookmarkStart w:id="9" w:name="page10"/>
    <w:bookmarkEnd w:id="9"/>
    <w:p>
      <w:pPr>
        <w:ind w:right="20"/>
        <w:spacing w:after="0" w:line="221" w:lineRule="auto"/>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3157220</wp:posOffset>
            </wp:positionH>
            <wp:positionV relativeFrom="page">
              <wp:posOffset>88900</wp:posOffset>
            </wp:positionV>
            <wp:extent cx="1234440"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including statements regarding our future operating results and financial position, our business strategy and plans, business and market trends, our objectives for future operations, macroeconomic and geopolitical conditions, changes in U.S. trade priorities, policies, regulations and tariffs, the implementation of our cost reduction plans and expected benefits, and the sufficiency of our cash balances, working capital and cash generated from operating, investing, and financing activities for our future liquidity and capital resource needs. These statements involve known and unknown risks, uncertainties, assumptions and other important factors, many of which are outside of our control, which may cause our actual results, performance or achievements to be materially different from any future results, performance or achievements expressed or implied by the forward-looking statements, including: inflationary impacts, including on consumer demand for our products; the impact of trade policies on our global supply chain, the import or export of goods and their related costs, as well as on consumer confidence; natural disasters, public health issues or other catastrophic events; adverse weather conditions impacting our sales, which can lead to significant variability of sales in reporting periods; interruption of our production capability at our manufacturing facilities from accident, fire, calamity and other causes; unfavorable economic conditions and related impact on consumer spending and demand for our products; our ability to keep pace with technological developments and standards, such as generative artificial intelligence; compliance with government regulations; declining home ownership affecting demand for our products; our ability to source raw materials and components for manufacturing out products; competitive risks; product quality issues, warranty claims or safety concerns such as those due to the failure of builders to follow our product installation instructions and specifications; our ability to attract, develop and retain highly qualified personnel; our ability to collect accounts receivables from our customers; our ability and the cost to obtain transportation services; the protection of our intellectual property and defense of third-party infringement claims; international business risks; realizing anticipated benefits from acquisitions; possible asset impairments; and our ability to secure financing and our substantial indebtedness; and other factors set forth under “Risk Factors” and elsewhere in our most recent Annual Report on Form 10-K and subsequent reports we file with the SEC. Moreover, we operate in a very competitive and rapidly changing environment, and new risks emerge from time to time that may impair our business, financial condition, results of operations and cash flows.</w:t>
      </w:r>
    </w:p>
    <w:p>
      <w:pPr>
        <w:spacing w:after="0" w:line="20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1"/>
          <w:szCs w:val="21"/>
          <w:color w:val="auto"/>
        </w:rPr>
        <w:t>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 These forward-looking statements reflect our views with respect to future events as of the date hereof or the date specified herein, and we have based these forward-looking statements on our current expectations and projections about future events and trends. Given these uncertainties, you should not place undue reliance on these forward-looking statements. Except as required by law, we undertake no obligation to update or review publicly any forward-looking statements, whether as a result of new information, future events or otherwise after the date hereof. We anticipate that subsequent events and developments will cause our views to change. Our forward-looking statements further do not reflect the potential impact of any future acquisitions, merger, dispositions, joint ventures or investments we may undertake.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222" w:lineRule="auto"/>
        <w:rPr>
          <w:sz w:val="20"/>
          <w:szCs w:val="20"/>
          <w:color w:val="auto"/>
        </w:rPr>
      </w:pPr>
      <w:r>
        <w:rPr>
          <w:rFonts w:ascii="Times New Roman" w:cs="Times New Roman" w:eastAsia="Times New Roman" w:hAnsi="Times New Roman"/>
          <w:sz w:val="22"/>
          <w:szCs w:val="22"/>
          <w:color w:val="auto"/>
        </w:rPr>
        <w:t>Lynn Morgen</w:t>
      </w:r>
    </w:p>
    <w:p>
      <w:pPr>
        <w:spacing w:after="0" w:line="217" w:lineRule="auto"/>
        <w:rPr>
          <w:sz w:val="20"/>
          <w:szCs w:val="20"/>
          <w:color w:val="auto"/>
        </w:rPr>
      </w:pPr>
      <w:r>
        <w:rPr>
          <w:rFonts w:ascii="Times New Roman" w:cs="Times New Roman" w:eastAsia="Times New Roman" w:hAnsi="Times New Roman"/>
          <w:sz w:val="22"/>
          <w:szCs w:val="22"/>
          <w:color w:val="auto"/>
        </w:rPr>
        <w:t>Casey Kotary</w:t>
      </w:r>
    </w:p>
    <w:p>
      <w:pPr>
        <w:spacing w:after="0" w:line="231" w:lineRule="auto"/>
        <w:rPr>
          <w:sz w:val="20"/>
          <w:szCs w:val="20"/>
          <w:color w:val="auto"/>
        </w:rPr>
      </w:pPr>
      <w:r>
        <w:rPr>
          <w:rFonts w:ascii="Times New Roman" w:cs="Times New Roman" w:eastAsia="Times New Roman" w:hAnsi="Times New Roman"/>
          <w:sz w:val="22"/>
          <w:szCs w:val="22"/>
          <w:color w:val="auto"/>
        </w:rPr>
        <w:t>ADVISIRY Partners</w:t>
      </w:r>
    </w:p>
    <w:p>
      <w:pPr>
        <w:spacing w:after="0" w:line="218" w:lineRule="auto"/>
        <w:rPr>
          <w:sz w:val="20"/>
          <w:szCs w:val="20"/>
          <w:color w:val="auto"/>
        </w:rPr>
      </w:pPr>
      <w:r>
        <w:rPr>
          <w:rFonts w:ascii="Times New Roman" w:cs="Times New Roman" w:eastAsia="Times New Roman" w:hAnsi="Times New Roman"/>
          <w:sz w:val="22"/>
          <w:szCs w:val="22"/>
          <w:color w:val="467886"/>
        </w:rPr>
        <w:t>lathamir@advisiry.com</w:t>
      </w:r>
    </w:p>
    <w:p>
      <w:pPr>
        <w:spacing w:after="0"/>
        <w:rPr>
          <w:sz w:val="20"/>
          <w:szCs w:val="20"/>
          <w:color w:val="auto"/>
        </w:rPr>
      </w:pPr>
      <w:r>
        <w:rPr>
          <w:rFonts w:ascii="Times New Roman" w:cs="Times New Roman" w:eastAsia="Times New Roman" w:hAnsi="Times New Roman"/>
          <w:sz w:val="22"/>
          <w:szCs w:val="22"/>
          <w:color w:val="auto"/>
        </w:rPr>
        <w:t>212-750-5800</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08" w:right="339" w:bottom="1440" w:gutter="0" w:footer="0" w:header="0"/>
        </w:sectPr>
      </w:pPr>
    </w:p>
    <w:bookmarkStart w:id="10" w:name="page11"/>
    <w:bookmarkEnd w:id="10"/>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3157220</wp:posOffset>
            </wp:positionH>
            <wp:positionV relativeFrom="page">
              <wp:posOffset>88900</wp:posOffset>
            </wp:positionV>
            <wp:extent cx="1234440" cy="46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Latham Group, Inc.</w:t>
      </w:r>
    </w:p>
    <w:p>
      <w:pPr>
        <w:spacing w:after="0" w:line="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jc w:val="center"/>
        <w:ind w:right="40"/>
        <w:spacing w:after="0"/>
        <w:rPr>
          <w:sz w:val="20"/>
          <w:szCs w:val="20"/>
          <w:color w:val="auto"/>
        </w:rPr>
      </w:pPr>
      <w:r>
        <w:rPr>
          <w:rFonts w:ascii="Times New Roman" w:cs="Times New Roman" w:eastAsia="Times New Roman" w:hAnsi="Times New Roman"/>
          <w:sz w:val="22"/>
          <w:szCs w:val="22"/>
          <w:i w:val="1"/>
          <w:iCs w:val="1"/>
          <w:color w:val="auto"/>
        </w:rPr>
        <w:t xml:space="preserve">(in thousands, except share and per share data) </w:t>
      </w:r>
      <w:r>
        <w:rPr>
          <w:rFonts w:ascii="Times New Roman" w:cs="Times New Roman" w:eastAsia="Times New Roman" w:hAnsi="Times New Roman"/>
          <w:sz w:val="19"/>
          <w:szCs w:val="19"/>
          <w:i w:val="1"/>
          <w:iCs w:val="1"/>
          <w:color w:val="auto"/>
        </w:rPr>
        <w:t>(unaudited)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20" w:type="dxa"/>
            <w:vAlign w:val="bottom"/>
            <w:tcBorders>
              <w:bottom w:val="single" w:sz="8" w:color="auto"/>
            </w:tcBorders>
            <w:gridSpan w:val="4"/>
          </w:tcPr>
          <w:p>
            <w:pPr>
              <w:jc w:val="right"/>
              <w:ind w:right="931"/>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78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40" w:type="dxa"/>
            <w:vAlign w:val="bottom"/>
          </w:tcPr>
          <w:p>
            <w:pPr>
              <w:spacing w:after="0"/>
              <w:rPr>
                <w:sz w:val="17"/>
                <w:szCs w:val="17"/>
                <w:color w:val="auto"/>
              </w:rPr>
            </w:pPr>
          </w:p>
        </w:tc>
        <w:tc>
          <w:tcPr>
            <w:tcW w:w="194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380" w:type="dxa"/>
            <w:vAlign w:val="bottom"/>
          </w:tcPr>
          <w:p>
            <w:pPr>
              <w:spacing w:after="0"/>
              <w:rPr>
                <w:sz w:val="17"/>
                <w:szCs w:val="17"/>
                <w:color w:val="auto"/>
              </w:rPr>
            </w:pPr>
          </w:p>
        </w:tc>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0" w:type="dxa"/>
            <w:vAlign w:val="bottom"/>
          </w:tcPr>
          <w:p>
            <w:pPr>
              <w:spacing w:after="0"/>
              <w:rPr>
                <w:sz w:val="1"/>
                <w:szCs w:val="1"/>
                <w:color w:val="auto"/>
              </w:rPr>
            </w:pPr>
          </w:p>
        </w:tc>
      </w:tr>
      <w:tr>
        <w:trPr>
          <w:trHeight w:val="248"/>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182,175</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161,903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496,964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445,962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115,348</w:t>
            </w: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104,596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322,902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291,811</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66,827</w:t>
            </w:r>
          </w:p>
        </w:tc>
        <w:tc>
          <w:tcPr>
            <w:tcW w:w="8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174,062</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9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4"/>
                <w:szCs w:val="14"/>
                <w:color w:val="auto"/>
              </w:rPr>
            </w:pPr>
          </w:p>
        </w:tc>
        <w:tc>
          <w:tcPr>
            <w:tcW w:w="17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35,862</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28,586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110,071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91,146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expense</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8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23,607</w:t>
            </w: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42,098</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41,301</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9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8"/>
                <w:szCs w:val="18"/>
                <w:color w:val="auto"/>
              </w:rPr>
              <w:t>Loss on extinguishment and</w:t>
            </w:r>
          </w:p>
        </w:tc>
        <w:tc>
          <w:tcPr>
            <w:tcW w:w="24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5,022</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6"/>
                <w:szCs w:val="16"/>
                <w:color w:val="auto"/>
              </w:rPr>
            </w:pPr>
          </w:p>
        </w:tc>
        <w:tc>
          <w:tcPr>
            <w:tcW w:w="18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5,022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2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modification of debt</w:t>
            </w:r>
          </w:p>
        </w:tc>
        <w:tc>
          <w:tcPr>
            <w:tcW w:w="2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10,374</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9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Earnings from equity method</w:t>
            </w:r>
          </w:p>
        </w:tc>
        <w:tc>
          <w:tcPr>
            <w:tcW w:w="240" w:type="dxa"/>
            <w:vAlign w:val="bottom"/>
          </w:tcPr>
          <w:p>
            <w:pPr>
              <w:spacing w:after="0"/>
              <w:rPr>
                <w:sz w:val="16"/>
                <w:szCs w:val="16"/>
                <w:color w:val="auto"/>
              </w:rPr>
            </w:pPr>
          </w:p>
        </w:tc>
        <w:tc>
          <w:tcPr>
            <w:tcW w:w="17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1,789</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3,705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2,751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investment</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CCEEFF"/>
            </w:tcBorders>
            <w:vMerge w:val="restart"/>
          </w:tcPr>
          <w:p>
            <w:pPr>
              <w:spacing w:after="0" w:line="176" w:lineRule="exact"/>
              <w:rPr>
                <w:sz w:val="20"/>
                <w:szCs w:val="20"/>
                <w:color w:val="auto"/>
              </w:rPr>
            </w:pPr>
            <w:r>
              <w:rPr>
                <w:rFonts w:ascii="Times New Roman" w:cs="Times New Roman" w:eastAsia="Times New Roman" w:hAnsi="Times New Roman"/>
                <w:sz w:val="18"/>
                <w:szCs w:val="18"/>
                <w:color w:val="auto"/>
              </w:rPr>
              <w:t>Net income per share attributable to</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9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stockholders:</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20"/>
                <w:szCs w:val="20"/>
                <w:color w:val="auto"/>
              </w:rPr>
            </w:pP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9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Weighted-average common shares</w:t>
            </w:r>
          </w:p>
        </w:tc>
        <w:tc>
          <w:tcPr>
            <w:tcW w:w="2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basic and diluted</w:t>
            </w:r>
          </w:p>
        </w:tc>
        <w:tc>
          <w:tcPr>
            <w:tcW w:w="24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117,690,489</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116,603,331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117,360,560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116,323,609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119,797,839</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119,907,619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119,756,831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119,720,706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00"/>
          </w:cols>
          <w:pgMar w:left="360" w:top="144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3157220</wp:posOffset>
            </wp:positionH>
            <wp:positionV relativeFrom="page">
              <wp:posOffset>88900</wp:posOffset>
            </wp:positionV>
            <wp:extent cx="1234440"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Latham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and per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26,</w:t>
            </w:r>
          </w:p>
        </w:tc>
        <w:tc>
          <w:tcPr>
            <w:tcW w:w="380" w:type="dxa"/>
            <w:vAlign w:val="bottom"/>
          </w:tcPr>
          <w:p>
            <w:pPr>
              <w:spacing w:after="0"/>
              <w:rPr>
                <w:sz w:val="16"/>
                <w:szCs w:val="16"/>
                <w:color w:val="auto"/>
              </w:rPr>
            </w:pPr>
          </w:p>
        </w:tc>
        <w:tc>
          <w:tcPr>
            <w:tcW w:w="154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8"/>
        </w:trPr>
        <w:tc>
          <w:tcPr>
            <w:tcW w:w="7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94,810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71,043</w:t>
            </w:r>
          </w:p>
        </w:tc>
      </w:tr>
      <w:tr>
        <w:trPr>
          <w:trHeight w:val="220"/>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receivables, net</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39,914</w:t>
            </w:r>
          </w:p>
        </w:tc>
      </w:tr>
      <w:tr>
        <w:trPr>
          <w:trHeight w:val="23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3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86,691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74,926</w:t>
            </w:r>
          </w:p>
        </w:tc>
      </w:tr>
      <w:tr>
        <w:trPr>
          <w:trHeight w:val="220"/>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receivable</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12,178</w:t>
            </w:r>
          </w:p>
        </w:tc>
      </w:tr>
      <w:tr>
        <w:trPr>
          <w:trHeight w:val="23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9,743</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20,943</w:t>
            </w:r>
          </w:p>
        </w:tc>
      </w:tr>
      <w:tr>
        <w:trPr>
          <w:trHeight w:val="213"/>
        </w:trPr>
        <w:tc>
          <w:tcPr>
            <w:tcW w:w="7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276,616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219,004</w:t>
            </w:r>
          </w:p>
        </w:tc>
      </w:tr>
      <w:tr>
        <w:trPr>
          <w:trHeight w:val="23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137,497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118,820</w:t>
            </w:r>
          </w:p>
        </w:tc>
      </w:tr>
      <w:tr>
        <w:trPr>
          <w:trHeight w:val="22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method investment</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26,482</w:t>
            </w:r>
          </w:p>
        </w:tc>
      </w:tr>
      <w:tr>
        <w:trPr>
          <w:trHeight w:val="23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3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r>
      <w:tr>
        <w:trPr>
          <w:trHeight w:val="22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30,723</w:t>
            </w:r>
          </w:p>
        </w:tc>
      </w:tr>
      <w:tr>
        <w:trPr>
          <w:trHeight w:val="23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161,732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155,189</w:t>
            </w:r>
          </w:p>
        </w:tc>
      </w:tr>
      <w:tr>
        <w:trPr>
          <w:trHeight w:val="22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268,073</w:t>
            </w:r>
          </w:p>
        </w:tc>
      </w:tr>
      <w:tr>
        <w:trPr>
          <w:trHeight w:val="23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4,214</w:t>
            </w: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892,458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823,223</w:t>
            </w:r>
          </w:p>
        </w:tc>
      </w:tr>
      <w:tr>
        <w:trPr>
          <w:trHeight w:val="21"/>
        </w:trPr>
        <w:tc>
          <w:tcPr>
            <w:tcW w:w="7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0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2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36,019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19,283</w:t>
            </w:r>
          </w:p>
        </w:tc>
      </w:tr>
      <w:tr>
        <w:trPr>
          <w:trHeight w:val="220"/>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w:t>
            </w:r>
          </w:p>
        </w:tc>
      </w:tr>
      <w:tr>
        <w:trPr>
          <w:trHeight w:val="23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payable</w:t>
            </w:r>
          </w:p>
        </w:tc>
        <w:tc>
          <w:tcPr>
            <w:tcW w:w="3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7,630</w:t>
            </w:r>
          </w:p>
        </w:tc>
      </w:tr>
      <w:tr>
        <w:trPr>
          <w:trHeight w:val="23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70,498</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48,979</w:t>
            </w:r>
          </w:p>
        </w:tc>
      </w:tr>
      <w:tr>
        <w:trPr>
          <w:trHeight w:val="213"/>
        </w:trPr>
        <w:tc>
          <w:tcPr>
            <w:tcW w:w="7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79,142</w:t>
            </w:r>
          </w:p>
        </w:tc>
      </w:tr>
      <w:tr>
        <w:trPr>
          <w:trHeight w:val="23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discount, debt issuance costs, and current portion</w:t>
            </w:r>
          </w:p>
        </w:tc>
        <w:tc>
          <w:tcPr>
            <w:tcW w:w="3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290,212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276,591</w:t>
            </w:r>
          </w:p>
        </w:tc>
      </w:tr>
      <w:tr>
        <w:trPr>
          <w:trHeight w:val="22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 net</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34,269</w:t>
            </w:r>
          </w:p>
        </w:tc>
      </w:tr>
      <w:tr>
        <w:trPr>
          <w:trHeight w:val="23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23,964</w:t>
            </w:r>
          </w:p>
        </w:tc>
      </w:tr>
      <w:tr>
        <w:trPr>
          <w:trHeight w:val="22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3,396</w:t>
            </w:r>
          </w:p>
        </w:tc>
      </w:tr>
      <w:tr>
        <w:trPr>
          <w:trHeight w:val="23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38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468,189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417,362</w:t>
            </w:r>
          </w:p>
        </w:tc>
      </w:tr>
      <w:tr>
        <w:trPr>
          <w:trHeight w:val="20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3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175"/>
        </w:trPr>
        <w:tc>
          <w:tcPr>
            <w:tcW w:w="73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Preferred stock, $0.0001 par value; 100,000,000 shares authorized as of both September 26, 2026 and</w:t>
            </w:r>
          </w:p>
        </w:tc>
        <w:tc>
          <w:tcPr>
            <w:tcW w:w="380" w:type="dxa"/>
            <w:vAlign w:val="bottom"/>
          </w:tcPr>
          <w:p>
            <w:pPr>
              <w:spacing w:after="0"/>
              <w:rPr>
                <w:sz w:val="15"/>
                <w:szCs w:val="15"/>
                <w:color w:val="auto"/>
              </w:rPr>
            </w:pPr>
          </w:p>
        </w:tc>
        <w:tc>
          <w:tcPr>
            <w:tcW w:w="1620" w:type="dxa"/>
            <w:vAlign w:val="bottom"/>
            <w:gridSpan w:val="2"/>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5"/>
                <w:szCs w:val="15"/>
                <w:color w:val="auto"/>
              </w:rPr>
            </w:pPr>
          </w:p>
        </w:tc>
        <w:tc>
          <w:tcPr>
            <w:tcW w:w="154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r>
      <w:tr>
        <w:trPr>
          <w:trHeight w:val="22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2025; no shares issued and outstanding as of both September 26, 2026 and December 31, 2025</w:t>
            </w:r>
          </w:p>
        </w:tc>
        <w:tc>
          <w:tcPr>
            <w:tcW w:w="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185"/>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$0.0001 par value; 900,000,000 shares authorized as of September 26, 2026 and December</w:t>
            </w:r>
          </w:p>
        </w:tc>
        <w:tc>
          <w:tcPr>
            <w:tcW w:w="38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175"/>
        </w:trPr>
        <w:tc>
          <w:tcPr>
            <w:tcW w:w="73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31, 2025; 117,750,570 and 116,766,927 shares issued and outstanding, as of September 26, 2026 and</w:t>
            </w:r>
          </w:p>
        </w:tc>
        <w:tc>
          <w:tcPr>
            <w:tcW w:w="3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216"/>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2025, respectively</w:t>
            </w: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473,924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473,423</w:t>
            </w:r>
          </w:p>
        </w:tc>
      </w:tr>
      <w:tr>
        <w:trPr>
          <w:trHeight w:val="23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3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(63,692)</w:t>
            </w:r>
          </w:p>
        </w:tc>
      </w:tr>
      <w:tr>
        <w:trPr>
          <w:trHeight w:val="223"/>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(3,882)</w:t>
            </w:r>
          </w:p>
        </w:tc>
      </w:tr>
      <w:tr>
        <w:trPr>
          <w:trHeight w:val="230"/>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424,269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405,861</w:t>
            </w:r>
          </w:p>
        </w:tc>
      </w:tr>
      <w:tr>
        <w:trPr>
          <w:trHeight w:val="216"/>
        </w:trPr>
        <w:tc>
          <w:tcPr>
            <w:tcW w:w="73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892,458</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823,223</w:t>
            </w:r>
          </w:p>
        </w:tc>
      </w:tr>
      <w:tr>
        <w:trPr>
          <w:trHeight w:val="27"/>
        </w:trPr>
        <w:tc>
          <w:tcPr>
            <w:tcW w:w="7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4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410"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3157220</wp:posOffset>
            </wp:positionH>
            <wp:positionV relativeFrom="page">
              <wp:posOffset>88900</wp:posOffset>
            </wp:positionV>
            <wp:extent cx="1234440" cy="462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Latham Group,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line="230" w:lineRule="auto"/>
        <w:rPr>
          <w:sz w:val="20"/>
          <w:szCs w:val="20"/>
          <w:color w:val="auto"/>
        </w:rPr>
      </w:pPr>
      <w:r>
        <w:rPr>
          <w:rFonts w:ascii="Times New Roman" w:cs="Times New Roman" w:eastAsia="Times New Roman" w:hAnsi="Times New Roman"/>
          <w:sz w:val="22"/>
          <w:szCs w:val="22"/>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584"/>
              <w:spacing w:after="0"/>
              <w:rPr>
                <w:sz w:val="20"/>
                <w:szCs w:val="20"/>
                <w:color w:val="auto"/>
              </w:rPr>
            </w:pPr>
            <w:r>
              <w:rPr>
                <w:rFonts w:ascii="Times New Roman" w:cs="Times New Roman" w:eastAsia="Times New Roman" w:hAnsi="Times New Roman"/>
                <w:sz w:val="15"/>
                <w:szCs w:val="15"/>
                <w:b w:val="1"/>
                <w:bCs w:val="1"/>
                <w:color w:val="auto"/>
              </w:rPr>
              <w:t>Three Fiscal Quarters Ended</w:t>
            </w:r>
          </w:p>
        </w:tc>
        <w:tc>
          <w:tcPr>
            <w:tcW w:w="0" w:type="dxa"/>
            <w:vAlign w:val="bottom"/>
          </w:tcPr>
          <w:p>
            <w:pPr>
              <w:spacing w:after="0"/>
              <w:rPr>
                <w:sz w:val="1"/>
                <w:szCs w:val="1"/>
                <w:color w:val="auto"/>
              </w:rPr>
            </w:pPr>
          </w:p>
        </w:tc>
      </w:tr>
      <w:tr>
        <w:trPr>
          <w:trHeight w:val="206"/>
        </w:trPr>
        <w:tc>
          <w:tcPr>
            <w:tcW w:w="8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September 26,</w:t>
            </w:r>
          </w:p>
        </w:tc>
        <w:tc>
          <w:tcPr>
            <w:tcW w:w="220" w:type="dxa"/>
            <w:vAlign w:val="bottom"/>
          </w:tcPr>
          <w:p>
            <w:pPr>
              <w:spacing w:after="0"/>
              <w:rPr>
                <w:sz w:val="17"/>
                <w:szCs w:val="17"/>
                <w:color w:val="auto"/>
              </w:rPr>
            </w:pPr>
          </w:p>
        </w:tc>
        <w:tc>
          <w:tcPr>
            <w:tcW w:w="1380" w:type="dxa"/>
            <w:vAlign w:val="bottom"/>
          </w:tcPr>
          <w:p>
            <w:pPr>
              <w:jc w:val="right"/>
              <w:ind w:right="244"/>
              <w:spacing w:after="0"/>
              <w:rPr>
                <w:sz w:val="20"/>
                <w:szCs w:val="20"/>
                <w:color w:val="auto"/>
              </w:rPr>
            </w:pPr>
            <w:r>
              <w:rPr>
                <w:rFonts w:ascii="Times New Roman" w:cs="Times New Roman" w:eastAsia="Times New Roman" w:hAnsi="Times New Roman"/>
                <w:sz w:val="15"/>
                <w:szCs w:val="15"/>
                <w:b w:val="1"/>
                <w:bCs w:val="1"/>
                <w:color w:val="auto"/>
              </w:rPr>
              <w:t>September 27,</w:t>
            </w:r>
          </w:p>
        </w:tc>
        <w:tc>
          <w:tcPr>
            <w:tcW w:w="0" w:type="dxa"/>
            <w:vAlign w:val="bottom"/>
          </w:tcPr>
          <w:p>
            <w:pPr>
              <w:spacing w:after="0"/>
              <w:rPr>
                <w:sz w:val="1"/>
                <w:szCs w:val="1"/>
                <w:color w:val="auto"/>
              </w:rPr>
            </w:pPr>
          </w:p>
        </w:tc>
      </w:tr>
      <w:tr>
        <w:trPr>
          <w:trHeight w:val="220"/>
        </w:trPr>
        <w:tc>
          <w:tcPr>
            <w:tcW w:w="80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5"/>
                <w:szCs w:val="15"/>
                <w:b w:val="1"/>
                <w:bCs w:val="1"/>
                <w:color w:val="auto"/>
              </w:rPr>
              <w:t>2026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5"/>
                <w:szCs w:val="15"/>
                <w:b w:val="1"/>
                <w:bCs w:val="1"/>
                <w:color w:val="auto"/>
              </w:rPr>
              <w:t>2025</w:t>
            </w:r>
          </w:p>
        </w:tc>
        <w:tc>
          <w:tcPr>
            <w:tcW w:w="0" w:type="dxa"/>
            <w:vAlign w:val="bottom"/>
          </w:tcPr>
          <w:p>
            <w:pPr>
              <w:spacing w:after="0"/>
              <w:rPr>
                <w:sz w:val="1"/>
                <w:szCs w:val="1"/>
                <w:color w:val="auto"/>
              </w:rPr>
            </w:pPr>
          </w:p>
        </w:tc>
      </w:tr>
      <w:tr>
        <w:trPr>
          <w:trHeight w:val="20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16,276</w:t>
            </w:r>
          </w:p>
        </w:tc>
        <w:tc>
          <w:tcPr>
            <w:tcW w:w="8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18,135</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37,978</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Unrealized foreign currency loss (gain)</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(2,878)</w:t>
            </w:r>
          </w:p>
        </w:tc>
        <w:tc>
          <w:tcPr>
            <w:tcW w:w="0" w:type="dxa"/>
            <w:vAlign w:val="bottom"/>
          </w:tcPr>
          <w:p>
            <w:pPr>
              <w:spacing w:after="0"/>
              <w:rPr>
                <w:sz w:val="1"/>
                <w:szCs w:val="1"/>
                <w:color w:val="auto"/>
              </w:rPr>
            </w:pPr>
          </w:p>
        </w:tc>
      </w:tr>
      <w:tr>
        <w:trPr>
          <w:trHeight w:val="212"/>
        </w:trPr>
        <w:tc>
          <w:tcPr>
            <w:tcW w:w="8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Amortization of deferred financing costs and debt discount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1,290</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Non-cash lease expense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5,455</w:t>
            </w:r>
          </w:p>
        </w:tc>
        <w:tc>
          <w:tcPr>
            <w:tcW w:w="0" w:type="dxa"/>
            <w:vAlign w:val="bottom"/>
          </w:tcPr>
          <w:p>
            <w:pPr>
              <w:spacing w:after="0"/>
              <w:rPr>
                <w:sz w:val="1"/>
                <w:szCs w:val="1"/>
                <w:color w:val="auto"/>
              </w:rPr>
            </w:pPr>
          </w:p>
        </w:tc>
      </w:tr>
      <w:tr>
        <w:trPr>
          <w:trHeight w:val="212"/>
        </w:trPr>
        <w:tc>
          <w:tcPr>
            <w:tcW w:w="8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Change in fair value of interest rate swap</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610</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5,332</w:t>
            </w:r>
          </w:p>
        </w:tc>
        <w:tc>
          <w:tcPr>
            <w:tcW w:w="0" w:type="dxa"/>
            <w:vAlign w:val="bottom"/>
          </w:tcPr>
          <w:p>
            <w:pPr>
              <w:spacing w:after="0"/>
              <w:rPr>
                <w:sz w:val="1"/>
                <w:szCs w:val="1"/>
                <w:color w:val="auto"/>
              </w:rPr>
            </w:pPr>
          </w:p>
        </w:tc>
      </w:tr>
      <w:tr>
        <w:trPr>
          <w:trHeight w:val="212"/>
        </w:trPr>
        <w:tc>
          <w:tcPr>
            <w:tcW w:w="8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Loss on extinguishment of debt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Bad debt expense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1,623</w:t>
            </w:r>
          </w:p>
        </w:tc>
        <w:tc>
          <w:tcPr>
            <w:tcW w:w="0" w:type="dxa"/>
            <w:vAlign w:val="bottom"/>
          </w:tcPr>
          <w:p>
            <w:pPr>
              <w:spacing w:after="0"/>
              <w:rPr>
                <w:sz w:val="1"/>
                <w:szCs w:val="1"/>
                <w:color w:val="auto"/>
              </w:rPr>
            </w:pPr>
          </w:p>
        </w:tc>
      </w:tr>
      <w:tr>
        <w:trPr>
          <w:trHeight w:val="212"/>
        </w:trPr>
        <w:tc>
          <w:tcPr>
            <w:tcW w:w="8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non-cash, net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655</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Earnings from equity method investment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(2,751)</w:t>
            </w:r>
          </w:p>
        </w:tc>
        <w:tc>
          <w:tcPr>
            <w:tcW w:w="0" w:type="dxa"/>
            <w:vAlign w:val="bottom"/>
          </w:tcPr>
          <w:p>
            <w:pPr>
              <w:spacing w:after="0"/>
              <w:rPr>
                <w:sz w:val="1"/>
                <w:szCs w:val="1"/>
                <w:color w:val="auto"/>
              </w:rPr>
            </w:pPr>
          </w:p>
        </w:tc>
      </w:tr>
      <w:tr>
        <w:trPr>
          <w:trHeight w:val="212"/>
        </w:trPr>
        <w:tc>
          <w:tcPr>
            <w:tcW w:w="80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Distributions received from equity method investment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1,816</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Trade receivables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(40,138)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(50,352)</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Inventories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7,331</w:t>
            </w:r>
          </w:p>
        </w:tc>
        <w:tc>
          <w:tcPr>
            <w:tcW w:w="0" w:type="dxa"/>
            <w:vAlign w:val="bottom"/>
          </w:tcPr>
          <w:p>
            <w:pPr>
              <w:spacing w:after="0"/>
              <w:rPr>
                <w:sz w:val="1"/>
                <w:szCs w:val="1"/>
                <w:color w:val="auto"/>
              </w:rPr>
            </w:pPr>
          </w:p>
        </w:tc>
      </w:tr>
      <w:tr>
        <w:trPr>
          <w:trHeight w:val="212"/>
        </w:trPr>
        <w:tc>
          <w:tcPr>
            <w:tcW w:w="80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(795)</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Income tax receivable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(5,603)</w:t>
            </w:r>
          </w:p>
        </w:tc>
        <w:tc>
          <w:tcPr>
            <w:tcW w:w="0" w:type="dxa"/>
            <w:vAlign w:val="bottom"/>
          </w:tcPr>
          <w:p>
            <w:pPr>
              <w:spacing w:after="0"/>
              <w:rPr>
                <w:sz w:val="1"/>
                <w:szCs w:val="1"/>
                <w:color w:val="auto"/>
              </w:rPr>
            </w:pPr>
          </w:p>
        </w:tc>
      </w:tr>
      <w:tr>
        <w:trPr>
          <w:trHeight w:val="212"/>
        </w:trPr>
        <w:tc>
          <w:tcPr>
            <w:tcW w:w="80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Other assets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Accounts payable</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16,296</w:t>
            </w:r>
          </w:p>
        </w:tc>
        <w:tc>
          <w:tcPr>
            <w:tcW w:w="0" w:type="dxa"/>
            <w:vAlign w:val="bottom"/>
          </w:tcPr>
          <w:p>
            <w:pPr>
              <w:spacing w:after="0"/>
              <w:rPr>
                <w:sz w:val="1"/>
                <w:szCs w:val="1"/>
                <w:color w:val="auto"/>
              </w:rPr>
            </w:pPr>
          </w:p>
        </w:tc>
      </w:tr>
      <w:tr>
        <w:trPr>
          <w:trHeight w:val="212"/>
        </w:trPr>
        <w:tc>
          <w:tcPr>
            <w:tcW w:w="80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6,672</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(452)</w:t>
            </w:r>
          </w:p>
        </w:tc>
        <w:tc>
          <w:tcPr>
            <w:tcW w:w="0" w:type="dxa"/>
            <w:vAlign w:val="bottom"/>
          </w:tcPr>
          <w:p>
            <w:pPr>
              <w:spacing w:after="0"/>
              <w:rPr>
                <w:sz w:val="1"/>
                <w:szCs w:val="1"/>
                <w:color w:val="auto"/>
              </w:rPr>
            </w:pPr>
          </w:p>
        </w:tc>
      </w:tr>
      <w:tr>
        <w:trPr>
          <w:trHeight w:val="205"/>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54,576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40,121</w:t>
            </w:r>
          </w:p>
        </w:tc>
        <w:tc>
          <w:tcPr>
            <w:tcW w:w="0" w:type="dxa"/>
            <w:vAlign w:val="bottom"/>
          </w:tcPr>
          <w:p>
            <w:pPr>
              <w:spacing w:after="0"/>
              <w:rPr>
                <w:sz w:val="1"/>
                <w:szCs w:val="1"/>
                <w:color w:val="auto"/>
              </w:rPr>
            </w:pPr>
          </w:p>
        </w:tc>
      </w:tr>
      <w:tr>
        <w:trPr>
          <w:trHeight w:val="20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(16,160)</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Acquisition of business, net of cash acquired</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(14,250)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(4,934)</w:t>
            </w:r>
          </w:p>
        </w:tc>
        <w:tc>
          <w:tcPr>
            <w:tcW w:w="0" w:type="dxa"/>
            <w:vAlign w:val="bottom"/>
          </w:tcPr>
          <w:p>
            <w:pPr>
              <w:spacing w:after="0"/>
              <w:rPr>
                <w:sz w:val="1"/>
                <w:szCs w:val="1"/>
                <w:color w:val="auto"/>
              </w:rPr>
            </w:pPr>
          </w:p>
        </w:tc>
      </w:tr>
      <w:tr>
        <w:trPr>
          <w:trHeight w:val="205"/>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(36,428)</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(21,094)</w:t>
            </w:r>
          </w:p>
        </w:tc>
        <w:tc>
          <w:tcPr>
            <w:tcW w:w="0" w:type="dxa"/>
            <w:vAlign w:val="bottom"/>
          </w:tcPr>
          <w:p>
            <w:pPr>
              <w:spacing w:after="0"/>
              <w:rPr>
                <w:sz w:val="1"/>
                <w:szCs w:val="1"/>
                <w:color w:val="auto"/>
              </w:rPr>
            </w:pPr>
          </w:p>
        </w:tc>
      </w:tr>
      <w:tr>
        <w:trPr>
          <w:trHeight w:val="20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long-term debt borrowings, net of discount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Payments on long-term debt borrowings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(284,814)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(1,625)</w:t>
            </w: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borrowings on revolving credit facility</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25,000</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Payments on revolving credit facilities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(25,000)</w:t>
            </w: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financing fees paid</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(4,697)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Repayments of finance lease obligations</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w:t>
            </w:r>
          </w:p>
        </w:tc>
        <w:tc>
          <w:tcPr>
            <w:tcW w:w="0" w:type="dxa"/>
            <w:vAlign w:val="bottom"/>
          </w:tcPr>
          <w:p>
            <w:pPr>
              <w:spacing w:after="0"/>
              <w:rPr>
                <w:sz w:val="1"/>
                <w:szCs w:val="1"/>
                <w:color w:val="auto"/>
              </w:rPr>
            </w:pPr>
          </w:p>
        </w:tc>
      </w:tr>
      <w:tr>
        <w:trPr>
          <w:trHeight w:val="212"/>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Common stock withheld for taxes on restricted stock units</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(3,210)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(2,677)</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5,117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(4,918)</w:t>
            </w:r>
          </w:p>
        </w:tc>
        <w:tc>
          <w:tcPr>
            <w:tcW w:w="0" w:type="dxa"/>
            <w:vAlign w:val="bottom"/>
          </w:tcPr>
          <w:p>
            <w:pPr>
              <w:spacing w:after="0"/>
              <w:rPr>
                <w:sz w:val="1"/>
                <w:szCs w:val="1"/>
                <w:color w:val="auto"/>
              </w:rPr>
            </w:pPr>
          </w:p>
        </w:tc>
      </w:tr>
      <w:tr>
        <w:trPr>
          <w:trHeight w:val="212"/>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Effect of exchange rate changes on cash</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1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increase in cash</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14,120</w:t>
            </w:r>
          </w:p>
        </w:tc>
        <w:tc>
          <w:tcPr>
            <w:tcW w:w="0" w:type="dxa"/>
            <w:vAlign w:val="bottom"/>
          </w:tcPr>
          <w:p>
            <w:pPr>
              <w:spacing w:after="0"/>
              <w:rPr>
                <w:sz w:val="1"/>
                <w:szCs w:val="1"/>
                <w:color w:val="auto"/>
              </w:rPr>
            </w:pPr>
          </w:p>
        </w:tc>
      </w:tr>
      <w:tr>
        <w:trPr>
          <w:trHeight w:val="212"/>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at beginning of period</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71,043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56,398</w:t>
            </w:r>
          </w:p>
        </w:tc>
        <w:tc>
          <w:tcPr>
            <w:tcW w:w="0" w:type="dxa"/>
            <w:vAlign w:val="bottom"/>
          </w:tcPr>
          <w:p>
            <w:pPr>
              <w:spacing w:after="0"/>
              <w:rPr>
                <w:sz w:val="1"/>
                <w:szCs w:val="1"/>
                <w:color w:val="auto"/>
              </w:rPr>
            </w:pPr>
          </w:p>
        </w:tc>
      </w:tr>
      <w:tr>
        <w:trPr>
          <w:trHeight w:val="23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at end of period</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94,810</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70,518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cash flow information</w:t>
            </w:r>
            <w:r>
              <w:rPr>
                <w:rFonts w:ascii="Times New Roman" w:cs="Times New Roman" w:eastAsia="Times New Roman" w:hAnsi="Times New Roman"/>
                <w:sz w:val="15"/>
                <w:szCs w:val="15"/>
                <w:color w:val="auto"/>
              </w:rPr>
              <w: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for interest</w:t>
            </w:r>
          </w:p>
        </w:tc>
        <w:tc>
          <w:tcPr>
            <w:tcW w:w="2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17,818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20,735</w:t>
            </w: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Income taxes paid, net</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8,023</w:t>
            </w: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Purchases of property and equipment included in accounts payable and accrued expenses</w:t>
            </w: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1,050</w:t>
            </w:r>
          </w:p>
        </w:tc>
        <w:tc>
          <w:tcPr>
            <w:tcW w:w="8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240"/>
          </w:cols>
          <w:pgMar w:left="320" w:top="1400"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3157220</wp:posOffset>
            </wp:positionH>
            <wp:positionV relativeFrom="page">
              <wp:posOffset>88900</wp:posOffset>
            </wp:positionV>
            <wp:extent cx="1234440" cy="46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Latham Group,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Cash Flows</w:t>
      </w:r>
    </w:p>
    <w:p>
      <w:pPr>
        <w:jc w:val="center"/>
        <w:spacing w:after="0" w:line="230" w:lineRule="auto"/>
        <w:rPr>
          <w:sz w:val="20"/>
          <w:szCs w:val="20"/>
          <w:color w:val="auto"/>
        </w:rPr>
      </w:pPr>
      <w:r>
        <w:rPr>
          <w:rFonts w:ascii="Times New Roman" w:cs="Times New Roman" w:eastAsia="Times New Roman" w:hAnsi="Times New Roman"/>
          <w:sz w:val="22"/>
          <w:szCs w:val="22"/>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(unaudited)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(Continued)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20" w:type="dxa"/>
            <w:vAlign w:val="bottom"/>
          </w:tcPr>
          <w:p>
            <w:pPr>
              <w:spacing w:after="0"/>
              <w:rPr>
                <w:sz w:val="17"/>
                <w:szCs w:val="17"/>
                <w:color w:val="auto"/>
              </w:rPr>
            </w:pPr>
          </w:p>
        </w:tc>
        <w:tc>
          <w:tcPr>
            <w:tcW w:w="3220" w:type="dxa"/>
            <w:vAlign w:val="bottom"/>
            <w:tcBorders>
              <w:bottom w:val="single" w:sz="8" w:color="auto"/>
            </w:tcBorders>
            <w:gridSpan w:val="2"/>
          </w:tcPr>
          <w:p>
            <w:pPr>
              <w:jc w:val="right"/>
              <w:ind w:right="577"/>
              <w:spacing w:after="0"/>
              <w:rPr>
                <w:sz w:val="20"/>
                <w:szCs w:val="20"/>
                <w:color w:val="auto"/>
              </w:rPr>
            </w:pPr>
            <w:r>
              <w:rPr>
                <w:rFonts w:ascii="Times New Roman" w:cs="Times New Roman" w:eastAsia="Times New Roman" w:hAnsi="Times New Roman"/>
                <w:sz w:val="15"/>
                <w:szCs w:val="15"/>
                <w:b w:val="1"/>
                <w:bCs w:val="1"/>
                <w:color w:val="auto"/>
              </w:rPr>
              <w:t>Three Fiscal Quarters Ended</w:t>
            </w:r>
          </w:p>
        </w:tc>
      </w:tr>
      <w:tr>
        <w:trPr>
          <w:trHeight w:val="205"/>
        </w:trPr>
        <w:tc>
          <w:tcPr>
            <w:tcW w:w="8020" w:type="dxa"/>
            <w:vAlign w:val="bottom"/>
          </w:tcPr>
          <w:p>
            <w:pPr>
              <w:spacing w:after="0"/>
              <w:rPr>
                <w:sz w:val="17"/>
                <w:szCs w:val="17"/>
                <w:color w:val="auto"/>
              </w:rPr>
            </w:pPr>
          </w:p>
        </w:tc>
        <w:tc>
          <w:tcPr>
            <w:tcW w:w="1700" w:type="dxa"/>
            <w:vAlign w:val="bottom"/>
          </w:tcPr>
          <w:p>
            <w:pPr>
              <w:jc w:val="right"/>
              <w:ind w:right="378"/>
              <w:spacing w:after="0"/>
              <w:rPr>
                <w:sz w:val="20"/>
                <w:szCs w:val="20"/>
                <w:color w:val="auto"/>
              </w:rPr>
            </w:pPr>
            <w:r>
              <w:rPr>
                <w:rFonts w:ascii="Times New Roman" w:cs="Times New Roman" w:eastAsia="Times New Roman" w:hAnsi="Times New Roman"/>
                <w:sz w:val="15"/>
                <w:szCs w:val="15"/>
                <w:b w:val="1"/>
                <w:bCs w:val="1"/>
                <w:color w:val="auto"/>
              </w:rPr>
              <w:t>September 26,</w:t>
            </w:r>
          </w:p>
        </w:tc>
        <w:tc>
          <w:tcPr>
            <w:tcW w:w="1520" w:type="dxa"/>
            <w:vAlign w:val="bottom"/>
          </w:tcPr>
          <w:p>
            <w:pPr>
              <w:jc w:val="right"/>
              <w:ind w:right="237"/>
              <w:spacing w:after="0"/>
              <w:rPr>
                <w:sz w:val="20"/>
                <w:szCs w:val="20"/>
                <w:color w:val="auto"/>
              </w:rPr>
            </w:pPr>
            <w:r>
              <w:rPr>
                <w:rFonts w:ascii="Times New Roman" w:cs="Times New Roman" w:eastAsia="Times New Roman" w:hAnsi="Times New Roman"/>
                <w:sz w:val="15"/>
                <w:szCs w:val="15"/>
                <w:b w:val="1"/>
                <w:bCs w:val="1"/>
                <w:color w:val="auto"/>
              </w:rPr>
              <w:t>September 27,</w:t>
            </w:r>
          </w:p>
        </w:tc>
      </w:tr>
      <w:tr>
        <w:trPr>
          <w:trHeight w:val="220"/>
        </w:trPr>
        <w:tc>
          <w:tcPr>
            <w:tcW w:w="8020" w:type="dxa"/>
            <w:vAlign w:val="bottom"/>
          </w:tcPr>
          <w:p>
            <w:pPr>
              <w:spacing w:after="0"/>
              <w:rPr>
                <w:sz w:val="19"/>
                <w:szCs w:val="19"/>
                <w:color w:val="auto"/>
              </w:rPr>
            </w:pPr>
          </w:p>
        </w:tc>
        <w:tc>
          <w:tcPr>
            <w:tcW w:w="1700" w:type="dxa"/>
            <w:vAlign w:val="bottom"/>
          </w:tcPr>
          <w:p>
            <w:pPr>
              <w:jc w:val="right"/>
              <w:ind w:right="698"/>
              <w:spacing w:after="0"/>
              <w:rPr>
                <w:sz w:val="20"/>
                <w:szCs w:val="20"/>
                <w:color w:val="auto"/>
              </w:rPr>
            </w:pPr>
            <w:r>
              <w:rPr>
                <w:rFonts w:ascii="Times New Roman" w:cs="Times New Roman" w:eastAsia="Times New Roman" w:hAnsi="Times New Roman"/>
                <w:sz w:val="15"/>
                <w:szCs w:val="15"/>
                <w:b w:val="1"/>
                <w:bCs w:val="1"/>
                <w:color w:val="auto"/>
              </w:rPr>
              <w:t>2026</w:t>
            </w:r>
          </w:p>
        </w:tc>
        <w:tc>
          <w:tcPr>
            <w:tcW w:w="1520" w:type="dxa"/>
            <w:vAlign w:val="bottom"/>
          </w:tcPr>
          <w:p>
            <w:pPr>
              <w:jc w:val="right"/>
              <w:ind w:right="557"/>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23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operating and finance lease assets obtained in exchange for lease liabilities</w:t>
            </w:r>
          </w:p>
        </w:tc>
        <w:tc>
          <w:tcPr>
            <w:tcW w:w="170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13,790</w:t>
            </w:r>
          </w:p>
        </w:tc>
        <w:tc>
          <w:tcPr>
            <w:tcW w:w="15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7,172</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 through settlement of deposit</w:t>
            </w:r>
          </w:p>
        </w:tc>
        <w:tc>
          <w:tcPr>
            <w:tcW w:w="170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12,000</w:t>
            </w:r>
          </w:p>
        </w:tc>
        <w:tc>
          <w:tcPr>
            <w:tcW w:w="15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00" w:right="339" w:bottom="1440" w:gutter="0" w:footer="0" w:header="0"/>
        </w:sectPr>
      </w:pPr>
    </w:p>
    <w:bookmarkStart w:id="14" w:name="page15"/>
    <w:bookmarkEnd w:id="14"/>
    <w:p>
      <w:pPr>
        <w:ind w:left="48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3157220</wp:posOffset>
            </wp:positionH>
            <wp:positionV relativeFrom="page">
              <wp:posOffset>88900</wp:posOffset>
            </wp:positionV>
            <wp:extent cx="1234440" cy="4629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t>Latham Group, Inc.</w:t>
      </w:r>
    </w:p>
    <w:p>
      <w:pPr>
        <w:spacing w:after="0" w:line="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Adjusted EBITDA and Adjusted EBITDA Margin Reconciliation</w:t>
      </w:r>
    </w:p>
    <w:p>
      <w:pPr>
        <w:jc w:val="center"/>
        <w:spacing w:after="0" w:line="219" w:lineRule="auto"/>
        <w:rPr>
          <w:sz w:val="20"/>
          <w:szCs w:val="20"/>
          <w:color w:val="auto"/>
        </w:rPr>
      </w:pPr>
      <w:r>
        <w:rPr>
          <w:rFonts w:ascii="Times New Roman" w:cs="Times New Roman" w:eastAsia="Times New Roman" w:hAnsi="Times New Roman"/>
          <w:sz w:val="18"/>
          <w:szCs w:val="18"/>
          <w:i w:val="1"/>
          <w:iCs w:val="1"/>
          <w:color w:val="auto"/>
        </w:rPr>
        <w:t>(Non-GAAP Reconciliation)</w:t>
      </w: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4"/>
          </w:tcPr>
          <w:p>
            <w:pPr>
              <w:jc w:val="right"/>
              <w:ind w:right="1172"/>
              <w:spacing w:after="0"/>
              <w:rPr>
                <w:sz w:val="20"/>
                <w:szCs w:val="20"/>
                <w:color w:val="auto"/>
              </w:rPr>
            </w:pPr>
            <w:r>
              <w:rPr>
                <w:rFonts w:ascii="Times New Roman" w:cs="Times New Roman" w:eastAsia="Times New Roman" w:hAnsi="Times New Roman"/>
                <w:sz w:val="14"/>
                <w:szCs w:val="14"/>
                <w:b w:val="1"/>
                <w:bCs w:val="1"/>
                <w:color w:val="auto"/>
              </w:rPr>
              <w:t>Fiscal Quarter Ended</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4"/>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Three Fiscal Quarters Ended</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200" w:type="dxa"/>
            <w:vAlign w:val="bottom"/>
          </w:tcPr>
          <w:p>
            <w:pPr>
              <w:spacing w:after="0"/>
              <w:rPr>
                <w:sz w:val="17"/>
                <w:szCs w:val="17"/>
                <w:color w:val="auto"/>
              </w:rPr>
            </w:pPr>
          </w:p>
        </w:tc>
        <w:tc>
          <w:tcPr>
            <w:tcW w:w="18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00" w:type="dxa"/>
            <w:vAlign w:val="bottom"/>
          </w:tcPr>
          <w:p>
            <w:pPr>
              <w:spacing w:after="0"/>
              <w:rPr>
                <w:sz w:val="17"/>
                <w:szCs w:val="17"/>
                <w:color w:val="auto"/>
              </w:rPr>
            </w:pPr>
          </w:p>
        </w:tc>
        <w:tc>
          <w:tcPr>
            <w:tcW w:w="18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180" w:type="dxa"/>
            <w:vAlign w:val="bottom"/>
          </w:tcPr>
          <w:p>
            <w:pPr>
              <w:spacing w:after="0"/>
              <w:rPr>
                <w:sz w:val="17"/>
                <w:szCs w:val="17"/>
                <w:color w:val="auto"/>
              </w:rPr>
            </w:pPr>
          </w:p>
        </w:tc>
        <w:tc>
          <w:tcPr>
            <w:tcW w:w="19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0" w:type="dxa"/>
            <w:vAlign w:val="bottom"/>
          </w:tcPr>
          <w:p>
            <w:pPr>
              <w:spacing w:after="0"/>
              <w:rPr>
                <w:sz w:val="1"/>
                <w:szCs w:val="1"/>
                <w:color w:val="auto"/>
              </w:rPr>
            </w:pPr>
          </w:p>
        </w:tc>
      </w:tr>
      <w:tr>
        <w:trPr>
          <w:trHeight w:val="196"/>
        </w:trPr>
        <w:tc>
          <w:tcPr>
            <w:tcW w:w="29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gridSpan w:val="5"/>
          </w:tcPr>
          <w:p>
            <w:pPr>
              <w:jc w:val="right"/>
              <w:ind w:right="15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16,276</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12,881</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37,978</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19,587</w:t>
            </w: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9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(Gain) loss on sale and disposal of</w:t>
            </w:r>
          </w:p>
        </w:tc>
        <w:tc>
          <w:tcPr>
            <w:tcW w:w="18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ind w:right="340"/>
              <w:spacing w:after="0" w:line="189"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right"/>
              <w:ind w:right="30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Stock-based compensation expense</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9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Unrealized (gains) losses on foreign</w:t>
            </w:r>
          </w:p>
        </w:tc>
        <w:tc>
          <w:tcPr>
            <w:tcW w:w="180" w:type="dxa"/>
            <w:vAlign w:val="bottom"/>
          </w:tcPr>
          <w:p>
            <w:pPr>
              <w:spacing w:after="0"/>
              <w:rPr>
                <w:sz w:val="15"/>
                <w:szCs w:val="15"/>
                <w:color w:val="auto"/>
              </w:rPr>
            </w:pPr>
          </w:p>
        </w:tc>
        <w:tc>
          <w:tcPr>
            <w:tcW w:w="15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(72)</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1,181</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2,155</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(2,878)</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transactions</w:t>
            </w:r>
            <w:r>
              <w:rPr>
                <w:rFonts w:ascii="Times New Roman" w:cs="Times New Roman" w:eastAsia="Times New Roman" w:hAnsi="Times New Roman"/>
                <w:sz w:val="23"/>
                <w:szCs w:val="23"/>
                <w:color w:val="auto"/>
                <w:vertAlign w:val="superscript"/>
              </w:rPr>
              <w:t>(c)</w:t>
            </w: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Strategic initiative costs</w:t>
            </w:r>
            <w:r>
              <w:rPr>
                <w:rFonts w:ascii="Times New Roman" w:cs="Times New Roman" w:eastAsia="Times New Roman" w:hAnsi="Times New Roman"/>
                <w:sz w:val="23"/>
                <w:szCs w:val="23"/>
                <w:color w:val="auto"/>
                <w:vertAlign w:val="superscript"/>
              </w:rPr>
              <w:t>(d)</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9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Acquisition and integration related</w:t>
            </w:r>
          </w:p>
        </w:tc>
        <w:tc>
          <w:tcPr>
            <w:tcW w:w="180" w:type="dxa"/>
            <w:vAlign w:val="bottom"/>
          </w:tcPr>
          <w:p>
            <w:pPr>
              <w:spacing w:after="0"/>
              <w:rPr>
                <w:sz w:val="15"/>
                <w:szCs w:val="15"/>
                <w:color w:val="auto"/>
              </w:rPr>
            </w:pPr>
          </w:p>
        </w:tc>
        <w:tc>
          <w:tcPr>
            <w:tcW w:w="15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3,231</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9,155</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289</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w:t>
            </w:r>
            <w:r>
              <w:rPr>
                <w:rFonts w:ascii="Times New Roman" w:cs="Times New Roman" w:eastAsia="Times New Roman" w:hAnsi="Times New Roman"/>
                <w:sz w:val="23"/>
                <w:szCs w:val="23"/>
                <w:color w:val="auto"/>
                <w:vertAlign w:val="superscript"/>
              </w:rPr>
              <w:t>(e)</w:t>
            </w: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296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Loss on extinguishment and</w:t>
            </w: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5,022</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right"/>
              <w:ind w:right="3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5,022</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jc w:val="right"/>
              <w:ind w:right="360"/>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modifications of debt</w:t>
            </w:r>
            <w:r>
              <w:rPr>
                <w:rFonts w:ascii="Times New Roman" w:cs="Times New Roman" w:eastAsia="Times New Roman" w:hAnsi="Times New Roman"/>
                <w:sz w:val="23"/>
                <w:szCs w:val="23"/>
                <w:color w:val="auto"/>
                <w:vertAlign w:val="superscript"/>
              </w:rPr>
              <w:t>(f)</w:t>
            </w:r>
          </w:p>
        </w:tc>
        <w:tc>
          <w:tcPr>
            <w:tcW w:w="1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(g)</w:t>
            </w:r>
          </w:p>
        </w:tc>
        <w:tc>
          <w:tcPr>
            <w:tcW w:w="180" w:type="dxa"/>
            <w:vAlign w:val="bottom"/>
          </w:tcPr>
          <w:p>
            <w:pPr>
              <w:spacing w:after="0"/>
              <w:rPr>
                <w:sz w:val="21"/>
                <w:szCs w:val="21"/>
                <w:color w:val="auto"/>
              </w:rPr>
            </w:pPr>
          </w:p>
        </w:tc>
        <w:tc>
          <w:tcPr>
            <w:tcW w:w="1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45,254</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38,328</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102,029</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89,354</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6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182,175</w:t>
            </w:r>
          </w:p>
        </w:tc>
        <w:tc>
          <w:tcPr>
            <w:tcW w:w="3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161,903</w:t>
            </w:r>
          </w:p>
        </w:tc>
        <w:tc>
          <w:tcPr>
            <w:tcW w:w="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496,964</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445,962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1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6.6 %</w:t>
            </w:r>
          </w:p>
        </w:tc>
        <w:tc>
          <w:tcPr>
            <w:tcW w:w="20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5.0 %</w:t>
            </w:r>
          </w:p>
        </w:tc>
        <w:tc>
          <w:tcPr>
            <w:tcW w:w="2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3.3 %</w:t>
            </w:r>
          </w:p>
        </w:tc>
        <w:tc>
          <w:tcPr>
            <w:tcW w:w="18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80" w:type="dxa"/>
            <w:vAlign w:val="bottom"/>
          </w:tcPr>
          <w:p>
            <w:pPr>
              <w:spacing w:after="0"/>
              <w:rPr>
                <w:sz w:val="20"/>
                <w:szCs w:val="20"/>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24.8 %</w:t>
            </w:r>
          </w:p>
        </w:tc>
        <w:tc>
          <w:tcPr>
            <w:tcW w:w="200" w:type="dxa"/>
            <w:vAlign w:val="bottom"/>
          </w:tcPr>
          <w:p>
            <w:pPr>
              <w:spacing w:after="0"/>
              <w:rPr>
                <w:sz w:val="20"/>
                <w:szCs w:val="20"/>
                <w:color w:val="auto"/>
              </w:rPr>
            </w:pPr>
          </w:p>
        </w:tc>
        <w:tc>
          <w:tcPr>
            <w:tcW w:w="1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23.7 %</w:t>
            </w:r>
          </w:p>
        </w:tc>
        <w:tc>
          <w:tcPr>
            <w:tcW w:w="20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20.5 %</w:t>
            </w:r>
          </w:p>
        </w:tc>
        <w:tc>
          <w:tcPr>
            <w:tcW w:w="180" w:type="dxa"/>
            <w:vAlign w:val="bottom"/>
          </w:tcPr>
          <w:p>
            <w:pPr>
              <w:spacing w:after="0"/>
              <w:rPr>
                <w:sz w:val="20"/>
                <w:szCs w:val="20"/>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5"/>
        </w:trPr>
        <w:tc>
          <w:tcPr>
            <w:tcW w:w="29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560" w:type="dxa"/>
            <w:vAlign w:val="bottom"/>
            <w:tcBorders>
              <w:top w:val="single" w:sz="8" w:color="auto"/>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560" w:type="dxa"/>
            <w:vAlign w:val="bottom"/>
            <w:tcBorders>
              <w:top w:val="single" w:sz="8" w:color="auto"/>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560" w:type="dxa"/>
            <w:vAlign w:val="bottom"/>
            <w:tcBorders>
              <w:top w:val="single" w:sz="8" w:color="auto"/>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that include severance and other expenses for our program to optimize certain operational and administrative functions.</w:t>
      </w:r>
    </w:p>
    <w:p>
      <w:pPr>
        <w:spacing w:after="0" w:line="15" w:lineRule="exact"/>
        <w:rPr>
          <w:rFonts w:ascii="Times New Roman" w:cs="Times New Roman" w:eastAsia="Times New Roman" w:hAnsi="Times New Roman"/>
          <w:sz w:val="18"/>
          <w:szCs w:val="18"/>
          <w:color w:val="auto"/>
        </w:rPr>
      </w:pPr>
    </w:p>
    <w:p>
      <w:pPr>
        <w:ind w:left="640" w:hanging="308"/>
        <w:spacing w:after="0" w:line="234"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stock-based compensation expense.</w:t>
      </w:r>
    </w:p>
    <w:p>
      <w:pPr>
        <w:ind w:left="660" w:hanging="328"/>
        <w:spacing w:after="0" w:line="23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unrealized foreign currency transaction (gains) losses associated with our international subsidiaries.</w:t>
      </w:r>
    </w:p>
    <w:p>
      <w:pPr>
        <w:ind w:left="640" w:hanging="308"/>
        <w:spacing w:after="0" w:line="234"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paid to external consultants and other expenses for our strategic initiatives.</w:t>
      </w:r>
    </w:p>
    <w:p>
      <w:pPr>
        <w:ind w:left="660" w:right="280" w:hanging="328"/>
        <w:spacing w:after="0" w:line="234" w:lineRule="auto"/>
        <w:tabs>
          <w:tab w:leader="none" w:pos="6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acquisition and integration costs, including the earn-out related to the Coverstar Central acquisition, as well as other costs related to potential transactions.</w:t>
      </w:r>
    </w:p>
    <w:p>
      <w:pPr>
        <w:spacing w:after="0" w:line="1" w:lineRule="exact"/>
        <w:rPr>
          <w:rFonts w:ascii="Times New Roman" w:cs="Times New Roman" w:eastAsia="Times New Roman" w:hAnsi="Times New Roman"/>
          <w:sz w:val="18"/>
          <w:szCs w:val="18"/>
          <w:color w:val="auto"/>
        </w:rPr>
      </w:pPr>
    </w:p>
    <w:p>
      <w:pPr>
        <w:ind w:left="640" w:hanging="308"/>
        <w:spacing w:after="0" w:line="234"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loss on extinguishment and modification of debt in connection with our Refinancing.</w:t>
      </w:r>
    </w:p>
    <w:p>
      <w:pPr>
        <w:ind w:left="660" w:right="40" w:hanging="328"/>
        <w:spacing w:after="0" w:line="243"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consist of other discrete items as determined by management, primarily including: (i) fees paid to external advisors for various matters and (ii)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0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52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Latham Group, Inc.</w:t>
            </w:r>
          </w:p>
        </w:tc>
        <w:tc>
          <w:tcPr>
            <w:tcW w:w="2720" w:type="dxa"/>
            <w:vAlign w:val="bottom"/>
          </w:tcPr>
          <w:p>
            <w:pPr>
              <w:spacing w:after="0"/>
              <w:rPr>
                <w:sz w:val="17"/>
                <w:szCs w:val="17"/>
                <w:color w:val="auto"/>
              </w:rPr>
            </w:pPr>
          </w:p>
        </w:tc>
      </w:tr>
      <w:tr>
        <w:trPr>
          <w:trHeight w:val="205"/>
        </w:trPr>
        <w:tc>
          <w:tcPr>
            <w:tcW w:w="3260" w:type="dxa"/>
            <w:vAlign w:val="bottom"/>
          </w:tcPr>
          <w:p>
            <w:pPr>
              <w:spacing w:after="0"/>
              <w:rPr>
                <w:sz w:val="17"/>
                <w:szCs w:val="17"/>
                <w:color w:val="auto"/>
              </w:rPr>
            </w:pPr>
          </w:p>
        </w:tc>
        <w:tc>
          <w:tcPr>
            <w:tcW w:w="5260" w:type="dxa"/>
            <w:vAlign w:val="bottom"/>
          </w:tcPr>
          <w:p>
            <w:pPr>
              <w:jc w:val="center"/>
              <w:ind w:right="430"/>
              <w:spacing w:after="0" w:line="205" w:lineRule="exact"/>
              <w:rPr>
                <w:sz w:val="20"/>
                <w:szCs w:val="20"/>
                <w:color w:val="auto"/>
              </w:rPr>
            </w:pPr>
            <w:r>
              <w:rPr>
                <w:rFonts w:ascii="Times New Roman" w:cs="Times New Roman" w:eastAsia="Times New Roman" w:hAnsi="Times New Roman"/>
                <w:sz w:val="18"/>
                <w:szCs w:val="18"/>
                <w:b w:val="1"/>
                <w:bCs w:val="1"/>
                <w:color w:val="auto"/>
                <w:w w:val="99"/>
              </w:rPr>
              <w:t>Net Debt Leverage Ratio</w:t>
            </w:r>
          </w:p>
        </w:tc>
        <w:tc>
          <w:tcPr>
            <w:tcW w:w="2720" w:type="dxa"/>
            <w:vAlign w:val="bottom"/>
          </w:tcPr>
          <w:p>
            <w:pPr>
              <w:spacing w:after="0"/>
              <w:rPr>
                <w:sz w:val="17"/>
                <w:szCs w:val="17"/>
                <w:color w:val="auto"/>
              </w:rPr>
            </w:pPr>
          </w:p>
        </w:tc>
      </w:tr>
      <w:tr>
        <w:trPr>
          <w:trHeight w:val="203"/>
        </w:trPr>
        <w:tc>
          <w:tcPr>
            <w:tcW w:w="3260" w:type="dxa"/>
            <w:vAlign w:val="bottom"/>
          </w:tcPr>
          <w:p>
            <w:pPr>
              <w:spacing w:after="0"/>
              <w:rPr>
                <w:sz w:val="17"/>
                <w:szCs w:val="17"/>
                <w:color w:val="auto"/>
              </w:rPr>
            </w:pPr>
          </w:p>
        </w:tc>
        <w:tc>
          <w:tcPr>
            <w:tcW w:w="5260" w:type="dxa"/>
            <w:vAlign w:val="bottom"/>
          </w:tcPr>
          <w:p>
            <w:pPr>
              <w:jc w:val="center"/>
              <w:ind w:right="450"/>
              <w:spacing w:after="0" w:line="202" w:lineRule="exact"/>
              <w:rPr>
                <w:sz w:val="20"/>
                <w:szCs w:val="20"/>
                <w:color w:val="auto"/>
              </w:rPr>
            </w:pPr>
            <w:r>
              <w:rPr>
                <w:rFonts w:ascii="Times New Roman" w:cs="Times New Roman" w:eastAsia="Times New Roman" w:hAnsi="Times New Roman"/>
                <w:sz w:val="18"/>
                <w:szCs w:val="18"/>
                <w:i w:val="1"/>
                <w:iCs w:val="1"/>
                <w:color w:val="auto"/>
              </w:rPr>
              <w:t>(Non-GAAP Reconciliation)</w:t>
            </w:r>
          </w:p>
        </w:tc>
        <w:tc>
          <w:tcPr>
            <w:tcW w:w="2720" w:type="dxa"/>
            <w:vAlign w:val="bottom"/>
          </w:tcPr>
          <w:p>
            <w:pPr>
              <w:spacing w:after="0"/>
              <w:rPr>
                <w:sz w:val="17"/>
                <w:szCs w:val="17"/>
                <w:color w:val="auto"/>
              </w:rPr>
            </w:pPr>
          </w:p>
        </w:tc>
      </w:tr>
      <w:tr>
        <w:trPr>
          <w:trHeight w:val="236"/>
        </w:trPr>
        <w:tc>
          <w:tcPr>
            <w:tcW w:w="3260" w:type="dxa"/>
            <w:vAlign w:val="bottom"/>
          </w:tcPr>
          <w:p>
            <w:pPr>
              <w:spacing w:after="0"/>
              <w:rPr>
                <w:sz w:val="20"/>
                <w:szCs w:val="20"/>
                <w:color w:val="auto"/>
              </w:rPr>
            </w:pPr>
          </w:p>
        </w:tc>
        <w:tc>
          <w:tcPr>
            <w:tcW w:w="5260" w:type="dxa"/>
            <w:vAlign w:val="bottom"/>
          </w:tcPr>
          <w:p>
            <w:pPr>
              <w:jc w:val="center"/>
              <w:ind w:right="45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720" w:type="dxa"/>
            <w:vAlign w:val="bottom"/>
          </w:tcPr>
          <w:p>
            <w:pPr>
              <w:spacing w:after="0"/>
              <w:rPr>
                <w:sz w:val="20"/>
                <w:szCs w:val="20"/>
                <w:color w:val="auto"/>
              </w:rPr>
            </w:pPr>
          </w:p>
        </w:tc>
      </w:tr>
      <w:tr>
        <w:trPr>
          <w:trHeight w:val="506"/>
        </w:trPr>
        <w:tc>
          <w:tcPr>
            <w:tcW w:w="3260" w:type="dxa"/>
            <w:vAlign w:val="bottom"/>
            <w:tcBorders>
              <w:bottom w:val="single" w:sz="8" w:color="CCEEFF"/>
            </w:tcBorders>
          </w:tcPr>
          <w:p>
            <w:pPr>
              <w:spacing w:after="0"/>
              <w:rPr>
                <w:sz w:val="24"/>
                <w:szCs w:val="24"/>
                <w:color w:val="auto"/>
              </w:rPr>
            </w:pPr>
          </w:p>
        </w:tc>
        <w:tc>
          <w:tcPr>
            <w:tcW w:w="5260" w:type="dxa"/>
            <w:vAlign w:val="bottom"/>
            <w:tcBorders>
              <w:bottom w:val="single" w:sz="8" w:color="CCEEFF"/>
            </w:tcBorders>
          </w:tcPr>
          <w:p>
            <w:pPr>
              <w:spacing w:after="0"/>
              <w:rPr>
                <w:sz w:val="24"/>
                <w:szCs w:val="24"/>
                <w:color w:val="auto"/>
              </w:rPr>
            </w:pP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26, 2026</w:t>
            </w:r>
          </w:p>
        </w:tc>
      </w:tr>
      <w:tr>
        <w:trPr>
          <w:trHeight w:val="24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52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292,462</w:t>
            </w:r>
          </w:p>
        </w:tc>
      </w:tr>
      <w:tr>
        <w:trPr>
          <w:trHeight w:val="23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526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24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260" w:type="dxa"/>
            <w:vAlign w:val="bottom"/>
            <w:shd w:val="clear" w:color="auto" w:fill="CCEEFF"/>
          </w:tcPr>
          <w:p>
            <w:pPr>
              <w:spacing w:after="0"/>
              <w:rPr>
                <w:sz w:val="21"/>
                <w:szCs w:val="21"/>
                <w:color w:val="auto"/>
              </w:rPr>
            </w:pP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(94,810)</w:t>
            </w:r>
          </w:p>
        </w:tc>
      </w:tr>
      <w:tr>
        <w:trPr>
          <w:trHeight w:val="232"/>
        </w:trPr>
        <w:tc>
          <w:tcPr>
            <w:tcW w:w="3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Debt</w:t>
            </w:r>
          </w:p>
        </w:tc>
        <w:tc>
          <w:tcPr>
            <w:tcW w:w="5260" w:type="dxa"/>
            <w:vAlign w:val="bottom"/>
          </w:tcPr>
          <w:p>
            <w:pPr>
              <w:spacing w:after="0"/>
              <w:rPr>
                <w:sz w:val="20"/>
                <w:szCs w:val="20"/>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197,652</w:t>
            </w:r>
          </w:p>
        </w:tc>
      </w:tr>
      <w:tr>
        <w:trPr>
          <w:trHeight w:val="274"/>
        </w:trPr>
        <w:tc>
          <w:tcPr>
            <w:tcW w:w="3260" w:type="dxa"/>
            <w:vAlign w:val="bottom"/>
            <w:shd w:val="clear" w:color="auto" w:fill="CCEEFF"/>
          </w:tcPr>
          <w:p>
            <w:pPr>
              <w:spacing w:after="0"/>
              <w:rPr>
                <w:sz w:val="23"/>
                <w:szCs w:val="23"/>
                <w:color w:val="auto"/>
              </w:rPr>
            </w:pPr>
          </w:p>
        </w:tc>
        <w:tc>
          <w:tcPr>
            <w:tcW w:w="5260" w:type="dxa"/>
            <w:vAlign w:val="bottom"/>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r>
      <w:tr>
        <w:trPr>
          <w:trHeight w:val="243"/>
        </w:trPr>
        <w:tc>
          <w:tcPr>
            <w:tcW w:w="326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LTM Adjusted EBITDA</w:t>
            </w:r>
            <w:r>
              <w:rPr>
                <w:rFonts w:ascii="Times New Roman" w:cs="Times New Roman" w:eastAsia="Times New Roman" w:hAnsi="Times New Roman"/>
                <w:sz w:val="23"/>
                <w:szCs w:val="23"/>
                <w:color w:val="auto"/>
                <w:vertAlign w:val="superscript"/>
              </w:rPr>
              <w:t>(1)</w:t>
            </w:r>
          </w:p>
        </w:tc>
        <w:tc>
          <w:tcPr>
            <w:tcW w:w="5260" w:type="dxa"/>
            <w:vAlign w:val="bottom"/>
            <w:tcBorders>
              <w:bottom w:val="single" w:sz="8" w:color="CCEEFF"/>
            </w:tcBorders>
          </w:tcPr>
          <w:p>
            <w:pPr>
              <w:spacing w:after="0"/>
              <w:rPr>
                <w:sz w:val="21"/>
                <w:szCs w:val="21"/>
                <w:color w:val="auto"/>
              </w:rPr>
            </w:pP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112,506</w:t>
            </w:r>
          </w:p>
        </w:tc>
      </w:tr>
      <w:tr>
        <w:trPr>
          <w:trHeight w:val="23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Debt Leverage Ratio</w:t>
            </w:r>
          </w:p>
        </w:tc>
        <w:tc>
          <w:tcPr>
            <w:tcW w:w="5260" w:type="dxa"/>
            <w:vAlign w:val="bottom"/>
            <w:shd w:val="clear" w:color="auto" w:fill="CCEEFF"/>
          </w:tcPr>
          <w:p>
            <w:pPr>
              <w:spacing w:after="0"/>
              <w:rPr>
                <w:sz w:val="20"/>
                <w:szCs w:val="20"/>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3157220</wp:posOffset>
            </wp:positionH>
            <wp:positionV relativeFrom="page">
              <wp:posOffset>88900</wp:posOffset>
            </wp:positionV>
            <wp:extent cx="1234440" cy="462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234440" cy="4629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(1) LTM Adjusted EBITDA is defined as Adjusted EBITDA for the most recent 12-month period.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13</w:t>
      </w:r>
    </w:p>
    <w:sectPr>
      <w:pgSz w:w="11900" w:h="16838" w:orient="portrait"/>
      <w:cols w:equalWidth="0" w:num="1">
        <w:col w:w="11240"/>
      </w:cols>
      <w:pgMar w:left="320" w:top="13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1"/>
      <w:numFmt w:val="decimal"/>
      <w:start w:val="99"/>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lowerRoman"/>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2026-11-03T15:24:31Z</dcterms:created>
  <dcterms:modified xsi:type="dcterms:W3CDTF">2026-11-03T15:24:31Z</dcterms:modified>
</cp:coreProperties>
</file>