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390f98568d134a85aaa8e6619b61fc23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0"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2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10-Q</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5"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20"/>
        <w:jc w:val="left"/>
        <w:rPr/>
      </w:pPr>
      <w:r>
        <w:rPr>
          <w:rFonts w:ascii="Times New Roman;serif" w:hAnsi="Times New Roman;serif"/>
          <w:b w:val="false"/>
          <w:color w:val="000000"/>
          <w:sz w:val="16"/>
        </w:rPr>
        <w:t xml:space="preserve">For the quarterly period ended </w:t>
      </w:r>
      <w:r>
        <w:rPr>
          <w:rFonts w:ascii="Times New Roman;serif" w:hAnsi="Times New Roman;serif"/>
          <w:b/>
          <w:color w:val="000000"/>
          <w:sz w:val="16"/>
          <w:u w:val="single"/>
        </w:rPr>
        <w:t>June 27, 2026</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5"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60"/>
        <w:jc w:val="left"/>
        <w:rPr>
          <w:rFonts w:ascii="Times New Roman;serif" w:hAnsi="Times New Roman;serif"/>
          <w:b w:val="false"/>
          <w:color w:val="000000"/>
          <w:sz w:val="16"/>
        </w:rPr>
      </w:pPr>
      <w:r>
        <w:rPr>
          <w:rFonts w:ascii="Times New Roman;serif" w:hAnsi="Times New Roman;serif"/>
          <w:b w:val="false"/>
          <w:color w:val="000000"/>
          <w:sz w:val="16"/>
        </w:rPr>
        <w:t>For the transition period from _ to _</w:t>
      </w:r>
    </w:p>
    <w:p>
      <w:pPr>
        <w:pStyle w:val="TextBody"/>
        <w:bidi w:val="0"/>
        <w:spacing w:lineRule="auto" w:line="288" w:before="0" w:after="160"/>
        <w:jc w:val="center"/>
        <w:rPr/>
      </w:pPr>
      <w:r>
        <w:rPr>
          <w:rFonts w:ascii="Times New Roman;serif" w:hAnsi="Times New Roman;serif"/>
          <w:b w:val="false"/>
          <w:color w:val="000000"/>
          <w:sz w:val="16"/>
        </w:rPr>
        <w:t xml:space="preserve">Commission file number: </w:t>
      </w:r>
      <w:r>
        <w:rPr>
          <w:rFonts w:ascii="Times New Roman;serif" w:hAnsi="Times New Roman;serif"/>
          <w:b/>
          <w:color w:val="000000"/>
          <w:sz w:val="16"/>
        </w:rPr>
        <w:t>001-40358</w:t>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Latham Group, Inc.</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191" w:type="dxa"/>
        <w:jc w:val="left"/>
        <w:tblInd w:w="0" w:type="dxa"/>
        <w:tblLayout w:type="fixed"/>
        <w:tblCellMar>
          <w:top w:w="28" w:type="dxa"/>
          <w:left w:w="28" w:type="dxa"/>
          <w:bottom w:w="28" w:type="dxa"/>
          <w:right w:w="28" w:type="dxa"/>
        </w:tblCellMar>
      </w:tblPr>
      <w:tblGrid>
        <w:gridCol w:w="1156"/>
        <w:gridCol w:w="1016"/>
        <w:gridCol w:w="1022"/>
        <w:gridCol w:w="109"/>
        <w:gridCol w:w="109"/>
        <w:gridCol w:w="109"/>
        <w:gridCol w:w="778"/>
        <w:gridCol w:w="778"/>
        <w:gridCol w:w="1114"/>
      </w:tblGrid>
      <w:tr>
        <w:trPr/>
        <w:tc>
          <w:tcPr>
            <w:tcW w:w="115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85" w:before="0" w:after="0"/>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5" w:before="0" w:after="0"/>
              <w:jc w:val="center"/>
              <w:rPr>
                <w:rFonts w:ascii="Times New Roman;serif" w:hAnsi="Times New Roman;serif"/>
                <w:b/>
                <w:color w:val="000000"/>
                <w:sz w:val="16"/>
              </w:rPr>
            </w:pPr>
            <w:r>
              <w:rPr>
                <w:rFonts w:ascii="Times New Roman;serif" w:hAnsi="Times New Roman;serif"/>
                <w:b/>
                <w:color w:val="000000"/>
                <w:sz w:val="16"/>
              </w:rPr>
              <w:t>83-2797583</w:t>
            </w:r>
          </w:p>
        </w:tc>
      </w:tr>
      <w:tr>
        <w:trPr/>
        <w:tc>
          <w:tcPr>
            <w:tcW w:w="3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5"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85" w:before="0" w:after="0"/>
              <w:jc w:val="center"/>
              <w:rPr>
                <w:rFonts w:ascii="Times New Roman;serif" w:hAnsi="Times New Roman;serif"/>
                <w:b/>
                <w:color w:val="000000"/>
                <w:sz w:val="16"/>
              </w:rPr>
            </w:pPr>
            <w:r>
              <w:rPr>
                <w:rFonts w:ascii="Times New Roman;serif" w:hAnsi="Times New Roman;serif"/>
                <w:b/>
                <w:color w:val="000000"/>
                <w:sz w:val="16"/>
              </w:rPr>
              <w:t>787 Watervliet Shaker Road, Latham, 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5" w:before="0" w:after="0"/>
              <w:jc w:val="center"/>
              <w:rPr>
                <w:rFonts w:ascii="Times New Roman;serif" w:hAnsi="Times New Roman;serif"/>
                <w:b/>
                <w:color w:val="000000"/>
                <w:sz w:val="16"/>
              </w:rPr>
            </w:pPr>
            <w:r>
              <w:rPr>
                <w:rFonts w:ascii="Times New Roman;serif" w:hAnsi="Times New Roman;serif"/>
                <w:b/>
                <w:color w:val="000000"/>
                <w:sz w:val="16"/>
              </w:rPr>
              <w:t>12110</w:t>
            </w:r>
          </w:p>
        </w:tc>
      </w:tr>
      <w:tr>
        <w:trPr/>
        <w:tc>
          <w:tcPr>
            <w:tcW w:w="3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5"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5"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(800) 833-3800</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p>
      <w:pPr>
        <w:pStyle w:val="TextBody"/>
        <w:bidi w:val="0"/>
        <w:spacing w:lineRule="auto" w:line="288" w:before="0" w:after="6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979" w:type="dxa"/>
        <w:jc w:val="left"/>
        <w:tblInd w:w="0" w:type="dxa"/>
        <w:tblLayout w:type="fixed"/>
        <w:tblCellMar>
          <w:top w:w="28" w:type="dxa"/>
          <w:left w:w="28" w:type="dxa"/>
          <w:bottom w:w="28" w:type="dxa"/>
          <w:right w:w="28" w:type="dxa"/>
        </w:tblCellMar>
      </w:tblPr>
      <w:tblGrid>
        <w:gridCol w:w="1207"/>
        <w:gridCol w:w="1054"/>
        <w:gridCol w:w="1069"/>
        <w:gridCol w:w="474"/>
        <w:gridCol w:w="474"/>
        <w:gridCol w:w="476"/>
        <w:gridCol w:w="945"/>
        <w:gridCol w:w="945"/>
        <w:gridCol w:w="1335"/>
      </w:tblGrid>
      <w:tr>
        <w:trPr/>
        <w:tc>
          <w:tcPr>
            <w:tcW w:w="120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85"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85"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25" w:type="dxa"/>
            <w:gridSpan w:val="3"/>
            <w:tcBorders/>
            <w:tcMar>
              <w:top w:w="0" w:type="dxa"/>
              <w:left w:w="0" w:type="dxa"/>
              <w:bottom w:w="0" w:type="dxa"/>
              <w:right w:w="0" w:type="dxa"/>
            </w:tcMar>
            <w:vAlign w:val="center"/>
          </w:tcPr>
          <w:p>
            <w:pPr>
              <w:pStyle w:val="TableContents"/>
              <w:bidi w:val="0"/>
              <w:spacing w:lineRule="auto" w:line="285"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3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5" w:before="0" w:after="0"/>
              <w:jc w:val="center"/>
              <w:rPr>
                <w:rFonts w:ascii="Times New Roman;serif" w:hAnsi="Times New Roman;serif"/>
                <w:b/>
                <w:color w:val="000000"/>
                <w:sz w:val="16"/>
              </w:rPr>
            </w:pPr>
            <w:r>
              <w:rPr>
                <w:rFonts w:ascii="Times New Roman;serif" w:hAnsi="Times New Roman;serif"/>
                <w:b/>
                <w:color w:val="000000"/>
                <w:sz w:val="16"/>
              </w:rPr>
              <w:t>Common stock, par value $0.0001 per share</w:t>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5" w:before="0" w:after="0"/>
              <w:jc w:val="center"/>
              <w:rPr>
                <w:rFonts w:ascii="Times New Roman;serif" w:hAnsi="Times New Roman;serif"/>
                <w:b/>
                <w:color w:val="000000"/>
                <w:sz w:val="16"/>
              </w:rPr>
            </w:pPr>
            <w:r>
              <w:rPr>
                <w:rFonts w:ascii="Times New Roman;serif" w:hAnsi="Times New Roman;serif"/>
                <w:b/>
                <w:color w:val="000000"/>
                <w:sz w:val="16"/>
              </w:rPr>
              <w:t>SWIM</w:t>
            </w:r>
          </w:p>
        </w:tc>
        <w:tc>
          <w:tcPr>
            <w:tcW w:w="32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5" w:before="0" w:after="0"/>
              <w:jc w:val="center"/>
              <w:rPr>
                <w:rFonts w:ascii="Times New Roman;serif" w:hAnsi="Times New Roman;serif"/>
                <w:b/>
                <w:color w:val="000000"/>
                <w:sz w:val="16"/>
              </w:rPr>
            </w:pPr>
            <w:r>
              <w:rPr>
                <w:rFonts w:ascii="Times New Roman;serif" w:hAnsi="Times New Roman;serif"/>
                <w:b/>
                <w:color w:val="000000"/>
                <w:sz w:val="16"/>
              </w:rPr>
              <w:t>The Nasdaq Stock Market LLC</w:t>
            </w:r>
          </w:p>
        </w:tc>
      </w:tr>
    </w:tbl>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1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183"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414"/>
        <w:gridCol w:w="414"/>
        <w:gridCol w:w="416"/>
        <w:gridCol w:w="109"/>
        <w:gridCol w:w="109"/>
        <w:gridCol w:w="109"/>
        <w:gridCol w:w="519"/>
        <w:gridCol w:w="519"/>
        <w:gridCol w:w="521"/>
        <w:gridCol w:w="109"/>
        <w:gridCol w:w="109"/>
        <w:gridCol w:w="109"/>
        <w:gridCol w:w="669"/>
        <w:gridCol w:w="669"/>
        <w:gridCol w:w="672"/>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304" w:before="0" w:after="283"/>
              <w:jc w:val="left"/>
              <w:rPr>
                <w:color w:val="000000"/>
              </w:rPr>
            </w:pPr>
            <w:r>
              <w:rPr>
                <w:color w:val="000000"/>
              </w:rPr>
              <w:t>☐</w:t>
            </w:r>
          </w:p>
        </w:tc>
        <w:tc>
          <w:tcPr>
            <w:tcW w:w="1244" w:type="dxa"/>
            <w:gridSpan w:val="3"/>
            <w:tcBorders/>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304" w:before="0" w:after="283"/>
              <w:jc w:val="left"/>
              <w:rPr>
                <w:color w:val="000000"/>
              </w:rPr>
            </w:pPr>
            <w:r>
              <w:rPr>
                <w:color w:val="000000"/>
              </w:rPr>
              <w:t>☒</w:t>
            </w:r>
          </w:p>
        </w:tc>
        <w:tc>
          <w:tcPr>
            <w:tcW w:w="1559" w:type="dxa"/>
            <w:gridSpan w:val="3"/>
            <w:tcBorders/>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304" w:before="0" w:after="283"/>
              <w:jc w:val="left"/>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304"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304" w:before="0" w:after="283"/>
              <w:jc w:val="left"/>
              <w:rPr>
                <w:color w:val="000000"/>
              </w:rPr>
            </w:pPr>
            <w:r>
              <w:rPr>
                <w:color w:val="000000"/>
              </w:rPr>
              <w:t>☒</w:t>
            </w:r>
          </w:p>
        </w:tc>
      </w:tr>
    </w:tbl>
    <w:p>
      <w:pPr>
        <w:pStyle w:val="TextBody"/>
        <w:bidi w:val="0"/>
        <w:spacing w:lineRule="auto" w:line="288" w:before="0" w:after="60"/>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Exchange Act). Yes  ☐  No  ☒</w:t>
      </w:r>
    </w:p>
    <w:p>
      <w:pPr>
        <w:pStyle w:val="TextBody"/>
        <w:bidi w:val="0"/>
        <w:spacing w:lineRule="auto" w:line="288" w:before="0" w:after="60"/>
        <w:jc w:val="left"/>
        <w:rPr>
          <w:rFonts w:ascii="Times New Roman;serif" w:hAnsi="Times New Roman;serif"/>
          <w:b w:val="false"/>
          <w:color w:val="000000"/>
          <w:sz w:val="16"/>
        </w:rPr>
      </w:pPr>
      <w:r>
        <w:rPr>
          <w:rFonts w:ascii="Times New Roman;serif" w:hAnsi="Times New Roman;serif"/>
          <w:b w:val="false"/>
          <w:color w:val="000000"/>
          <w:sz w:val="16"/>
        </w:rPr>
        <w:t>As of July 31, 2026, 117,646,086 shares of the registrant’s common stock, $0.0001 par value, were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bottom w:val="single" w:sz="20"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390f98568d134a85aaa8e6619b61fc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577" w:type="dxa"/>
        <w:jc w:val="left"/>
        <w:tblInd w:w="0" w:type="dxa"/>
        <w:tblLayout w:type="fixed"/>
        <w:tblCellMar>
          <w:top w:w="28" w:type="dxa"/>
          <w:left w:w="28" w:type="dxa"/>
          <w:bottom w:w="28" w:type="dxa"/>
          <w:right w:w="28" w:type="dxa"/>
        </w:tblCellMar>
      </w:tblPr>
      <w:tblGrid>
        <w:gridCol w:w="2973"/>
        <w:gridCol w:w="2610"/>
        <w:gridCol w:w="2622"/>
        <w:gridCol w:w="109"/>
        <w:gridCol w:w="109"/>
        <w:gridCol w:w="154"/>
      </w:tblGrid>
      <w:tr>
        <w:trPr/>
        <w:tc>
          <w:tcPr>
            <w:tcW w:w="2973" w:type="dxa"/>
            <w:tcBorders/>
            <w:vAlign w:val="center"/>
          </w:tcPr>
          <w:p>
            <w:pPr>
              <w:pStyle w:val="TableContents"/>
              <w:bidi w:val="0"/>
              <w:spacing w:before="0" w:after="283"/>
              <w:jc w:val="left"/>
              <w:rPr>
                <w:sz w:val="4"/>
                <w:szCs w:val="4"/>
              </w:rPr>
            </w:pPr>
            <w:r>
              <w:rPr>
                <w:sz w:val="4"/>
                <w:szCs w:val="4"/>
              </w:rPr>
            </w:r>
          </w:p>
        </w:tc>
        <w:tc>
          <w:tcPr>
            <w:tcW w:w="2610"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pPr>
            <w:hyperlink w:anchor="i390f98568d134a85aaa8e6619b61fc23_10">
              <w:r>
                <w:rPr>
                  <w:rStyle w:val="InternetLink"/>
                  <w:rFonts w:ascii="Times New Roman;serif" w:hAnsi="Times New Roman;serif"/>
                  <w:b/>
                  <w:color w:val="0000FF"/>
                  <w:sz w:val="20"/>
                  <w:u w:val="single"/>
                </w:rPr>
                <w:t>PART I — FINANCIAL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90f98568d134a85aaa8e6619b61fc23_10">
              <w:r>
                <w:rPr>
                  <w:rStyle w:val="InternetLink"/>
                  <w:rFonts w:ascii="Times New Roman;serif" w:hAnsi="Times New Roman;serif"/>
                  <w:b w:val="false"/>
                  <w:strike w:val="false"/>
                  <w:dstrike w:val="false"/>
                  <w:color w:val="000000"/>
                  <w:sz w:val="20"/>
                  <w:u w:val="none"/>
                  <w:effect w:val="none"/>
                </w:rPr>
                <w:t>3</w:t>
              </w:r>
            </w:hyperlink>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pPr>
            <w:hyperlink w:anchor="i390f98568d134a85aaa8e6619b61fc23_13">
              <w:r>
                <w:rPr>
                  <w:rStyle w:val="InternetLink"/>
                  <w:rFonts w:ascii="Times New Roman;serif" w:hAnsi="Times New Roman;serif"/>
                  <w:b/>
                  <w:color w:val="0000FF"/>
                  <w:sz w:val="20"/>
                  <w:u w:val="single"/>
                </w:rPr>
                <w:t>Item 1. Financial Statements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390f98568d134a85aaa8e6619b61fc23_13">
              <w:r>
                <w:rPr>
                  <w:rStyle w:val="InternetLink"/>
                  <w:rFonts w:ascii="Times New Roman;serif" w:hAnsi="Times New Roman;serif"/>
                  <w:b w:val="false"/>
                  <w:strike w:val="false"/>
                  <w:dstrike w:val="false"/>
                  <w:color w:val="000000"/>
                  <w:sz w:val="20"/>
                  <w:u w:val="none"/>
                  <w:effect w:val="none"/>
                </w:rPr>
                <w:t>3</w:t>
              </w:r>
            </w:hyperlink>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pPr>
            <w:hyperlink w:anchor="i390f98568d134a85aaa8e6619b61fc23_82">
              <w:r>
                <w:rPr>
                  <w:rStyle w:val="InternetLink"/>
                  <w:rFonts w:ascii="Times New Roman;serif" w:hAnsi="Times New Roman;serif"/>
                  <w:b/>
                  <w:color w:val="0000FF"/>
                  <w:sz w:val="20"/>
                  <w:u w:val="single"/>
                </w:rPr>
                <w:t>Item 2. Management’s Discussion and Analysis of Financial Condition and Results of Operations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90f98568d134a85aaa8e6619b61fc23_82">
              <w:r>
                <w:rPr>
                  <w:rStyle w:val="InternetLink"/>
                  <w:rFonts w:ascii="Times New Roman;serif" w:hAnsi="Times New Roman;serif"/>
                  <w:b w:val="false"/>
                  <w:strike w:val="false"/>
                  <w:dstrike w:val="false"/>
                  <w:color w:val="000000"/>
                  <w:sz w:val="20"/>
                  <w:u w:val="none"/>
                  <w:effect w:val="none"/>
                </w:rPr>
                <w:t>23</w:t>
              </w:r>
            </w:hyperlink>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pPr>
            <w:hyperlink w:anchor="i390f98568d134a85aaa8e6619b61fc23_124">
              <w:r>
                <w:rPr>
                  <w:rStyle w:val="InternetLink"/>
                  <w:rFonts w:ascii="Times New Roman;serif" w:hAnsi="Times New Roman;serif"/>
                  <w:b/>
                  <w:color w:val="0000FF"/>
                  <w:sz w:val="20"/>
                  <w:u w:val="single"/>
                </w:rPr>
                <w:t>Item 3. Quantitative and Qualitative Disclosures About Market Risk</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390f98568d134a85aaa8e6619b61fc23_124">
              <w:r>
                <w:rPr>
                  <w:rStyle w:val="InternetLink"/>
                  <w:rFonts w:ascii="Times New Roman;serif" w:hAnsi="Times New Roman;serif"/>
                  <w:b w:val="false"/>
                  <w:strike w:val="false"/>
                  <w:dstrike w:val="false"/>
                  <w:color w:val="000000"/>
                  <w:sz w:val="20"/>
                  <w:u w:val="none"/>
                  <w:effect w:val="none"/>
                </w:rPr>
                <w:t>36</w:t>
              </w:r>
            </w:hyperlink>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pPr>
            <w:hyperlink w:anchor="i390f98568d134a85aaa8e6619b61fc23_127">
              <w:r>
                <w:rPr>
                  <w:rStyle w:val="InternetLink"/>
                  <w:rFonts w:ascii="Times New Roman;serif" w:hAnsi="Times New Roman;serif"/>
                  <w:b/>
                  <w:color w:val="0000FF"/>
                  <w:sz w:val="20"/>
                  <w:u w:val="single"/>
                </w:rPr>
                <w:t>Item 4. Controls and Procedures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90f98568d134a85aaa8e6619b61fc23_127">
              <w:r>
                <w:rPr>
                  <w:rStyle w:val="InternetLink"/>
                  <w:rFonts w:ascii="Times New Roman;serif" w:hAnsi="Times New Roman;serif"/>
                  <w:b w:val="false"/>
                  <w:strike w:val="false"/>
                  <w:dstrike w:val="false"/>
                  <w:color w:val="000000"/>
                  <w:sz w:val="20"/>
                  <w:u w:val="none"/>
                  <w:effect w:val="none"/>
                </w:rPr>
                <w:t>36</w:t>
              </w:r>
            </w:hyperlink>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pPr>
            <w:hyperlink w:anchor="i390f98568d134a85aaa8e6619b61fc23_130">
              <w:r>
                <w:rPr>
                  <w:rStyle w:val="InternetLink"/>
                  <w:rFonts w:ascii="Times New Roman;serif" w:hAnsi="Times New Roman;serif"/>
                  <w:b/>
                  <w:color w:val="0000FF"/>
                  <w:sz w:val="20"/>
                  <w:u w:val="single"/>
                </w:rPr>
                <w:t>PART II — OTHER INFORMATION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390f98568d134a85aaa8e6619b61fc23_130">
              <w:r>
                <w:rPr>
                  <w:rStyle w:val="InternetLink"/>
                  <w:rFonts w:ascii="Times New Roman;serif" w:hAnsi="Times New Roman;serif"/>
                  <w:b w:val="false"/>
                  <w:strike w:val="false"/>
                  <w:dstrike w:val="false"/>
                  <w:color w:val="000000"/>
                  <w:sz w:val="20"/>
                  <w:u w:val="none"/>
                  <w:effect w:val="none"/>
                </w:rPr>
                <w:t>38</w:t>
              </w:r>
            </w:hyperlink>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pPr>
            <w:hyperlink w:anchor="i390f98568d134a85aaa8e6619b61fc23_133">
              <w:r>
                <w:rPr>
                  <w:rStyle w:val="InternetLink"/>
                  <w:rFonts w:ascii="Times New Roman;serif" w:hAnsi="Times New Roman;serif"/>
                  <w:b/>
                  <w:color w:val="0000FF"/>
                  <w:sz w:val="20"/>
                  <w:u w:val="single"/>
                </w:rPr>
                <w:t>Item 1. Legal Proceedings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90f98568d134a85aaa8e6619b61fc23_133">
              <w:r>
                <w:rPr>
                  <w:rStyle w:val="InternetLink"/>
                  <w:rFonts w:ascii="Times New Roman;serif" w:hAnsi="Times New Roman;serif"/>
                  <w:b w:val="false"/>
                  <w:strike w:val="false"/>
                  <w:dstrike w:val="false"/>
                  <w:color w:val="000000"/>
                  <w:sz w:val="20"/>
                  <w:u w:val="none"/>
                  <w:effect w:val="none"/>
                </w:rPr>
                <w:t>38</w:t>
              </w:r>
            </w:hyperlink>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pPr>
            <w:hyperlink w:anchor="i390f98568d134a85aaa8e6619b61fc23_136">
              <w:r>
                <w:rPr>
                  <w:rStyle w:val="InternetLink"/>
                  <w:rFonts w:ascii="Times New Roman;serif" w:hAnsi="Times New Roman;serif"/>
                  <w:b/>
                  <w:color w:val="0000FF"/>
                  <w:sz w:val="20"/>
                  <w:u w:val="single"/>
                </w:rPr>
                <w:t>Item 1A. Risk Factors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390f98568d134a85aaa8e6619b61fc23_136">
              <w:r>
                <w:rPr>
                  <w:rStyle w:val="InternetLink"/>
                  <w:rFonts w:ascii="Times New Roman;serif" w:hAnsi="Times New Roman;serif"/>
                  <w:b w:val="false"/>
                  <w:strike w:val="false"/>
                  <w:dstrike w:val="false"/>
                  <w:color w:val="000000"/>
                  <w:sz w:val="20"/>
                  <w:u w:val="none"/>
                  <w:effect w:val="none"/>
                </w:rPr>
                <w:t>38</w:t>
              </w:r>
            </w:hyperlink>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pPr>
            <w:hyperlink w:anchor="i390f98568d134a85aaa8e6619b61fc23_139">
              <w:r>
                <w:rPr>
                  <w:rStyle w:val="InternetLink"/>
                  <w:rFonts w:ascii="Times New Roman;serif" w:hAnsi="Times New Roman;serif"/>
                  <w:b/>
                  <w:color w:val="0000FF"/>
                  <w:sz w:val="20"/>
                  <w:u w:val="single"/>
                </w:rPr>
                <w:t>Item 5. Other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90f98568d134a85aaa8e6619b61fc23_139">
              <w:r>
                <w:rPr>
                  <w:rStyle w:val="InternetLink"/>
                  <w:rFonts w:ascii="Times New Roman;serif" w:hAnsi="Times New Roman;serif"/>
                  <w:b w:val="false"/>
                  <w:strike w:val="false"/>
                  <w:dstrike w:val="false"/>
                  <w:color w:val="000000"/>
                  <w:sz w:val="20"/>
                  <w:u w:val="none"/>
                  <w:effect w:val="none"/>
                </w:rPr>
                <w:t>40</w:t>
              </w:r>
            </w:hyperlink>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pPr>
            <w:hyperlink w:anchor="i390f98568d134a85aaa8e6619b61fc23_142">
              <w:r>
                <w:rPr>
                  <w:rStyle w:val="InternetLink"/>
                  <w:rFonts w:ascii="Times New Roman;serif" w:hAnsi="Times New Roman;serif"/>
                  <w:b/>
                  <w:color w:val="0000FF"/>
                  <w:sz w:val="20"/>
                  <w:u w:val="single"/>
                </w:rPr>
                <w:t>Item 6. Exhibits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390f98568d134a85aaa8e6619b61fc23_142">
              <w:r>
                <w:rPr>
                  <w:rStyle w:val="InternetLink"/>
                  <w:rFonts w:ascii="Times New Roman;serif" w:hAnsi="Times New Roman;serif"/>
                  <w:b w:val="false"/>
                  <w:strike w:val="false"/>
                  <w:dstrike w:val="false"/>
                  <w:color w:val="000000"/>
                  <w:sz w:val="20"/>
                  <w:u w:val="none"/>
                  <w:effect w:val="none"/>
                </w:rPr>
                <w:t>41</w:t>
              </w:r>
            </w:hyperlink>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pPr>
            <w:hyperlink w:anchor="i390f98568d134a85aaa8e6619b61fc23_145">
              <w:r>
                <w:rPr>
                  <w:rStyle w:val="InternetLink"/>
                  <w:rFonts w:ascii="Times New Roman;serif" w:hAnsi="Times New Roman;serif"/>
                  <w:b/>
                  <w:color w:val="0000FF"/>
                  <w:sz w:val="20"/>
                  <w:u w:val="single"/>
                </w:rPr>
                <w:t>SIGNATURES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90f98568d134a85aaa8e6619b61fc23_145">
              <w:r>
                <w:rPr>
                  <w:rStyle w:val="InternetLink"/>
                  <w:rFonts w:ascii="Times New Roman;serif" w:hAnsi="Times New Roman;serif"/>
                  <w:b w:val="false"/>
                  <w:strike w:val="false"/>
                  <w:dstrike w:val="false"/>
                  <w:color w:val="000000"/>
                  <w:sz w:val="20"/>
                  <w:u w:val="none"/>
                  <w:effect w:val="none"/>
                </w:rPr>
                <w:t>42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390f98568d134a85aaa8e6619b61fc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Index to Condensed Consolidated Financial Statements (Unaudited)</w:t>
      </w:r>
    </w:p>
    <w:tbl>
      <w:tblPr>
        <w:tblW w:w="5652" w:type="dxa"/>
        <w:jc w:val="left"/>
        <w:tblInd w:w="0" w:type="dxa"/>
        <w:tblLayout w:type="fixed"/>
        <w:tblCellMar>
          <w:top w:w="28" w:type="dxa"/>
          <w:left w:w="28" w:type="dxa"/>
          <w:bottom w:w="28" w:type="dxa"/>
          <w:right w:w="28" w:type="dxa"/>
        </w:tblCellMar>
      </w:tblPr>
      <w:tblGrid>
        <w:gridCol w:w="1911"/>
        <w:gridCol w:w="1681"/>
        <w:gridCol w:w="1688"/>
        <w:gridCol w:w="109"/>
        <w:gridCol w:w="109"/>
        <w:gridCol w:w="154"/>
      </w:tblGrid>
      <w:tr>
        <w:trPr/>
        <w:tc>
          <w:tcPr>
            <w:tcW w:w="191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pPr>
            <w:hyperlink w:anchor="i390f98568d134a85aaa8e6619b61fc23_16">
              <w:r>
                <w:rPr>
                  <w:rStyle w:val="InternetLink"/>
                  <w:rFonts w:ascii="Times New Roman;serif" w:hAnsi="Times New Roman;serif"/>
                  <w:b w:val="false"/>
                  <w:color w:val="0000FF"/>
                  <w:sz w:val="20"/>
                  <w:u w:val="single"/>
                </w:rPr>
                <w:t>Condensed Consolidated Balance Sheets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90f98568d134a85aaa8e6619b61fc23_16">
              <w:r>
                <w:rPr>
                  <w:rStyle w:val="InternetLink"/>
                  <w:rFonts w:ascii="Times New Roman;serif" w:hAnsi="Times New Roman;serif"/>
                  <w:b w:val="false"/>
                  <w:strike w:val="false"/>
                  <w:dstrike w:val="false"/>
                  <w:color w:val="000000"/>
                  <w:sz w:val="20"/>
                  <w:u w:val="none"/>
                  <w:effect w:val="none"/>
                </w:rPr>
                <w:t>4</w:t>
              </w:r>
            </w:hyperlink>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pPr>
            <w:hyperlink w:anchor="i390f98568d134a85aaa8e6619b61fc23_19">
              <w:r>
                <w:rPr>
                  <w:rStyle w:val="InternetLink"/>
                  <w:rFonts w:ascii="Times New Roman;serif" w:hAnsi="Times New Roman;serif"/>
                  <w:b w:val="false"/>
                  <w:color w:val="0000FF"/>
                  <w:sz w:val="20"/>
                  <w:u w:val="single"/>
                </w:rPr>
                <w:t>Condensed Consolidated Statements of Operations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390f98568d134a85aaa8e6619b61fc23_19">
              <w:r>
                <w:rPr>
                  <w:rStyle w:val="InternetLink"/>
                  <w:rFonts w:ascii="Times New Roman;serif" w:hAnsi="Times New Roman;serif"/>
                  <w:b w:val="false"/>
                  <w:strike w:val="false"/>
                  <w:dstrike w:val="false"/>
                  <w:color w:val="000000"/>
                  <w:sz w:val="20"/>
                  <w:u w:val="none"/>
                  <w:effect w:val="none"/>
                </w:rPr>
                <w:t>5</w:t>
              </w:r>
            </w:hyperlink>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pPr>
            <w:hyperlink w:anchor="i390f98568d134a85aaa8e6619b61fc23_22">
              <w:r>
                <w:rPr>
                  <w:rStyle w:val="InternetLink"/>
                  <w:rFonts w:ascii="Times New Roman;serif" w:hAnsi="Times New Roman;serif"/>
                  <w:b w:val="false"/>
                  <w:color w:val="000080"/>
                  <w:sz w:val="20"/>
                  <w:u w:val="single"/>
                </w:rPr>
                <w:t>Condensed Consolidated Statements of Comprehensive</w:t>
              </w:r>
            </w:hyperlink>
            <w:hyperlink w:anchor="i390f98568d134a85aaa8e6619b61fc23_22">
              <w:r>
                <w:rPr>
                  <w:rStyle w:val="InternetLink"/>
                  <w:rFonts w:ascii="Times New Roman;serif" w:hAnsi="Times New Roman;serif"/>
                  <w:b w:val="false"/>
                  <w:color w:val="000080"/>
                  <w:sz w:val="20"/>
                  <w:u w:val="single"/>
                </w:rPr>
                <w:t xml:space="preserve"> Income</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90f98568d134a85aaa8e6619b61fc23_22">
              <w:r>
                <w:rPr>
                  <w:rStyle w:val="InternetLink"/>
                  <w:rFonts w:ascii="Times New Roman;serif" w:hAnsi="Times New Roman;serif"/>
                  <w:b w:val="false"/>
                  <w:strike w:val="false"/>
                  <w:dstrike w:val="false"/>
                  <w:color w:val="000000"/>
                  <w:sz w:val="20"/>
                  <w:u w:val="none"/>
                  <w:effect w:val="none"/>
                </w:rPr>
                <w:t>6</w:t>
              </w:r>
            </w:hyperlink>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pPr>
            <w:hyperlink w:anchor="i390f98568d134a85aaa8e6619b61fc23_25">
              <w:r>
                <w:rPr>
                  <w:rStyle w:val="InternetLink"/>
                  <w:rFonts w:ascii="Times New Roman;serif" w:hAnsi="Times New Roman;serif"/>
                  <w:b w:val="false"/>
                  <w:color w:val="0000FF"/>
                  <w:sz w:val="20"/>
                  <w:u w:val="single"/>
                </w:rPr>
                <w:t>Condensed Consolidated Statements of Stockholders’ Equity</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390f98568d134a85aaa8e6619b61fc23_25">
              <w:r>
                <w:rPr>
                  <w:rStyle w:val="InternetLink"/>
                  <w:rFonts w:ascii="Times New Roman;serif" w:hAnsi="Times New Roman;serif"/>
                  <w:b w:val="false"/>
                  <w:strike w:val="false"/>
                  <w:dstrike w:val="false"/>
                  <w:color w:val="000000"/>
                  <w:sz w:val="20"/>
                  <w:u w:val="none"/>
                  <w:effect w:val="none"/>
                </w:rPr>
                <w:t>7</w:t>
              </w:r>
            </w:hyperlink>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pPr>
            <w:hyperlink w:anchor="i390f98568d134a85aaa8e6619b61fc23_28">
              <w:r>
                <w:rPr>
                  <w:rStyle w:val="InternetLink"/>
                  <w:rFonts w:ascii="Times New Roman;serif" w:hAnsi="Times New Roman;serif"/>
                  <w:b w:val="false"/>
                  <w:color w:val="0000FF"/>
                  <w:sz w:val="20"/>
                  <w:u w:val="single"/>
                </w:rPr>
                <w:t>Condensed Consolidated Statements of Cash Flows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90f98568d134a85aaa8e6619b61fc23_28">
              <w:r>
                <w:rPr>
                  <w:rStyle w:val="InternetLink"/>
                  <w:rFonts w:ascii="Times New Roman;serif" w:hAnsi="Times New Roman;serif"/>
                  <w:b w:val="false"/>
                  <w:strike w:val="false"/>
                  <w:dstrike w:val="false"/>
                  <w:color w:val="000000"/>
                  <w:sz w:val="20"/>
                  <w:u w:val="none"/>
                  <w:effect w:val="none"/>
                </w:rPr>
                <w:t>9</w:t>
              </w:r>
            </w:hyperlink>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pPr>
            <w:hyperlink w:anchor="i390f98568d134a85aaa8e6619b61fc23_31">
              <w:r>
                <w:rPr>
                  <w:rStyle w:val="InternetLink"/>
                  <w:rFonts w:ascii="Times New Roman;serif" w:hAnsi="Times New Roman;serif"/>
                  <w:b w:val="false"/>
                  <w:color w:val="0000FF"/>
                  <w:sz w:val="20"/>
                  <w:u w:val="single"/>
                </w:rPr>
                <w:t>Notes to Condensed Consolidated Financial Statements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390f98568d134a85aaa8e6619b61fc23_31">
              <w:r>
                <w:rPr>
                  <w:rStyle w:val="InternetLink"/>
                  <w:rFonts w:ascii="Times New Roman;serif" w:hAnsi="Times New Roman;serif"/>
                  <w:b w:val="false"/>
                  <w:strike w:val="false"/>
                  <w:dstrike w:val="false"/>
                  <w:color w:val="000000"/>
                  <w:sz w:val="20"/>
                  <w:u w:val="none"/>
                  <w:effect w:val="none"/>
                </w:rPr>
                <w:t>10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390f98568d134a85aaa8e6619b61fc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Latham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79"/>
        <w:gridCol w:w="2361"/>
        <w:gridCol w:w="2299"/>
        <w:gridCol w:w="211"/>
        <w:gridCol w:w="826"/>
        <w:gridCol w:w="109"/>
        <w:gridCol w:w="109"/>
        <w:gridCol w:w="109"/>
        <w:gridCol w:w="109"/>
        <w:gridCol w:w="211"/>
        <w:gridCol w:w="826"/>
        <w:gridCol w:w="156"/>
      </w:tblGrid>
      <w:tr>
        <w:trPr/>
        <w:tc>
          <w:tcPr>
            <w:tcW w:w="2879"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43,480 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71,043 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95,230 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39,914 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79,610 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74,926 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9,283 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12,178 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13,024 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20,943 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240,627 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219,004 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136,331 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118,820 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28,397 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26,482 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30,332 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30,723 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161,519 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155,189 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258,225 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268,073 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3,885 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4,214 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860,372 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823,223 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37,992 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19,283 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3,250 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3,250 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4"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6,892 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7,630 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63,006 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48,979 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111,527 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79,142 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discount, debt issuance costs, and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276,563 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276,591 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34,270 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34,269 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24,314 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23,964 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2,266 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3,396 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448,940 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417,362 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100,000,000 shares authorized as of both June 27, 2026 and December 31, 2025; no shares issued and outstanding as of both June 27, 2026 and December 31, 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4"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4"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$0.0001 par value; 900,000,000 shares authorized as of June 27, 2026 and December 31, 2025; 117,535,232 and 116,766,927 shares issued and outstanding, as of June 27, 2026 and December 31, 2025, respectively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473,660 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473,423 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(59,472)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(63,692)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(2,768)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(3,882)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411,432 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405,861 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860,372 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823,223 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390f98568d134a85aaa8e6619b61fc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Latham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011"/>
        <w:gridCol w:w="1281"/>
        <w:gridCol w:w="130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2011"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Two Fiscal Quarters Ended</w:t>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284,059 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96,844 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62,560 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equity method investment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common stockholders: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basic and diluted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117,476,605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116,466,736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117,191,888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116,181,404</w:t>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119,541,000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119,389,997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119,732,620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119,624,905</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390f98568d134a85aaa8e6619b61fc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Latham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Comprehensive Income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9798" w:type="dxa"/>
        <w:jc w:val="center"/>
        <w:tblInd w:w="0" w:type="dxa"/>
        <w:tblLayout w:type="fixed"/>
        <w:tblCellMar>
          <w:top w:w="28" w:type="dxa"/>
          <w:left w:w="28" w:type="dxa"/>
          <w:bottom w:w="28" w:type="dxa"/>
          <w:right w:w="28" w:type="dxa"/>
        </w:tblCellMar>
      </w:tblPr>
      <w:tblGrid>
        <w:gridCol w:w="1547"/>
        <w:gridCol w:w="1357"/>
        <w:gridCol w:w="1370"/>
        <w:gridCol w:w="228"/>
        <w:gridCol w:w="779"/>
        <w:gridCol w:w="117"/>
        <w:gridCol w:w="109"/>
        <w:gridCol w:w="109"/>
        <w:gridCol w:w="109"/>
        <w:gridCol w:w="228"/>
        <w:gridCol w:w="779"/>
        <w:gridCol w:w="117"/>
        <w:gridCol w:w="109"/>
        <w:gridCol w:w="109"/>
        <w:gridCol w:w="109"/>
        <w:gridCol w:w="253"/>
        <w:gridCol w:w="741"/>
        <w:gridCol w:w="131"/>
        <w:gridCol w:w="109"/>
        <w:gridCol w:w="109"/>
        <w:gridCol w:w="109"/>
        <w:gridCol w:w="227"/>
        <w:gridCol w:w="777"/>
        <w:gridCol w:w="166"/>
      </w:tblGrid>
      <w:tr>
        <w:trPr/>
        <w:tc>
          <w:tcPr>
            <w:tcW w:w="154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Two Fiscal Quarters Ended</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12,754 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15,980 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4,220 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10,018 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 net of tax</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13,215 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15,962 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5,334 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10,217 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390f98568d134a85aaa8e6619b61fc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Latham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amounts)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894"/>
        <w:gridCol w:w="588"/>
        <w:gridCol w:w="590"/>
        <w:gridCol w:w="379"/>
        <w:gridCol w:w="379"/>
        <w:gridCol w:w="383"/>
        <w:gridCol w:w="109"/>
        <w:gridCol w:w="109"/>
        <w:gridCol w:w="109"/>
        <w:gridCol w:w="214"/>
        <w:gridCol w:w="366"/>
        <w:gridCol w:w="111"/>
        <w:gridCol w:w="109"/>
        <w:gridCol w:w="109"/>
        <w:gridCol w:w="109"/>
        <w:gridCol w:w="211"/>
        <w:gridCol w:w="826"/>
        <w:gridCol w:w="109"/>
        <w:gridCol w:w="109"/>
        <w:gridCol w:w="109"/>
        <w:gridCol w:w="109"/>
        <w:gridCol w:w="211"/>
        <w:gridCol w:w="792"/>
        <w:gridCol w:w="109"/>
        <w:gridCol w:w="109"/>
        <w:gridCol w:w="109"/>
        <w:gridCol w:w="109"/>
        <w:gridCol w:w="269"/>
        <w:gridCol w:w="806"/>
        <w:gridCol w:w="141"/>
        <w:gridCol w:w="109"/>
        <w:gridCol w:w="109"/>
        <w:gridCol w:w="109"/>
        <w:gridCol w:w="211"/>
        <w:gridCol w:w="826"/>
        <w:gridCol w:w="155"/>
      </w:tblGrid>
      <w:tr>
        <w:trPr/>
        <w:tc>
          <w:tcPr>
            <w:tcW w:w="89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Additional</w:t>
              <w:br/>
              <w:t xml:space="preserve">Paid-in </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center"/>
              <w:rPr>
                <w:color w:val="000000"/>
              </w:rPr>
            </w:pPr>
            <w:r>
              <w:rPr>
                <w:color w:val="000000"/>
              </w:rPr>
              <w:t> </w:t>
            </w:r>
            <w:r>
              <w:rPr>
                <w:rFonts w:ascii="Times New Roman;serif" w:hAnsi="Times New Roman;serif"/>
                <w:b/>
                <w:color w:val="000000"/>
                <w:sz w:val="16"/>
              </w:rPr>
              <w:t>Accumulated</w:t>
              <w:b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Other</w:t>
              <w:br/>
              <w:t>Comprehensive</w:t>
              <w:br/>
              <w: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Total</w:t>
              <w:br/>
              <w:t> Stockholders'</w:t>
              <w:br/>
              <w:t>Equity</w:t>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color w:val="000000"/>
                <w:sz w:val="20"/>
              </w:rPr>
            </w:pPr>
            <w:r>
              <w:rPr>
                <w:rFonts w:ascii="Times New Roman;serif" w:hAnsi="Times New Roman;serif"/>
                <w:b/>
                <w:color w:val="000000"/>
                <w:sz w:val="20"/>
              </w:rPr>
              <w:t>Balances at December 31, 2024</w:t>
            </w:r>
          </w:p>
        </w:tc>
        <w:tc>
          <w:tcPr>
            <w:tcW w:w="11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115,764,839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467,076 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(5,050)</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387,222 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release of restricted stock units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941,370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withheld for taxes on restricted stock units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color w:val="000000"/>
                <w:sz w:val="20"/>
              </w:rPr>
            </w:pPr>
            <w:r>
              <w:rPr>
                <w:rFonts w:ascii="Times New Roman;serif" w:hAnsi="Times New Roman;serif"/>
                <w:b/>
                <w:color w:val="000000"/>
                <w:sz w:val="20"/>
              </w:rPr>
              <w:t>Balances at March 29, 2025</w:t>
            </w:r>
          </w:p>
        </w:tc>
        <w:tc>
          <w:tcPr>
            <w:tcW w:w="11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116,362,977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466,741 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(4,833)</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381,142 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release of restricted stock units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withheld for taxes on restricted stock units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color w:val="000000"/>
                <w:sz w:val="20"/>
              </w:rPr>
            </w:pPr>
            <w:r>
              <w:rPr>
                <w:rFonts w:ascii="Times New Roman;serif" w:hAnsi="Times New Roman;serif"/>
                <w:b/>
                <w:color w:val="000000"/>
                <w:sz w:val="20"/>
              </w:rPr>
              <w:t>Balances at June 28, 2025</w:t>
            </w:r>
          </w:p>
        </w:tc>
        <w:tc>
          <w:tcPr>
            <w:tcW w:w="114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116,536,129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468,065 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(64,798)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(4,851)</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398,428 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390f98568d134a85aaa8e6619b61fc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Latham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amounts)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894"/>
        <w:gridCol w:w="588"/>
        <w:gridCol w:w="590"/>
        <w:gridCol w:w="379"/>
        <w:gridCol w:w="379"/>
        <w:gridCol w:w="383"/>
        <w:gridCol w:w="109"/>
        <w:gridCol w:w="109"/>
        <w:gridCol w:w="109"/>
        <w:gridCol w:w="214"/>
        <w:gridCol w:w="366"/>
        <w:gridCol w:w="111"/>
        <w:gridCol w:w="109"/>
        <w:gridCol w:w="109"/>
        <w:gridCol w:w="109"/>
        <w:gridCol w:w="211"/>
        <w:gridCol w:w="826"/>
        <w:gridCol w:w="109"/>
        <w:gridCol w:w="109"/>
        <w:gridCol w:w="109"/>
        <w:gridCol w:w="109"/>
        <w:gridCol w:w="211"/>
        <w:gridCol w:w="792"/>
        <w:gridCol w:w="109"/>
        <w:gridCol w:w="109"/>
        <w:gridCol w:w="109"/>
        <w:gridCol w:w="109"/>
        <w:gridCol w:w="269"/>
        <w:gridCol w:w="806"/>
        <w:gridCol w:w="141"/>
        <w:gridCol w:w="109"/>
        <w:gridCol w:w="109"/>
        <w:gridCol w:w="109"/>
        <w:gridCol w:w="211"/>
        <w:gridCol w:w="826"/>
        <w:gridCol w:w="155"/>
      </w:tblGrid>
      <w:tr>
        <w:trPr/>
        <w:tc>
          <w:tcPr>
            <w:tcW w:w="89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center"/>
              <w:rPr>
                <w:color w:val="000000"/>
              </w:rPr>
            </w:pPr>
            <w:r>
              <w:rPr>
                <w:color w:val="000000"/>
              </w:rPr>
              <w:t> </w:t>
            </w:r>
            <w:r>
              <w:rPr>
                <w:rFonts w:ascii="Times New Roman;serif" w:hAnsi="Times New Roman;serif"/>
                <w:b/>
                <w:color w:val="000000"/>
                <w:sz w:val="16"/>
              </w:rPr>
              <w:t>Accumulated</w:t>
              <w:br/>
              <w:t>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center"/>
              <w:rPr>
                <w:color w:val="000000"/>
              </w:rPr>
            </w:pPr>
            <w:r>
              <w:rPr>
                <w:color w:val="000000"/>
              </w:rPr>
              <w:t> </w:t>
            </w:r>
            <w:r>
              <w:rPr>
                <w:rFonts w:ascii="Times New Roman;serif" w:hAnsi="Times New Roman;serif"/>
                <w:b/>
                <w:color w:val="000000"/>
                <w:sz w:val="16"/>
              </w:rPr>
              <w:t xml:space="preserve">Accumulated </w:t>
              <w:br/>
              <w:t>Other</w:t>
              <w:br/>
              <w:t>Comprehensive</w:t>
              <w:br/>
              <w: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center"/>
              <w:rPr>
                <w:color w:val="000000"/>
              </w:rPr>
            </w:pPr>
            <w:r>
              <w:rPr>
                <w:color w:val="000000"/>
              </w:rPr>
              <w:t>  </w:t>
            </w:r>
            <w:r>
              <w:rPr>
                <w:rFonts w:ascii="Times New Roman;serif" w:hAnsi="Times New Roman;serif"/>
                <w:b/>
                <w:color w:val="000000"/>
                <w:sz w:val="16"/>
              </w:rPr>
              <w:t>Total</w:t>
              <w:br/>
              <w:t>Stockholders'</w:t>
              <w:br/>
              <w:t>Equity</w:t>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color w:val="000000"/>
                <w:sz w:val="20"/>
              </w:rPr>
            </w:pPr>
            <w:r>
              <w:rPr>
                <w:rFonts w:ascii="Times New Roman;serif" w:hAnsi="Times New Roman;serif"/>
                <w:b/>
                <w:color w:val="000000"/>
                <w:sz w:val="20"/>
              </w:rPr>
              <w:t>Balances at December 31, 2025</w:t>
            </w:r>
          </w:p>
        </w:tc>
        <w:tc>
          <w:tcPr>
            <w:tcW w:w="11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116,766,927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(3,882)</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405,861 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release of restricted stock units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1,005,086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withheld for taxes on restricted stock units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color w:val="000000"/>
                <w:sz w:val="20"/>
              </w:rPr>
            </w:pPr>
            <w:r>
              <w:rPr>
                <w:rFonts w:ascii="Times New Roman;serif" w:hAnsi="Times New Roman;serif"/>
                <w:b/>
                <w:color w:val="000000"/>
                <w:sz w:val="20"/>
              </w:rPr>
              <w:t>Balances at March 28, 2026</w:t>
            </w:r>
          </w:p>
        </w:tc>
        <w:tc>
          <w:tcPr>
            <w:tcW w:w="11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117,407,719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472,145 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(72,226)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396,702 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release of restricted stock units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withheld for taxes on restricted stock units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color w:val="000000"/>
                <w:sz w:val="20"/>
              </w:rPr>
            </w:pPr>
            <w:r>
              <w:rPr>
                <w:rFonts w:ascii="Times New Roman;serif" w:hAnsi="Times New Roman;serif"/>
                <w:b/>
                <w:color w:val="000000"/>
                <w:sz w:val="20"/>
              </w:rPr>
              <w:t>Balances at June 27, 2026</w:t>
            </w:r>
          </w:p>
        </w:tc>
        <w:tc>
          <w:tcPr>
            <w:tcW w:w="114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117,535,232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473,660 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(59,472)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411,432 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390f98568d134a85aaa8e6619b61fc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Latham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7347" w:type="dxa"/>
        <w:jc w:val="left"/>
        <w:tblInd w:w="0" w:type="dxa"/>
        <w:tblLayout w:type="fixed"/>
        <w:tblCellMar>
          <w:top w:w="28" w:type="dxa"/>
          <w:left w:w="28" w:type="dxa"/>
          <w:bottom w:w="28" w:type="dxa"/>
          <w:right w:w="28" w:type="dxa"/>
        </w:tblCellMar>
      </w:tblPr>
      <w:tblGrid>
        <w:gridCol w:w="1886"/>
        <w:gridCol w:w="1664"/>
        <w:gridCol w:w="1670"/>
        <w:gridCol w:w="189"/>
        <w:gridCol w:w="566"/>
        <w:gridCol w:w="114"/>
        <w:gridCol w:w="114"/>
        <w:gridCol w:w="114"/>
        <w:gridCol w:w="114"/>
        <w:gridCol w:w="189"/>
        <w:gridCol w:w="566"/>
        <w:gridCol w:w="161"/>
      </w:tblGrid>
      <w:tr>
        <w:trPr/>
        <w:tc>
          <w:tcPr>
            <w:tcW w:w="1886"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9"/>
            <w:tcBorders/>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Two Fiscal Quarters Ended</w:t>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4"/>
              </w:rPr>
            </w:pPr>
            <w:r>
              <w:rPr>
                <w:rFonts w:ascii="Times New Roman;serif" w:hAnsi="Times New Roman;serif"/>
                <w:b/>
                <w:color w:val="000000"/>
                <w:sz w:val="14"/>
              </w:rPr>
              <w:t>June 27,</w:t>
              <w:br/>
              <w:t>2026</w:t>
            </w:r>
          </w:p>
        </w:tc>
        <w:tc>
          <w:tcPr>
            <w:tcW w:w="34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4"/>
              </w:rPr>
            </w:pPr>
            <w:r>
              <w:rPr>
                <w:rFonts w:ascii="Times New Roman;serif" w:hAnsi="Times New Roman;serif"/>
                <w:b/>
                <w:color w:val="000000"/>
                <w:sz w:val="14"/>
              </w:rPr>
              <w:t>June 28,</w:t>
              <w:br/>
              <w:t>2025</w:t>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color w:val="000000"/>
                <w:sz w:val="14"/>
              </w:rPr>
            </w:pPr>
            <w:r>
              <w:rPr>
                <w:rFonts w:ascii="Times New Roman;serif" w:hAnsi="Times New Roman;serif"/>
                <w:b/>
                <w:color w:val="000000"/>
                <w:sz w:val="14"/>
              </w:rPr>
              <w:t>Cash flows from operating activities:</w:t>
            </w:r>
          </w:p>
        </w:tc>
        <w:tc>
          <w:tcPr>
            <w:tcW w:w="86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1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Adjustments to reconcile net income to net cash used in operating activities:</w:t>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and amortization</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26,739 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25,097 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foreign currency loss (gain)</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(4,059)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deferred financing costs and debt discount</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14"/>
              </w:rPr>
            </w:pPr>
            <w:r>
              <w:rPr>
                <w:rFonts w:ascii="Times New Roman;serif" w:hAnsi="Times New Roman;serif"/>
                <w:b w:val="false"/>
                <w:color w:val="000000"/>
                <w:sz w:val="14"/>
              </w:rPr>
              <w:t>Non-cash lease expense</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3,569 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14"/>
              </w:rPr>
            </w:pPr>
            <w:r>
              <w:rPr>
                <w:rFonts w:ascii="Times New Roman;serif" w:hAnsi="Times New Roman;serif"/>
                <w:b w:val="false"/>
                <w:color w:val="000000"/>
                <w:sz w:val="14"/>
              </w:rPr>
              <w:t>Change in fair value of interest rate swap</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(1,076)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expense</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2,713 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3,352 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14"/>
              </w:rPr>
            </w:pPr>
            <w:r>
              <w:rPr>
                <w:rFonts w:ascii="Times New Roman;serif" w:hAnsi="Times New Roman;serif"/>
                <w:b w:val="false"/>
                <w:color w:val="000000"/>
                <w:sz w:val="14"/>
              </w:rPr>
              <w:t>Bad debt expense</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1,372 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14"/>
              </w:rPr>
            </w:pPr>
            <w:r>
              <w:rPr>
                <w:rFonts w:ascii="Times New Roman;serif" w:hAnsi="Times New Roman;serif"/>
                <w:b w:val="false"/>
                <w:color w:val="000000"/>
                <w:sz w:val="14"/>
              </w:rPr>
              <w:t>Other non-cash, net</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14"/>
              </w:rPr>
            </w:pPr>
            <w:r>
              <w:rPr>
                <w:rFonts w:ascii="Times New Roman;serif" w:hAnsi="Times New Roman;serif"/>
                <w:b w:val="false"/>
                <w:color w:val="000000"/>
                <w:sz w:val="14"/>
              </w:rPr>
              <w:t>Earnings from equity method investment</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(1,916)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14"/>
              </w:rPr>
            </w:pPr>
            <w:r>
              <w:rPr>
                <w:rFonts w:ascii="Times New Roman;serif" w:hAnsi="Times New Roman;serif"/>
                <w:b w:val="false"/>
                <w:color w:val="000000"/>
                <w:sz w:val="14"/>
              </w:rPr>
              <w:t>Changes in operating assets and liabilities:</w:t>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14"/>
              </w:rPr>
            </w:pPr>
            <w:r>
              <w:rPr>
                <w:rFonts w:ascii="Times New Roman;serif" w:hAnsi="Times New Roman;serif"/>
                <w:b w:val="false"/>
                <w:color w:val="000000"/>
                <w:sz w:val="14"/>
              </w:rPr>
              <w:t>Trade receivables</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(56,080)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(57,447)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14"/>
              </w:rPr>
            </w:pPr>
            <w:r>
              <w:rPr>
                <w:rFonts w:ascii="Times New Roman;serif" w:hAnsi="Times New Roman;serif"/>
                <w:b w:val="false"/>
                <w:color w:val="000000"/>
                <w:sz w:val="14"/>
              </w:rPr>
              <w:t>Inventories</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14"/>
              </w:rPr>
            </w:pPr>
            <w:r>
              <w:rPr>
                <w:rFonts w:ascii="Times New Roman;serif" w:hAnsi="Times New Roman;serif"/>
                <w:b w:val="false"/>
                <w:color w:val="000000"/>
                <w:sz w:val="14"/>
              </w:rPr>
              <w:t>Prepaid expenses and other current assets</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(2,996)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(2,706)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14"/>
              </w:rPr>
            </w:pPr>
            <w:r>
              <w:rPr>
                <w:rFonts w:ascii="Times New Roman;serif" w:hAnsi="Times New Roman;serif"/>
                <w:b w:val="false"/>
                <w:color w:val="000000"/>
                <w:sz w:val="14"/>
              </w:rPr>
              <w:t>Income tax receivable</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(4,924)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14"/>
              </w:rPr>
            </w:pPr>
            <w:r>
              <w:rPr>
                <w:rFonts w:ascii="Times New Roman;serif" w:hAnsi="Times New Roman;serif"/>
                <w:b w:val="false"/>
                <w:color w:val="000000"/>
                <w:sz w:val="14"/>
              </w:rPr>
              <w:t>Other assets</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payable</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17,833 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13,069 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14"/>
              </w:rPr>
            </w:pPr>
            <w:r>
              <w:rPr>
                <w:rFonts w:ascii="Times New Roman;serif" w:hAnsi="Times New Roman;serif"/>
                <w:b w:val="false"/>
                <w:color w:val="000000"/>
                <w:sz w:val="14"/>
              </w:rPr>
              <w:t>Accrued expenses and other current liabilities</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2,351 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14"/>
              </w:rPr>
            </w:pPr>
            <w:r>
              <w:rPr>
                <w:rFonts w:ascii="Times New Roman;serif" w:hAnsi="Times New Roman;serif"/>
                <w:b w:val="false"/>
                <w:color w:val="000000"/>
                <w:sz w:val="14"/>
              </w:rPr>
              <w:t>Other long-term liabilities</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provided by (used in) operating activities</w:t>
            </w:r>
          </w:p>
        </w:tc>
        <w:tc>
          <w:tcPr>
            <w:tcW w:w="75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5,783 </w:t>
            </w:r>
          </w:p>
        </w:tc>
        <w:tc>
          <w:tcPr>
            <w:tcW w:w="11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(10,905)</w:t>
            </w:r>
          </w:p>
        </w:tc>
        <w:tc>
          <w:tcPr>
            <w:tcW w:w="16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Cash flows from investing activities:</w:t>
            </w:r>
          </w:p>
        </w:tc>
        <w:tc>
          <w:tcPr>
            <w:tcW w:w="86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of property and equipment</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(16,053)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(10,344)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14"/>
              </w:rPr>
            </w:pPr>
            <w:r>
              <w:rPr>
                <w:rFonts w:ascii="Times New Roman;serif" w:hAnsi="Times New Roman;serif"/>
                <w:b w:val="false"/>
                <w:color w:val="000000"/>
                <w:sz w:val="14"/>
              </w:rPr>
              <w:t>Acquisition of business, net of cash acquired</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(14,250)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(4,934)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used in investing activities</w:t>
            </w:r>
          </w:p>
        </w:tc>
        <w:tc>
          <w:tcPr>
            <w:tcW w:w="75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(30,303)</w:t>
            </w:r>
          </w:p>
        </w:tc>
        <w:tc>
          <w:tcPr>
            <w:tcW w:w="11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(15,278)</w:t>
            </w:r>
          </w:p>
        </w:tc>
        <w:tc>
          <w:tcPr>
            <w:tcW w:w="16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Cash flows from financing activities:</w:t>
            </w:r>
          </w:p>
        </w:tc>
        <w:tc>
          <w:tcPr>
            <w:tcW w:w="86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14"/>
              </w:rPr>
            </w:pPr>
            <w:r>
              <w:rPr>
                <w:rFonts w:ascii="Times New Roman;serif" w:hAnsi="Times New Roman;serif"/>
                <w:b w:val="false"/>
                <w:color w:val="000000"/>
                <w:sz w:val="14"/>
              </w:rPr>
              <w:t>Payments on long-term debt borrowings</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borrowings on revolving credit facility</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14"/>
              </w:rPr>
            </w:pPr>
            <w:r>
              <w:rPr>
                <w:rFonts w:ascii="Times New Roman;serif" w:hAnsi="Times New Roman;serif"/>
                <w:b w:val="false"/>
                <w:color w:val="000000"/>
                <w:sz w:val="14"/>
              </w:rPr>
              <w:t>Payments on revolving credit facilities</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(35,000)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(25,000)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14"/>
              </w:rPr>
            </w:pPr>
            <w:r>
              <w:rPr>
                <w:rFonts w:ascii="Times New Roman;serif" w:hAnsi="Times New Roman;serif"/>
                <w:b w:val="false"/>
                <w:color w:val="000000"/>
                <w:sz w:val="14"/>
              </w:rPr>
              <w:t>Repayments of finance lease obligations</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withheld for taxes on restricted stock units</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(2,476)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(2,363)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used in financing activities</w:t>
            </w:r>
          </w:p>
        </w:tc>
        <w:tc>
          <w:tcPr>
            <w:tcW w:w="75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(3,730)</w:t>
            </w:r>
          </w:p>
        </w:tc>
        <w:tc>
          <w:tcPr>
            <w:tcW w:w="11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(3,580)</w:t>
            </w:r>
          </w:p>
        </w:tc>
        <w:tc>
          <w:tcPr>
            <w:tcW w:w="16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14"/>
              </w:rPr>
            </w:pPr>
            <w:r>
              <w:rPr>
                <w:rFonts w:ascii="Times New Roman;serif" w:hAnsi="Times New Roman;serif"/>
                <w:b w:val="false"/>
                <w:color w:val="000000"/>
                <w:sz w:val="14"/>
              </w:rPr>
              <w:t>Effect of exchange rate changes on cash</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color w:val="000000"/>
                <w:sz w:val="14"/>
              </w:rPr>
            </w:pPr>
            <w:r>
              <w:rPr>
                <w:rFonts w:ascii="Times New Roman;serif" w:hAnsi="Times New Roman;serif"/>
                <w:b/>
                <w:color w:val="000000"/>
                <w:sz w:val="14"/>
              </w:rPr>
              <w:t>Net decrease in cash</w:t>
            </w:r>
          </w:p>
        </w:tc>
        <w:tc>
          <w:tcPr>
            <w:tcW w:w="75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(27,563)</w:t>
            </w:r>
          </w:p>
        </w:tc>
        <w:tc>
          <w:tcPr>
            <w:tcW w:w="11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(29,455)</w:t>
            </w:r>
          </w:p>
        </w:tc>
        <w:tc>
          <w:tcPr>
            <w:tcW w:w="16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14"/>
              </w:rPr>
            </w:pPr>
            <w:r>
              <w:rPr>
                <w:rFonts w:ascii="Times New Roman;serif" w:hAnsi="Times New Roman;serif"/>
                <w:b w:val="false"/>
                <w:color w:val="000000"/>
                <w:sz w:val="14"/>
              </w:rPr>
              <w:t>Cash at beginning of period</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71,043 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56,398 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14"/>
              </w:rPr>
            </w:pPr>
            <w:r>
              <w:rPr>
                <w:rFonts w:ascii="Times New Roman;serif" w:hAnsi="Times New Roman;serif"/>
                <w:b w:val="false"/>
                <w:color w:val="000000"/>
                <w:sz w:val="14"/>
              </w:rPr>
              <w:t>Cash at end of period</w:t>
            </w:r>
          </w:p>
        </w:tc>
        <w:tc>
          <w:tcPr>
            <w:tcW w:w="18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43,480 </w:t>
            </w:r>
          </w:p>
        </w:tc>
        <w:tc>
          <w:tcPr>
            <w:tcW w:w="11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26,943 </w:t>
            </w:r>
          </w:p>
        </w:tc>
        <w:tc>
          <w:tcPr>
            <w:tcW w:w="16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Supplemental cash flow information:</w:t>
            </w:r>
          </w:p>
        </w:tc>
        <w:tc>
          <w:tcPr>
            <w:tcW w:w="8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14"/>
              </w:rPr>
            </w:pPr>
            <w:r>
              <w:rPr>
                <w:rFonts w:ascii="Times New Roman;serif" w:hAnsi="Times New Roman;serif"/>
                <w:b w:val="false"/>
                <w:color w:val="000000"/>
                <w:sz w:val="14"/>
              </w:rPr>
              <w:t>Cash paid for interest</w:t>
            </w:r>
          </w:p>
        </w:tc>
        <w:tc>
          <w:tcPr>
            <w:tcW w:w="1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11,387 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14,683 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14"/>
              </w:rPr>
            </w:pPr>
            <w:r>
              <w:rPr>
                <w:rFonts w:ascii="Times New Roman;serif" w:hAnsi="Times New Roman;serif"/>
                <w:b w:val="false"/>
                <w:color w:val="000000"/>
                <w:sz w:val="14"/>
              </w:rPr>
              <w:t>Income taxes paid, net</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Supplemental disclosure of non-cash investing and financing activities:</w:t>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of property and equipment included in accounts payable and accrued expenses</w:t>
            </w:r>
          </w:p>
        </w:tc>
        <w:tc>
          <w:tcPr>
            <w:tcW w:w="1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14"/>
              </w:rPr>
            </w:pPr>
            <w:r>
              <w:rPr>
                <w:rFonts w:ascii="Times New Roman;serif" w:hAnsi="Times New Roman;serif"/>
                <w:b w:val="false"/>
                <w:color w:val="000000"/>
                <w:sz w:val="14"/>
              </w:rPr>
              <w:t>Right-of-use operating and finance lease assets obtained in exchange for lease liabilities</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14"/>
              </w:rPr>
            </w:pPr>
            <w:r>
              <w:rPr>
                <w:rFonts w:ascii="Times New Roman;serif" w:hAnsi="Times New Roman;serif"/>
                <w:b w:val="false"/>
                <w:color w:val="000000"/>
                <w:sz w:val="14"/>
              </w:rPr>
              <w:t>Purchase of property and equipment through settlement of deposit</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390f98568d134a85aaa8e6619b61fc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 NATURE OF THE BUSINESS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Latham Group, Inc. (the “Company” or “Latham”) wholly owns Latham Pool Products, Inc. (“Latham Pool Products”), a designer, manufacturer, and marketer of in-ground residential swimming pools in North America, Australia, and New Zealand. Latham Pool Products offers a portfolio of pools and related products, including in-ground swimming pools, pool covers, and pool liners.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and notes have been prepared in accordance with generally accepted accounting principles in the United States (“GAAP”). The Company’s unaudited condensed consolidated financial statements include the accounts of the Company and its subsidiaries. All intercompany balances and transactions have been eliminated in consolidation.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Unaudited Interim Financial Information</w:t>
      </w:r>
    </w:p>
    <w:p>
      <w:pPr>
        <w:pStyle w:val="TextBody"/>
        <w:bidi w:val="0"/>
        <w:spacing w:lineRule="auto" w:line="288" w:before="0" w:after="240"/>
        <w:jc w:val="left"/>
        <w:rPr/>
      </w:pPr>
      <w:r>
        <w:rPr>
          <w:rFonts w:ascii="Times New Roman;serif" w:hAnsi="Times New Roman;serif"/>
          <w:b w:val="false"/>
          <w:color w:val="000000"/>
          <w:sz w:val="20"/>
        </w:rPr>
        <w:t>The unaudited condensed consolidated balance sheet at December 31, 2025 was derived from audited financial statements but does not include all disclosures required by GAAP. The accompanying unaudited condensed consolidated financial statements as of June 27, 2026 and for the fiscal quarters and two fiscal quarters ended June 27, 2026 and June 28, 2025, respectively, have been prepared by the Company pursuant to the rules and regulations of the Securities and Exchange Commission (“SEC”) for interim financial statements. Certain information and footnote disclosures normally included in the financial statements prepared in accordance with GAAP have been condensed or omitted pursuant to such rules and regulations. These condensed consolidated financial statements should be read in conjunction with Latham Group, Inc.’s audited consolidated financial statements and the notes thereto for the fiscal year ended December 31, 2025 included in the Company’s 2025 Annual Report on Form 10-K, filed with the SEC on March 4, 2026 (the “Annual Report”). In the opinion of management, all adjustments, consisting only of normal recurring adjustments necessary for a fair statement of these condensed consolidated financial statements, have been included. The Company’s results of operations for the fiscal quarter and two fiscal quarters ended</w:t>
      </w:r>
      <w:r>
        <w:rPr>
          <w:color w:val="000000"/>
        </w:rPr>
        <w:t xml:space="preserve"> </w:t>
      </w:r>
      <w:r>
        <w:rPr>
          <w:rFonts w:ascii="Times New Roman;serif" w:hAnsi="Times New Roman;serif"/>
          <w:b w:val="false"/>
          <w:color w:val="000000"/>
          <w:sz w:val="20"/>
        </w:rPr>
        <w:t>June 27, 2026 are not necessarily indicative of the results of operations that may be expected for the fiscal year ending December 31, 2026 or other interim periods thereof.</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preparation of the Company’s condensed consolidated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from those estimates. The Company bases its estimates on historical experience, known trends, and other market-specific or other relevant factors that it believes to be reasonable under the circumstances. Estimates are evaluated on an ongoing basis and revised as there are changes in circumstances, facts, and experience. Changes in estimates are recorded in the period in which they become known.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Seasonality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Although the Company generally has demand for its products throughout the year, its business is seasonal and weather is one of the principal external factors affecting the business. In general, net sales and net income are highest (or net loss is the lowest) during the second and third quarters, representing the peak months of swimming pool use, pool installation, and remodeling and repair activities. Severe weather may also affect net sales in all periods.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Refer to the Annual Report for a discussion of the Company’s significant accounting policies.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390f98568d134a85aaa8e6619b61fc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qualifies as an “emerging growth company” as defined in the Jumpstart Our Business Startups Act of 2012 and has elected to “opt in” to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which will occur no later than December 31, 2026. The Company may choose to early adopt any new or revised accounting standards whenever such early adoption is permitted for private companies.</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November 2024, the FASB issued ASU 2024-03, Income Statement – Reporting Comprehensive Income – Expense Disaggregation Disclosures (Subtopic 220-40 (“ASU 2024-03”)), which improves disclosures to provide more detailed information about a business entity’s expenses. ASU 2024-03 is effective for public business entities for fiscal years beginning after December 15, 2026. The amendments should be applied retrospectively to all prior periods presented in the financial statements, with early adoption permitted. The Company is currently evaluating ASU 2024-03 and its potential impact on the condensed consolidated financial statements.</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In December 2025, the FASB issued ASU 2025-11, </w:t>
      </w:r>
      <w:r>
        <w:rPr>
          <w:rFonts w:ascii="Times New Roman;serif" w:hAnsi="Times New Roman;serif"/>
          <w:b w:val="false"/>
          <w:i/>
          <w:color w:val="000000"/>
          <w:sz w:val="20"/>
        </w:rPr>
        <w:t>Interim Reporting</w:t>
      </w:r>
      <w:r>
        <w:rPr>
          <w:color w:val="000000"/>
          <w:shd w:fill="FFFFFF" w:val="clear"/>
        </w:rPr>
        <w:t xml:space="preserve"> </w:t>
      </w:r>
      <w:r>
        <w:rPr>
          <w:rFonts w:ascii="Times New Roman;serif" w:hAnsi="Times New Roman;serif"/>
          <w:b w:val="false"/>
          <w:color w:val="000000"/>
          <w:sz w:val="20"/>
          <w:shd w:fill="FFFFFF" w:val="clear"/>
        </w:rPr>
        <w:t>(Topic 270) (“ASU 2025-11”), which improves the navigability of the required interim disclosures and clarifies when that guidance is applicable. ASU 2025-11 is effective for public business entities for interim reporting periods within annual fiscal years beginning after December 15, 2027. The amendments should be applied retrospectively to all prior periods presented in the financial statements, with early adoption permitted. The Company is currently evaluating ASU 2025-11 and its potential impact on the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3.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February 2025, the Company completed the acquisition of two autocover dealers located in New York and Tennessee for a purchase price of $5.6 million. In February 2026, the Company completed the acquisition of Freedom Pools in Australia for a purchase price of $15.4 million, including a holdback of $1.6 million that has been accrued for on the Company's condensed consolidated balance sheet. Each of these acquisitions qualified as a business combination. These transactions resulted in an increase to goodwill and intangibles, but were not material to the Company's condensed consolidated financial statements, and as a result, additional business combination disclosures for these acquisitions have been omitted.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4. FAIR VALUE MEASUREMENTS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Level 1 — Quoted prices in active markets for identical assets or liabilities.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Level 2 — Inputs, other than quoted prices in active markets, that are observable either directly or indirectly.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Level 3 — Unobservable inputs that reflect the Company’s own assumptions incorporated into valuation techniques. These valuations require significant judgment.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certain cases, the inputs used to measure fair value may fall into different levels of the fair value hierarchy. When there is more than one input at different levels within the hierarchy, the fair value is determined based on the lowest level input that is significant to the fair value measurement in its entirety. Assessment of the significance of a particular input to the fair value measurement in its entirety requires substantial judgment and consideration of factors specific to the asset or liability. Level 3 inputs are inherently difficult to estimate. Changes to these inputs can have significant impact on fair value measurements. Assets and liabilities measured at fair value using Level 3 inputs are based on one or more of the following valuation techniques: market approach, income approach or cost approach. There were no transfers between fair value measurement levels during the fiscal quarters ended June 27, 2026 or June 28,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390f98568d134a85aaa8e6619b61fc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Assets and liabilities measured at fair value on a nonrecurring basis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non-financial assets such as goodwill, intangible assets, and property and equipment are measured at fair value upon acquisition and remeasured to fair value when an impairment charge is recognized. Such fair value measurements are based predominantly on Level 2 and Level 3 inputs.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considers the carrying amounts of cash, trade receivables, prepaid expenses and other current assets, accounts payable, and accrued expenses and other current liabilities to approximate fair value because of the short-term maturities of these instruments.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Term loans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Term loans are carried at amortized cost; however, the Company estimates the fair value of term loans for disclosure purposes. The fair value of a term loan is determined using inputs based on observable market data of a non-public exchange, which are classified as Level 2 inputs. The following table sets forth the carrying amount and fair value of the term loans (in thousands):</w:t>
      </w:r>
    </w:p>
    <w:tbl>
      <w:tblPr>
        <w:tblW w:w="6614" w:type="dxa"/>
        <w:jc w:val="left"/>
        <w:tblInd w:w="0" w:type="dxa"/>
        <w:tblLayout w:type="fixed"/>
        <w:tblCellMar>
          <w:top w:w="28" w:type="dxa"/>
          <w:left w:w="28" w:type="dxa"/>
          <w:bottom w:w="28" w:type="dxa"/>
          <w:right w:w="28" w:type="dxa"/>
        </w:tblCellMar>
      </w:tblPr>
      <w:tblGrid>
        <w:gridCol w:w="364"/>
        <w:gridCol w:w="319"/>
        <w:gridCol w:w="32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3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r>
      <w:tr>
        <w:trPr/>
        <w:tc>
          <w:tcPr>
            <w:tcW w:w="1004"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279,813 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278,414 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279,841 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279,841 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Interest rate swap</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estimates the fair value of the interest rate swap on a quarterly basis using Level 2 inputs, including the forward SOFR curve. The fair value is estimated by comparing (i) the present value of all future monthly fixed rate payments versus (ii) the variable payments based on the forward SOFR curve. As of June 27, 2026 and December 31, 2025, the Company’s interest rate swap was a liability of $0.1 million and $1.1 million, respectively, which were recorded within other long-term liabilities on the condensed consolidated balance sheets. See Note 7 for further detail.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5. GOODWILL AND INTANGIBLE ASSETS, NET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carrying amount of goodwill as of June 27, 2026 and as of December 31, 2025 was $161.5 million and $155.2 million, respectively. The change in the carrying value during the two fiscal quarters ended June 27, 2026 was primarily driven by the acquisition of Freedom Pools made in the first fiscal quarter of 2026.</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Intangible assets, net as of June 27, 2026 consisted of the following (in thousands):</w:t>
      </w:r>
    </w:p>
    <w:tbl>
      <w:tblPr>
        <w:tblW w:w="7825" w:type="dxa"/>
        <w:jc w:val="left"/>
        <w:tblInd w:w="0" w:type="dxa"/>
        <w:tblLayout w:type="fixed"/>
        <w:tblCellMar>
          <w:top w:w="28" w:type="dxa"/>
          <w:left w:w="28" w:type="dxa"/>
          <w:bottom w:w="28" w:type="dxa"/>
          <w:right w:w="28" w:type="dxa"/>
        </w:tblCellMar>
      </w:tblPr>
      <w:tblGrid>
        <w:gridCol w:w="874"/>
        <w:gridCol w:w="768"/>
        <w:gridCol w:w="773"/>
        <w:gridCol w:w="211"/>
        <w:gridCol w:w="826"/>
        <w:gridCol w:w="109"/>
        <w:gridCol w:w="109"/>
        <w:gridCol w:w="109"/>
        <w:gridCol w:w="109"/>
        <w:gridCol w:w="293"/>
        <w:gridCol w:w="501"/>
        <w:gridCol w:w="152"/>
        <w:gridCol w:w="109"/>
        <w:gridCol w:w="109"/>
        <w:gridCol w:w="109"/>
        <w:gridCol w:w="211"/>
        <w:gridCol w:w="826"/>
        <w:gridCol w:w="109"/>
        <w:gridCol w:w="109"/>
        <w:gridCol w:w="109"/>
        <w:gridCol w:w="109"/>
        <w:gridCol w:w="211"/>
        <w:gridCol w:w="826"/>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0" w:type="dxa"/>
            <w:gridSpan w:val="21"/>
            <w:tcBorders/>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 xml:space="preserve">Gross </w:t>
              <w:br/>
              <w:t xml:space="preserve">Carrying </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 xml:space="preserve">Foreign </w:t>
              <w:br/>
              <w:t xml:space="preserve">Currency </w:t>
              <w:br/>
              <w:t>Translation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 xml:space="preserve">Net </w:t>
              <w:br/>
              <w:t>Amount</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and trademarks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103,274 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Patented 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Pool designs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Dealer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Order backlog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435,934 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177,765 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258,225 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390f98568d134a85aaa8e6619b61fc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recognized $7.4 million and $14.5 million of amortization expense related to intangible assets during the fiscal quarter and two fiscal quarters ended June 27, 2026. The Company recognized $7.3 million and $14.5 million of amortization expense related to intangible assets during the fiscal quarter and two fiscal quarters ended June 28,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changes in the carrying values of dealer relationships, trade names and trademarks and backlog are driven by the acquisition of Freedom Pools made in the two fiscal quarters ended June 27, 2026.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Intangible assets, net as of December 31, 2025 consisted of the following (in thousands):</w:t>
      </w:r>
    </w:p>
    <w:tbl>
      <w:tblPr>
        <w:tblW w:w="7825" w:type="dxa"/>
        <w:jc w:val="left"/>
        <w:tblInd w:w="0" w:type="dxa"/>
        <w:tblLayout w:type="fixed"/>
        <w:tblCellMar>
          <w:top w:w="28" w:type="dxa"/>
          <w:left w:w="28" w:type="dxa"/>
          <w:bottom w:w="28" w:type="dxa"/>
          <w:right w:w="28" w:type="dxa"/>
        </w:tblCellMar>
      </w:tblPr>
      <w:tblGrid>
        <w:gridCol w:w="874"/>
        <w:gridCol w:w="768"/>
        <w:gridCol w:w="773"/>
        <w:gridCol w:w="211"/>
        <w:gridCol w:w="826"/>
        <w:gridCol w:w="109"/>
        <w:gridCol w:w="109"/>
        <w:gridCol w:w="109"/>
        <w:gridCol w:w="109"/>
        <w:gridCol w:w="249"/>
        <w:gridCol w:w="568"/>
        <w:gridCol w:w="129"/>
        <w:gridCol w:w="109"/>
        <w:gridCol w:w="109"/>
        <w:gridCol w:w="109"/>
        <w:gridCol w:w="211"/>
        <w:gridCol w:w="826"/>
        <w:gridCol w:w="109"/>
        <w:gridCol w:w="109"/>
        <w:gridCol w:w="109"/>
        <w:gridCol w:w="109"/>
        <w:gridCol w:w="211"/>
        <w:gridCol w:w="826"/>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0" w:type="dxa"/>
            <w:gridSpan w:val="21"/>
            <w:tcBorders/>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 xml:space="preserve">Gross </w:t>
              <w:br/>
              <w:t xml:space="preserve">Carrying </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 xml:space="preserve">Foreign </w:t>
              <w:br/>
              <w:t xml:space="preserve">Currency </w:t>
              <w:br/>
              <w:t>Translation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 xml:space="preserve">Net </w:t>
              <w:br/>
              <w:t>Amount</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and trademarks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105,204 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Patented 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Pool designs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Dealer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Order backlog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431,425 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163,162 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268,073 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estimates that amortization expense related to definite-lived intangible assets will be as follows in each of the next five fiscal years and thereafter (in thousands):</w:t>
      </w:r>
    </w:p>
    <w:tbl>
      <w:tblPr>
        <w:tblW w:w="4330" w:type="dxa"/>
        <w:jc w:val="left"/>
        <w:tblInd w:w="0" w:type="dxa"/>
        <w:tblLayout w:type="fixed"/>
        <w:tblCellMar>
          <w:top w:w="28" w:type="dxa"/>
          <w:left w:w="28" w:type="dxa"/>
          <w:bottom w:w="28" w:type="dxa"/>
          <w:right w:w="28" w:type="dxa"/>
        </w:tblCellMar>
      </w:tblPr>
      <w:tblGrid>
        <w:gridCol w:w="921"/>
        <w:gridCol w:w="812"/>
        <w:gridCol w:w="816"/>
        <w:gridCol w:w="109"/>
        <w:gridCol w:w="109"/>
        <w:gridCol w:w="109"/>
        <w:gridCol w:w="257"/>
        <w:gridCol w:w="1009"/>
        <w:gridCol w:w="188"/>
      </w:tblGrid>
      <w:tr>
        <w:trPr/>
        <w:tc>
          <w:tcPr>
            <w:tcW w:w="92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color w:val="000000"/>
                <w:sz w:val="16"/>
              </w:rPr>
            </w:pPr>
            <w:r>
              <w:rPr>
                <w:rFonts w:ascii="Times New Roman;serif" w:hAnsi="Times New Roman;serif"/>
                <w:b/>
                <w:color w:val="000000"/>
                <w:sz w:val="16"/>
              </w:rPr>
              <w:t>Fiscal Year Ending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 xml:space="preserve">Estimated Future </w:t>
              <w:br/>
              <w:t xml:space="preserve">Amortization </w:t>
              <w:br/>
              <w:t>Expense</w:t>
            </w:r>
          </w:p>
        </w:tc>
      </w:tr>
      <w:tr>
        <w:trPr/>
        <w:tc>
          <w:tcPr>
            <w:tcW w:w="25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fiscal year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14,725 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141,591 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258,225 </w:t>
            </w:r>
          </w:p>
        </w:tc>
        <w:tc>
          <w:tcPr>
            <w:tcW w:w="1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6. INVENTORIES, NET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Inventories, net consisted of the following (in thousands):</w:t>
      </w:r>
    </w:p>
    <w:tbl>
      <w:tblPr>
        <w:tblW w:w="4360" w:type="dxa"/>
        <w:jc w:val="left"/>
        <w:tblInd w:w="0" w:type="dxa"/>
        <w:tblLayout w:type="fixed"/>
        <w:tblCellMar>
          <w:top w:w="28" w:type="dxa"/>
          <w:left w:w="28" w:type="dxa"/>
          <w:bottom w:w="28" w:type="dxa"/>
          <w:right w:w="28" w:type="dxa"/>
        </w:tblCellMar>
      </w:tblPr>
      <w:tblGrid>
        <w:gridCol w:w="494"/>
        <w:gridCol w:w="433"/>
        <w:gridCol w:w="437"/>
        <w:gridCol w:w="228"/>
        <w:gridCol w:w="779"/>
        <w:gridCol w:w="117"/>
        <w:gridCol w:w="109"/>
        <w:gridCol w:w="109"/>
        <w:gridCol w:w="109"/>
        <w:gridCol w:w="300"/>
        <w:gridCol w:w="1026"/>
        <w:gridCol w:w="219"/>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55,087 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50,973 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79,610 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74,926 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390f98568d134a85aaa8e6619b61fc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7. DEBT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components of the Company’s outstanding long-term debt obligations consisted of the following (in thousands):</w:t>
      </w:r>
    </w:p>
    <w:tbl>
      <w:tblPr>
        <w:tblW w:w="7336" w:type="dxa"/>
        <w:jc w:val="left"/>
        <w:tblInd w:w="0" w:type="dxa"/>
        <w:tblLayout w:type="fixed"/>
        <w:tblCellMar>
          <w:top w:w="28" w:type="dxa"/>
          <w:left w:w="28" w:type="dxa"/>
          <w:bottom w:w="28" w:type="dxa"/>
          <w:right w:w="28" w:type="dxa"/>
        </w:tblCellMar>
      </w:tblPr>
      <w:tblGrid>
        <w:gridCol w:w="1566"/>
        <w:gridCol w:w="1372"/>
        <w:gridCol w:w="1381"/>
        <w:gridCol w:w="211"/>
        <w:gridCol w:w="826"/>
        <w:gridCol w:w="109"/>
        <w:gridCol w:w="109"/>
        <w:gridCol w:w="109"/>
        <w:gridCol w:w="109"/>
        <w:gridCol w:w="273"/>
        <w:gridCol w:w="1072"/>
        <w:gridCol w:w="199"/>
      </w:tblGrid>
      <w:tr>
        <w:trPr/>
        <w:tc>
          <w:tcPr>
            <w:tcW w:w="1566"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284,000 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284,813 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4"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discount and 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(4,187)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279,813 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279,841 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(3,250)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276,563 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276,591 </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23, 2022, Latham Pool Products and certain subsidiary guarantors entered into a credit and guaranty agreement (the “Credit Agreement”) with Barclays Bank PLC, which provides a senior secured multicurrency revolving line of credit (the “Revolving Credit Facility”) in an initial principal amount of $75.0 million and a U.S. Dollar senior secured term loan facility (the “Term Loan”) in an initial principal amount of $325.0 million.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is required to meet certain financial covenants, including maintaining specific liquidity measurements. There are also negative covenants, including certain restrictions on the Company’s ability to incur additional indebtedness, create liens, make investments, consolidate or merge with other entities, enter into transactions with affiliates, make prepayments with respect to certain indebtedness and make restricted payments and other distributions.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Revolving Credit Facility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Revolving Credit Facility may be utilized to finance ongoing general corporate and working capital needs and permits Latham Pool Products to borrow loans in U.S. Dollars, Canadian Dollars, Euros and Australian Dollars. The Revolving Credit Facility matures on February 23, 2027, which is within one year after the date these financial statements are issued. The Company is currently in discussions to extend the Revolving Credit Facility before it matures. Loans outstanding under the Revolving Credit Facility denominated in U.S. Dollars and Canadian Dollars bear interest, at the borrower’s option, at a rate per annum based on Term SOFR or CDO (each, as defined in the Credit Agreement), as applicable, plus a margin of 3.50%, or at a rate per annum based on the Base Rate or the Canadian Prime Rate (each, as defined in the Credit Agreement), plus a margin of 2.50%. Loans outstanding under the Revolving Credit Facility denominated in Euros or Australian Dollars bear interest based on EURIBOR or the AUD Rate (each, as defined in the Credit Agreement), respectively, plus a margin of 3.50%. A commitment fee accrues on any unused portion of the commitments under the Revolving Credit Facility. The commitment fee is due and payable quarterly in arrears, and initially was 0.375% per annum and thereafter accrues at a rate per annum ranging from 0.25% to 0.50%, depending on the First Lien Net Leverage Ratio (as defined in the Credit Agreement). Borrowings under the Revolving Credit Facility are not subject to amortization and are due at maturity.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incurred debt issuance costs of $0.8 million related to the Revolving Credit Facility. The debt issuance costs were recorded within other assets on the condensed consolidated balance sheet and are being amortized over the life of the Revolving Credit Facility.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During the two fiscal quarters ended June 27, 2026, the Company repaid $35.0 million of outstanding borrowings on the Revolving Credit Facility. As of June 27, 2026, there were no outstanding borrowings on the Revolving Credit Facility and $75.0 million was available for future borrowing.</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Term Loan</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Credit Agreement, Latham Pool Products borrowed $325.0 million in term loans. The Term Loan matures on February 23, 2029. Loans outstanding under the Term Loan bear interest, at the borrower’s option, at a rate per annum based on Term SOFR (each, as defined in the Credit Agreement), plus a margin ranging from 3.75% to 4.00%, depending on the First Lien Net Leverage Ratio, or based on the Base Rate (as defined in the Credit Agreement), plus a margin ranging from 2.75% to 3.00%, depending on the First Lien Net Leverage Ratio. Loans under the Term Loan are subject to scheduled quarterly amortization payments of $812,500, equal to 0.25% of the initial principal amount of the Term Loan. The Term Loan contains customary mandatory prepayment provisions, including requirements to make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390f98568d134a85aaa8e6619b61fc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mandatory prepayments with 50% of any excess cash flow and with 100% of the net cash proceeds from the incurrence of indebtedness not otherwise permitted to be incurred by the covenants, asset sales, and casualty and condemnation events, in each case, subject to customary exceptions.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Outstanding borrowings as of June 27, 2026 were $279.8 million, net of unamortized discount and debt issuance costs of $4.2 million.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June 27, 2026, the unamortized debt issuance costs and discount on the Term Loan were $2.3 million and $1.9 million, respectively. The effective interest rate was 8.94% at June 27, 2026, including the impact of the Company’s interest rate swap.</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Interest rate risk associated with the Credit Agreement is mitigated partially through interest rate swaps.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entered into an interest rate swap that was executed on March 10, 2023 (the “2023 Interest Rate Swap”). The 2023 Interest Rate Swap had an effective date of May 18, 2023 and a termination date of May 18, 2026. Under the terms of the 2023 Interest Rate Swap, the Company fixed its SOFR borrowing rate at 4.3725% on a notional amount of $161.0 million. The 2023 Interest Rate Swap was not designated as a hedging instrument for accounting purposes (see Note 4).</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Subsequently, the Company entered into a new interest rate swap that was executed on June 4, 2025 (the “2025 Interest Rate Swap”). As part of the 2025 Interest Rate Swap, the Company terminated the 2023 Interest Rate Swap prior to its May 18, 2026 termination date. The 2025 Interest Rate Swap became effective on May 19, 2025 and has a termination date of May 18, 2027. Under the terms of the 2025 Interest Rate Swap, the Company fixed its SOFR borrowing rate at 3.92% on a notional amount of $140.0 million. The 2025 Interest Rate Swap is not designated as a hedging instrument for accounting purposes (see Note 4).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Debt Maturities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Principal payments due on the outstanding debt, excluding the Revolving Credit Facility, in the next five fiscal years, excluding any potential payments based on excess cash flow levels, are as follows (in thousands):</w:t>
      </w:r>
    </w:p>
    <w:tbl>
      <w:tblPr>
        <w:tblW w:w="3740" w:type="dxa"/>
        <w:jc w:val="left"/>
        <w:tblInd w:w="0" w:type="dxa"/>
        <w:tblLayout w:type="fixed"/>
        <w:tblCellMar>
          <w:top w:w="28" w:type="dxa"/>
          <w:left w:w="28" w:type="dxa"/>
          <w:bottom w:w="28" w:type="dxa"/>
          <w:right w:w="28" w:type="dxa"/>
        </w:tblCellMar>
      </w:tblPr>
      <w:tblGrid>
        <w:gridCol w:w="921"/>
        <w:gridCol w:w="812"/>
        <w:gridCol w:w="816"/>
        <w:gridCol w:w="211"/>
        <w:gridCol w:w="826"/>
        <w:gridCol w:w="154"/>
      </w:tblGrid>
      <w:tr>
        <w:trPr/>
        <w:tc>
          <w:tcPr>
            <w:tcW w:w="92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color w:val="000000"/>
                <w:sz w:val="16"/>
              </w:rPr>
            </w:pPr>
            <w:r>
              <w:rPr>
                <w:rFonts w:ascii="Times New Roman;serif" w:hAnsi="Times New Roman;serif"/>
                <w:b/>
                <w:color w:val="000000"/>
                <w:sz w:val="16"/>
              </w:rPr>
              <w:t>Fiscal Year Ending</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Term Loan</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fiscal year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2,438 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3,250 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3,250 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275,062 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284,000 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Guarantees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obligations under the Credit Agreement are guaranteed by certain wholly owned subsidiaries (the “Guarantors”) of the Company that are party to that certain security agreement, which was executed in connection with the Credit Agreement. The obligations under the Credit Agreement are secured by substantially all of the Guarantors’ tangible and intangible assets, including their accounts receivables, equipment, intellectual property, inventory, cash and cash equivalents, deposit accounts, and security accounts. The Credit Agreement also restricts payments and other distributions unless certain conditions are met, which could restrict the Company’s ability to pay dividends. The ownership chain between Latham Pool Products and the Company consists of a series of holding companies with no material assets, liabilities, or standalone operations other than indirect equity interests in Latham Pool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390f98568d134a85aaa8e6619b61fc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8. PRODUCT WARRANTIES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warranty reserve activity consisted of the following (in thousands):</w:t>
      </w:r>
    </w:p>
    <w:tbl>
      <w:tblPr>
        <w:tblW w:w="6205" w:type="dxa"/>
        <w:jc w:val="left"/>
        <w:tblInd w:w="0" w:type="dxa"/>
        <w:tblLayout w:type="fixed"/>
        <w:tblCellMar>
          <w:top w:w="28" w:type="dxa"/>
          <w:left w:w="28" w:type="dxa"/>
          <w:bottom w:w="28" w:type="dxa"/>
          <w:right w:w="28" w:type="dxa"/>
        </w:tblCellMar>
      </w:tblPr>
      <w:tblGrid>
        <w:gridCol w:w="1298"/>
        <w:gridCol w:w="1141"/>
        <w:gridCol w:w="1145"/>
        <w:gridCol w:w="253"/>
        <w:gridCol w:w="741"/>
        <w:gridCol w:w="131"/>
        <w:gridCol w:w="109"/>
        <w:gridCol w:w="109"/>
        <w:gridCol w:w="109"/>
        <w:gridCol w:w="251"/>
        <w:gridCol w:w="735"/>
        <w:gridCol w:w="183"/>
      </w:tblGrid>
      <w:tr>
        <w:trPr/>
        <w:tc>
          <w:tcPr>
            <w:tcW w:w="129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Two Fiscal Quarters Ended</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the beginning of the fiscal year</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3,349 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reserve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Less: Settlements made (in cash or in kind)</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(1,317)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the end of the fiscal quarter</w:t>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3,352 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2,987 </w:t>
            </w:r>
          </w:p>
        </w:tc>
        <w:tc>
          <w:tcPr>
            <w:tcW w:w="1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9. LEASES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leases with initial terms greater than 12 months, the Company considers these right-of-use assets and records the related asset and obligation at the present value of lease payments over the term. For leases with initial terms equal to or less than 12 months, the Company does not consider them as right-of-use assets and instead considers them short-term lease costs that are recognized on a straight-line basis over the lease term. The Company’s leases may include escalation clauses, renewal options, and/or termination options that are factored into the Company’s determination of lease term and lease payments when it is reasonably certain the option will be exercised. The Company elected to take the practical expedient and not separate lease and non-lease components of contracts. The Company estimates an incremental borrowing rate to discount the lease payments based on information available at lease commencement because the implicit rate of the lease is generally not known.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leases manufacturing facilities, office space, land, and certain vehicles and equipment under operating leases. The Company also leases certain vehicles and equipment under finance leases. The Company determines if an arrangement is a lease at inception. A contract is or contains a lease if the contract conveys the right to control the use of an identified asset for a period of time in exchange for consideration.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for the fiscal quarter and two fiscal quarters ended June 27, 2026 and June 28, 2025 were as follows (in thousands):</w:t>
      </w:r>
    </w:p>
    <w:tbl>
      <w:tblPr>
        <w:tblW w:w="8915" w:type="dxa"/>
        <w:jc w:val="center"/>
        <w:tblInd w:w="0" w:type="dxa"/>
        <w:tblLayout w:type="fixed"/>
        <w:tblCellMar>
          <w:top w:w="28" w:type="dxa"/>
          <w:left w:w="28" w:type="dxa"/>
          <w:bottom w:w="28" w:type="dxa"/>
          <w:right w:w="28" w:type="dxa"/>
        </w:tblCellMar>
      </w:tblPr>
      <w:tblGrid>
        <w:gridCol w:w="1228"/>
        <w:gridCol w:w="1078"/>
        <w:gridCol w:w="1084"/>
        <w:gridCol w:w="253"/>
        <w:gridCol w:w="741"/>
        <w:gridCol w:w="131"/>
        <w:gridCol w:w="109"/>
        <w:gridCol w:w="109"/>
        <w:gridCol w:w="109"/>
        <w:gridCol w:w="253"/>
        <w:gridCol w:w="741"/>
        <w:gridCol w:w="131"/>
        <w:gridCol w:w="109"/>
        <w:gridCol w:w="109"/>
        <w:gridCol w:w="109"/>
        <w:gridCol w:w="253"/>
        <w:gridCol w:w="741"/>
        <w:gridCol w:w="131"/>
        <w:gridCol w:w="109"/>
        <w:gridCol w:w="109"/>
        <w:gridCol w:w="109"/>
        <w:gridCol w:w="251"/>
        <w:gridCol w:w="735"/>
        <w:gridCol w:w="183"/>
      </w:tblGrid>
      <w:tr>
        <w:trPr/>
        <w:tc>
          <w:tcPr>
            <w:tcW w:w="122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Two Fiscal Quarters Ended</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4,737 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4,326 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amortization of assets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interest on lease liabilities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expense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expense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expense</w:t>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5,442 </w:t>
            </w:r>
          </w:p>
        </w:tc>
        <w:tc>
          <w:tcPr>
            <w:tcW w:w="1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390f98568d134a85aaa8e6619b61fc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Operating and finance lease right-of-use assets and lease-related liabilities as of June 27, 2026 and December 31, 2025 were as follows (in thousands):</w:t>
      </w:r>
    </w:p>
    <w:tbl>
      <w:tblPr>
        <w:tblW w:w="9963" w:type="dxa"/>
        <w:jc w:val="left"/>
        <w:tblInd w:w="0" w:type="dxa"/>
        <w:tblLayout w:type="fixed"/>
        <w:tblCellMar>
          <w:top w:w="28" w:type="dxa"/>
          <w:left w:w="28" w:type="dxa"/>
          <w:bottom w:w="28" w:type="dxa"/>
          <w:right w:w="28" w:type="dxa"/>
        </w:tblCellMar>
      </w:tblPr>
      <w:tblGrid>
        <w:gridCol w:w="907"/>
        <w:gridCol w:w="796"/>
        <w:gridCol w:w="801"/>
        <w:gridCol w:w="109"/>
        <w:gridCol w:w="109"/>
        <w:gridCol w:w="109"/>
        <w:gridCol w:w="228"/>
        <w:gridCol w:w="779"/>
        <w:gridCol w:w="117"/>
        <w:gridCol w:w="109"/>
        <w:gridCol w:w="109"/>
        <w:gridCol w:w="109"/>
        <w:gridCol w:w="304"/>
        <w:gridCol w:w="1039"/>
        <w:gridCol w:w="157"/>
        <w:gridCol w:w="109"/>
        <w:gridCol w:w="109"/>
        <w:gridCol w:w="109"/>
        <w:gridCol w:w="1126"/>
        <w:gridCol w:w="1126"/>
        <w:gridCol w:w="1602"/>
      </w:tblGrid>
      <w:tr>
        <w:trP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color w:val="000000"/>
                <w:sz w:val="16"/>
              </w:rPr>
            </w:pPr>
            <w:r>
              <w:rPr>
                <w:rFonts w:ascii="Times New Roman;serif" w:hAnsi="Times New Roman;serif"/>
                <w:b/>
                <w:color w:val="000000"/>
                <w:sz w:val="16"/>
              </w:rPr>
              <w:t>Classification</w:t>
            </w:r>
          </w:p>
        </w:tc>
      </w:tr>
      <w:tr>
        <w:trPr/>
        <w:tc>
          <w:tcPr>
            <w:tcW w:w="2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32,973 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Lease-related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34,069 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34,534 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table below presents supplemental information related to leases as of June 27, 2026 and December 31, 2025:</w:t>
      </w:r>
    </w:p>
    <w:tbl>
      <w:tblPr>
        <w:tblW w:w="6971" w:type="dxa"/>
        <w:jc w:val="left"/>
        <w:tblInd w:w="0" w:type="dxa"/>
        <w:tblLayout w:type="fixed"/>
        <w:tblCellMar>
          <w:top w:w="28" w:type="dxa"/>
          <w:left w:w="28" w:type="dxa"/>
          <w:bottom w:w="28" w:type="dxa"/>
          <w:right w:w="28" w:type="dxa"/>
        </w:tblCellMar>
      </w:tblPr>
      <w:tblGrid>
        <w:gridCol w:w="1440"/>
        <w:gridCol w:w="1265"/>
        <w:gridCol w:w="1270"/>
        <w:gridCol w:w="250"/>
        <w:gridCol w:w="250"/>
        <w:gridCol w:w="624"/>
        <w:gridCol w:w="109"/>
        <w:gridCol w:w="109"/>
        <w:gridCol w:w="109"/>
        <w:gridCol w:w="314"/>
        <w:gridCol w:w="314"/>
        <w:gridCol w:w="917"/>
      </w:tblGrid>
      <w:tr>
        <w:trPr/>
        <w:tc>
          <w:tcPr>
            <w:tcW w:w="14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(years):</w:t>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table below presents supplemental information related to the cash flows for operating leases recorded on the condensed consolidated statements of cash flows (in thousands):</w:t>
      </w:r>
    </w:p>
    <w:tbl>
      <w:tblPr>
        <w:tblW w:w="8485" w:type="dxa"/>
        <w:jc w:val="left"/>
        <w:tblInd w:w="0" w:type="dxa"/>
        <w:tblLayout w:type="fixed"/>
        <w:tblCellMar>
          <w:top w:w="28" w:type="dxa"/>
          <w:left w:w="28" w:type="dxa"/>
          <w:bottom w:w="28" w:type="dxa"/>
          <w:right w:w="28" w:type="dxa"/>
        </w:tblCellMar>
      </w:tblPr>
      <w:tblGrid>
        <w:gridCol w:w="2126"/>
        <w:gridCol w:w="1864"/>
        <w:gridCol w:w="1874"/>
        <w:gridCol w:w="253"/>
        <w:gridCol w:w="741"/>
        <w:gridCol w:w="131"/>
        <w:gridCol w:w="109"/>
        <w:gridCol w:w="109"/>
        <w:gridCol w:w="109"/>
        <w:gridCol w:w="251"/>
        <w:gridCol w:w="735"/>
        <w:gridCol w:w="183"/>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Two Fiscal Quarters Ended</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operating leases</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390f98568d134a85aaa8e6619b61fc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fiscal year maturities of operating lease liabilities as of June 27, 2026 (in thousands):</w:t>
      </w:r>
    </w:p>
    <w:tbl>
      <w:tblPr>
        <w:tblW w:w="6855" w:type="dxa"/>
        <w:jc w:val="left"/>
        <w:tblInd w:w="0" w:type="dxa"/>
        <w:tblLayout w:type="fixed"/>
        <w:tblCellMar>
          <w:top w:w="28" w:type="dxa"/>
          <w:left w:w="28" w:type="dxa"/>
          <w:bottom w:w="28" w:type="dxa"/>
          <w:right w:w="28" w:type="dxa"/>
        </w:tblCellMar>
      </w:tblPr>
      <w:tblGrid>
        <w:gridCol w:w="928"/>
        <w:gridCol w:w="816"/>
        <w:gridCol w:w="821"/>
        <w:gridCol w:w="276"/>
        <w:gridCol w:w="946"/>
        <w:gridCol w:w="143"/>
        <w:gridCol w:w="109"/>
        <w:gridCol w:w="109"/>
        <w:gridCol w:w="109"/>
        <w:gridCol w:w="267"/>
        <w:gridCol w:w="780"/>
        <w:gridCol w:w="138"/>
        <w:gridCol w:w="109"/>
        <w:gridCol w:w="109"/>
        <w:gridCol w:w="109"/>
        <w:gridCol w:w="211"/>
        <w:gridCol w:w="721"/>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fiscal year 2026</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2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37,218 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liability</w:t>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31,206 </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2,863 </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34,069 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10. NET SALES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disaggregation of net sales by product line (in thousands):</w:t>
      </w:r>
    </w:p>
    <w:tbl>
      <w:tblPr>
        <w:tblW w:w="7950" w:type="dxa"/>
        <w:jc w:val="center"/>
        <w:tblInd w:w="0" w:type="dxa"/>
        <w:tblLayout w:type="fixed"/>
        <w:tblCellMar>
          <w:top w:w="28" w:type="dxa"/>
          <w:left w:w="28" w:type="dxa"/>
          <w:bottom w:w="28" w:type="dxa"/>
          <w:right w:w="28" w:type="dxa"/>
        </w:tblCellMar>
      </w:tblPr>
      <w:tblGrid>
        <w:gridCol w:w="848"/>
        <w:gridCol w:w="744"/>
        <w:gridCol w:w="74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84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Two Fiscal Quarters Ended</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In-ground Swimming Pools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136,335 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197,474 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314,789 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284,059 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effective income tax rate for the fiscal quarter and two fiscal quarters ended June 27, 2026 was 32.4% and 43.9%, respectively, compared to 24.3% and 9.5%, respectively, for the fiscal quarter and two fiscal quarters ended June 28, 2025. The differences between the U.S. federal statutory income tax rate and the Company's effective income tax rates for the fiscal quarter ended June 27, 2026 and the fiscal quarter ended June 28, 2025 were primarily attributable to the discrete impact of stock-based compensation expense for which there is no associated tax benefit, the effects of branch accounting for Latham Canada and the jurisdictional mix of income.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U.S. The OBBBA maintained the 21% corporate tax rate and makes permanent many of the beneficial expired and expiring tax provisions originally enacted in the Tax Cuts and Jobs Act of 2017, including the immediate expensing of domestic research and development expenditures, more favorable interest deductibility and 100 percent bonus depreciation with effective dates in 2025. Revisions to the international tax framework are effective in 2026. The OBBBA did not have a material impact on the Company's effective tax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12. STOCK-BASED COMPENSATION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April 12, 2021, the Company’s stockholders approved the Latham Group, Inc. 2021 Omnibus Equity Incentive Plan (the “2021 Omnibus Equity Plan”), which became effective on April 22, 2021, and was further amended on May 2, 2023 and April 30, 2026. Such amendments, among other things, collectively increased the maximum aggregate number of shares reserved for issuance under the 2021 Omnibus Equity Plan to 24,570,212 shares. The 2021 Omnibus Equity Plan provides for the issuance of incentive stock options, non-qualified stock options, stock appreciation rights, restricted stock, restricted stock units, performance stock units and other stock-based and cash-based awards.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390f98568d134a85aaa8e6619b61fc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stock-based compensation expense (in thousands):</w:t>
      </w:r>
    </w:p>
    <w:tbl>
      <w:tblPr>
        <w:tblW w:w="8524" w:type="dxa"/>
        <w:jc w:val="center"/>
        <w:tblInd w:w="0" w:type="dxa"/>
        <w:tblLayout w:type="fixed"/>
        <w:tblCellMar>
          <w:top w:w="28" w:type="dxa"/>
          <w:left w:w="28" w:type="dxa"/>
          <w:bottom w:w="28" w:type="dxa"/>
          <w:right w:w="28" w:type="dxa"/>
        </w:tblCellMar>
      </w:tblPr>
      <w:tblGrid>
        <w:gridCol w:w="1087"/>
        <w:gridCol w:w="955"/>
        <w:gridCol w:w="957"/>
        <w:gridCol w:w="253"/>
        <w:gridCol w:w="741"/>
        <w:gridCol w:w="131"/>
        <w:gridCol w:w="109"/>
        <w:gridCol w:w="109"/>
        <w:gridCol w:w="109"/>
        <w:gridCol w:w="253"/>
        <w:gridCol w:w="741"/>
        <w:gridCol w:w="131"/>
        <w:gridCol w:w="109"/>
        <w:gridCol w:w="109"/>
        <w:gridCol w:w="109"/>
        <w:gridCol w:w="253"/>
        <w:gridCol w:w="741"/>
        <w:gridCol w:w="131"/>
        <w:gridCol w:w="109"/>
        <w:gridCol w:w="109"/>
        <w:gridCol w:w="109"/>
        <w:gridCol w:w="251"/>
        <w:gridCol w:w="735"/>
        <w:gridCol w:w="183"/>
      </w:tblGrid>
      <w:tr>
        <w:trPr/>
        <w:tc>
          <w:tcPr>
            <w:tcW w:w="108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Two Fiscal Quarters Ended</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June 27, 2026, total unrecognized stock-based compensation expense related to all unvested stock-based awards was $11.9 million, which is expected to be recognized over a weighted-average period of 1.6 years.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the Company’s restricted stock units activity during the two fiscal quarters ended June 27, 2026:</w:t>
      </w:r>
    </w:p>
    <w:tbl>
      <w:tblPr>
        <w:tblW w:w="5351" w:type="dxa"/>
        <w:jc w:val="left"/>
        <w:tblInd w:w="0" w:type="dxa"/>
        <w:tblLayout w:type="fixed"/>
        <w:tblCellMar>
          <w:top w:w="28" w:type="dxa"/>
          <w:left w:w="28" w:type="dxa"/>
          <w:bottom w:w="28" w:type="dxa"/>
          <w:right w:w="28" w:type="dxa"/>
        </w:tblCellMar>
      </w:tblPr>
      <w:tblGrid>
        <w:gridCol w:w="962"/>
        <w:gridCol w:w="844"/>
        <w:gridCol w:w="849"/>
        <w:gridCol w:w="347"/>
        <w:gridCol w:w="347"/>
        <w:gridCol w:w="355"/>
        <w:gridCol w:w="109"/>
        <w:gridCol w:w="109"/>
        <w:gridCol w:w="109"/>
        <w:gridCol w:w="318"/>
        <w:gridCol w:w="769"/>
        <w:gridCol w:w="233"/>
      </w:tblGrid>
      <w:tr>
        <w:trPr/>
        <w:tc>
          <w:tcPr>
            <w:tcW w:w="96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Weighted-</w:t>
              <w:br/>
              <w:t>Average Grant-</w:t>
              <w:br/>
              <w:t>Date Fair Value</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January 1, 2026</w:t>
            </w:r>
          </w:p>
        </w:tc>
        <w:tc>
          <w:tcPr>
            <w:tcW w:w="10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3,335,594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848,165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(1,121,197)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(491,540)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27, 2026</w:t>
            </w:r>
          </w:p>
        </w:tc>
        <w:tc>
          <w:tcPr>
            <w:tcW w:w="104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2,571,022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the Company’s stock options activity during the two fiscal quarters ended June 27, 2026:</w:t>
      </w:r>
    </w:p>
    <w:tbl>
      <w:tblPr>
        <w:tblW w:w="9216" w:type="dxa"/>
        <w:jc w:val="left"/>
        <w:tblInd w:w="0" w:type="dxa"/>
        <w:tblLayout w:type="fixed"/>
        <w:tblCellMar>
          <w:top w:w="28" w:type="dxa"/>
          <w:left w:w="28" w:type="dxa"/>
          <w:bottom w:w="28" w:type="dxa"/>
          <w:right w:w="28" w:type="dxa"/>
        </w:tblCellMar>
      </w:tblPr>
      <w:tblGrid>
        <w:gridCol w:w="1364"/>
        <w:gridCol w:w="1197"/>
        <w:gridCol w:w="1204"/>
        <w:gridCol w:w="309"/>
        <w:gridCol w:w="309"/>
        <w:gridCol w:w="313"/>
        <w:gridCol w:w="109"/>
        <w:gridCol w:w="109"/>
        <w:gridCol w:w="109"/>
        <w:gridCol w:w="253"/>
        <w:gridCol w:w="741"/>
        <w:gridCol w:w="131"/>
        <w:gridCol w:w="109"/>
        <w:gridCol w:w="109"/>
        <w:gridCol w:w="109"/>
        <w:gridCol w:w="399"/>
        <w:gridCol w:w="399"/>
        <w:gridCol w:w="401"/>
        <w:gridCol w:w="109"/>
        <w:gridCol w:w="109"/>
        <w:gridCol w:w="109"/>
        <w:gridCol w:w="353"/>
        <w:gridCol w:w="604"/>
        <w:gridCol w:w="258"/>
      </w:tblGrid>
      <w:tr>
        <w:trPr/>
        <w:tc>
          <w:tcPr>
            <w:tcW w:w="136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Weighted-</w:t>
              <w:br/>
              <w:t xml:space="preserve">Average </w:t>
              <w:br/>
              <w:t>Exercise Price</w:t>
              <w:br/>
              <w:t>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Weighted-</w:t>
              <w:br/>
              <w:t xml:space="preserve">Average </w:t>
              <w:br/>
              <w:t xml:space="preserve">Remaining </w:t>
              <w:br/>
              <w:t>Contract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 xml:space="preserve">Aggregate </w:t>
              <w:br/>
              <w:t>Intrinsic Value</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January 1, 2026</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1,150,712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27, 2026</w:t>
            </w:r>
          </w:p>
        </w:tc>
        <w:tc>
          <w:tcPr>
            <w:tcW w:w="9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1,127,063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at June 27, 2026</w:t>
            </w:r>
          </w:p>
        </w:tc>
        <w:tc>
          <w:tcPr>
            <w:tcW w:w="93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1,127,063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3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5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exercisable at June 27, 2026</w:t>
            </w:r>
          </w:p>
        </w:tc>
        <w:tc>
          <w:tcPr>
            <w:tcW w:w="931"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1,073,609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3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5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390f98568d134a85aaa8e6619b61fc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Stock Appreciation Rights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the Company’s stock appreciation rights activity during the two fiscal quarters ended June 27, 2026:</w:t>
      </w:r>
    </w:p>
    <w:tbl>
      <w:tblPr>
        <w:tblW w:w="9948" w:type="dxa"/>
        <w:jc w:val="left"/>
        <w:tblInd w:w="0" w:type="dxa"/>
        <w:tblLayout w:type="fixed"/>
        <w:tblCellMar>
          <w:top w:w="28" w:type="dxa"/>
          <w:left w:w="28" w:type="dxa"/>
          <w:bottom w:w="28" w:type="dxa"/>
          <w:right w:w="28" w:type="dxa"/>
        </w:tblCellMar>
      </w:tblPr>
      <w:tblGrid>
        <w:gridCol w:w="1630"/>
        <w:gridCol w:w="1430"/>
        <w:gridCol w:w="1439"/>
        <w:gridCol w:w="308"/>
        <w:gridCol w:w="308"/>
        <w:gridCol w:w="315"/>
        <w:gridCol w:w="109"/>
        <w:gridCol w:w="109"/>
        <w:gridCol w:w="109"/>
        <w:gridCol w:w="285"/>
        <w:gridCol w:w="691"/>
        <w:gridCol w:w="148"/>
        <w:gridCol w:w="109"/>
        <w:gridCol w:w="109"/>
        <w:gridCol w:w="109"/>
        <w:gridCol w:w="399"/>
        <w:gridCol w:w="399"/>
        <w:gridCol w:w="401"/>
        <w:gridCol w:w="109"/>
        <w:gridCol w:w="109"/>
        <w:gridCol w:w="109"/>
        <w:gridCol w:w="261"/>
        <w:gridCol w:w="763"/>
        <w:gridCol w:w="190"/>
      </w:tblGrid>
      <w:tr>
        <w:trPr/>
        <w:tc>
          <w:tcPr>
            <w:tcW w:w="163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Weighted-</w:t>
              <w:br/>
              <w:t xml:space="preserve">Average </w:t>
              <w:br/>
              <w:t>Exercise Price</w:t>
              <w:br/>
              <w:t>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Weighted-</w:t>
              <w:br/>
              <w:t xml:space="preserve">Average </w:t>
              <w:br/>
              <w:t xml:space="preserve">Remaining </w:t>
              <w:br/>
              <w:t>Contract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 xml:space="preserve">Aggregate </w:t>
              <w:br/>
              <w:t>Intrinsic Value</w:t>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January 1, 2026</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514,503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907,591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27, 2026</w:t>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at June 27, 2026</w:t>
            </w:r>
          </w:p>
        </w:tc>
        <w:tc>
          <w:tcPr>
            <w:tcW w:w="93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4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19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Stock appreciation rights exercisable at June 27, 2026</w:t>
            </w:r>
          </w:p>
        </w:tc>
        <w:tc>
          <w:tcPr>
            <w:tcW w:w="931"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4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aggregate intrinsic value of stock appreciation rights is calculated as the difference between the strike price of the stock appreciation rights and the fair value of the Company’s common stock for those stock appreciation rights that had strike prices lower than the fair value of the Company’s common stock.</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Performance Stock Units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Compensation Committee of the Board approved the grant of performance stock units (“PSUs”) as a portion of the annual equity award to the Company’s senior management. The 2025 PSU program includes three equal tranches of grants. Each tranche has an annual performance period, with performance goals established for the first tranche of PSUs granted in 2025 in dollars, and second and third tranches of PSUs granted or to be granted in 2026 and 2027, respectively, as a percentage of growth from actual performance in the prior year. Any earned PSUs cliff vest on the third anniversary of the grant date for the first tranche. Thirty-three percent of the target number of PSUs awarded on each grant date will be earned at 0% to 200% of the target number of PSUs based on the Company’s achievement of the applicable Adjusted EBITDA performance goal (with 100% of PSUs being earned at target performance, and linear interpolation between threshold and target and maximum performance) as defined in the award agreement, for each year of the three-year performance period beginning on January 1, 2025 and ending December 31, 2027. The first and second tranches of PSUs under the 2025 PSU program were granted in March 2025 and 2026, respectively.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two fiscal quarters ended June 27, 2026, additional PSU grants were approved for the 2026 PSU program. The 2026 PSU program includes three equal tranches of grants. Each tranche has an annual performance period, with performance goals established for the first tranche of PSUs granted in 2026 in dollars, and second and third tranches of PSUs to be granted in 2027 and 2028 as a percentage of growth from actual performance in the prior year. Any earned PSUs cliff vest on the third anniversary of the grant date for the first tranche. Thirty-three percent of the target number of PSUs awarded on each grant date will be earned at 0% to 200% of the target number of PSUs based on the Company’s achievement of the applicable Adjusted EBITDA performance goal (with 100% of PSUs being earned at target performance, and linear interpolation between threshold and target and maximum performance) as defined in the award agreement, for each year of the three-year performance period beginning on January 1, 2026 and ending December 31, 2028. The first tranche of PSUs under the 2026 PSU program were granted in March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is considered a performance condition and the grant date fair value corresponds with management’s expectation of the probable outcome of the performance condition as of the grant date. The grant date fair value was determined based on the fair market value of the Company’s stock at market close on the grant date multiplied by the target number of shares subject to the award and adjusted for management’s expectation of the probable outcome of the performance condition. The probability of achieving the performance criteria is assessed quarterly during the performance period. Compensation expense related to unvested PSUs is recognized ratably over the performance period.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390f98568d134a85aaa8e6619b61fc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the Company’s PSU activity during the two fiscal quarters ended June 27, 2026:</w:t>
      </w:r>
    </w:p>
    <w:tbl>
      <w:tblPr>
        <w:tblW w:w="5921" w:type="dxa"/>
        <w:jc w:val="left"/>
        <w:tblInd w:w="0" w:type="dxa"/>
        <w:tblLayout w:type="fixed"/>
        <w:tblCellMar>
          <w:top w:w="28" w:type="dxa"/>
          <w:left w:w="28" w:type="dxa"/>
          <w:bottom w:w="28" w:type="dxa"/>
          <w:right w:w="28" w:type="dxa"/>
        </w:tblCellMar>
      </w:tblPr>
      <w:tblGrid>
        <w:gridCol w:w="1331"/>
        <w:gridCol w:w="1168"/>
        <w:gridCol w:w="1175"/>
        <w:gridCol w:w="307"/>
        <w:gridCol w:w="307"/>
        <w:gridCol w:w="317"/>
        <w:gridCol w:w="109"/>
        <w:gridCol w:w="109"/>
        <w:gridCol w:w="109"/>
        <w:gridCol w:w="238"/>
        <w:gridCol w:w="577"/>
        <w:gridCol w:w="174"/>
      </w:tblGrid>
      <w:tr>
        <w:trPr/>
        <w:tc>
          <w:tcPr>
            <w:tcW w:w="133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Weighted-</w:t>
              <w:br/>
              <w:t xml:space="preserve">Average </w:t>
              <w:br/>
              <w:t>Grant Date</w:t>
              <w:br/>
              <w:t>Fair Value</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January 1, 2026</w:t>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941,803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314,026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Adjustment for performance achievement </w:t>
            </w:r>
            <w:r>
              <w:rPr>
                <w:rFonts w:ascii="Times New Roman;serif" w:hAnsi="Times New Roman;serif"/>
                <w:b w:val="false"/>
                <w:color w:val="000000"/>
                <w:sz w:val="13"/>
              </w:rPr>
              <w:t>(1)</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304"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(136,870)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27, 2026 ⁽²⁾</w:t>
            </w:r>
          </w:p>
        </w:tc>
        <w:tc>
          <w:tcPr>
            <w:tcW w:w="93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1,118,959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04"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(1)Represents the adjustment to previously granted PSUs based on the Company’s performance expectations as of the end of each respective fiscal year.</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(2)An additional 354,312 PSUs could potentially be included if the maximum performance level of 200% is earned for all PSUs granted on or after January 1, 2025 and outstanding as of June 27,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13. NET INCOME PER SHARE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per share attributable to common stockholders was calculated as follows (in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514"/>
        <w:gridCol w:w="1220"/>
        <w:gridCol w:w="1227"/>
        <w:gridCol w:w="268"/>
        <w:gridCol w:w="918"/>
        <w:gridCol w:w="114"/>
        <w:gridCol w:w="109"/>
        <w:gridCol w:w="109"/>
        <w:gridCol w:w="109"/>
        <w:gridCol w:w="268"/>
        <w:gridCol w:w="918"/>
        <w:gridCol w:w="114"/>
        <w:gridCol w:w="109"/>
        <w:gridCol w:w="109"/>
        <w:gridCol w:w="109"/>
        <w:gridCol w:w="302"/>
        <w:gridCol w:w="884"/>
        <w:gridCol w:w="124"/>
        <w:gridCol w:w="109"/>
        <w:gridCol w:w="109"/>
        <w:gridCol w:w="109"/>
        <w:gridCol w:w="268"/>
        <w:gridCol w:w="918"/>
        <w:gridCol w:w="167"/>
      </w:tblGrid>
      <w:tr>
        <w:trPr/>
        <w:tc>
          <w:tcPr>
            <w:tcW w:w="1514"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7" w:type="dxa"/>
            <w:gridSpan w:val="9"/>
            <w:tcBorders/>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Two Fiscal Quarters Ended</w:t>
            </w:r>
          </w:p>
        </w:tc>
      </w:tr>
      <w:tr>
        <w:trPr/>
        <w:tc>
          <w:tcPr>
            <w:tcW w:w="3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3961"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117,476,605 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116,466,736 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117,191,888 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116,181,404 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119,541,000 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119,389,997 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119,732,620 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119,624,905 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common stockholders:</w:t>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June 27, 2026 and December 31, 2025, 117,535,232 and 116,766,927 shares of common stock were issued and outstanding, respectively.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the number of shares that may be dilutive common shares in the future that were not included in the computation of diluted net income per share because the effect was anti-dilutive:</w:t>
      </w:r>
    </w:p>
    <w:tbl>
      <w:tblPr>
        <w:tblW w:w="9392" w:type="dxa"/>
        <w:jc w:val="center"/>
        <w:tblInd w:w="0" w:type="dxa"/>
        <w:tblLayout w:type="fixed"/>
        <w:tblCellMar>
          <w:top w:w="28" w:type="dxa"/>
          <w:left w:w="28" w:type="dxa"/>
          <w:bottom w:w="28" w:type="dxa"/>
          <w:right w:w="28" w:type="dxa"/>
        </w:tblCellMar>
      </w:tblPr>
      <w:tblGrid>
        <w:gridCol w:w="781"/>
        <w:gridCol w:w="687"/>
        <w:gridCol w:w="691"/>
        <w:gridCol w:w="597"/>
        <w:gridCol w:w="379"/>
        <w:gridCol w:w="375"/>
        <w:gridCol w:w="185"/>
        <w:gridCol w:w="185"/>
        <w:gridCol w:w="185"/>
        <w:gridCol w:w="597"/>
        <w:gridCol w:w="379"/>
        <w:gridCol w:w="375"/>
        <w:gridCol w:w="109"/>
        <w:gridCol w:w="109"/>
        <w:gridCol w:w="109"/>
        <w:gridCol w:w="697"/>
        <w:gridCol w:w="375"/>
        <w:gridCol w:w="375"/>
        <w:gridCol w:w="226"/>
        <w:gridCol w:w="226"/>
        <w:gridCol w:w="226"/>
        <w:gridCol w:w="697"/>
        <w:gridCol w:w="343"/>
        <w:gridCol w:w="484"/>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7" w:type="dxa"/>
            <w:gridSpan w:val="9"/>
            <w:tcBorders/>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9"/>
            <w:tcBorders/>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Two Fiscal Quarters Ended</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5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6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awards</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705,895 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759,917 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352,947 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320,065 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1,132,851 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1,353,643 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1,089,180 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1,316,089 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Stock appreciation rights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907,591 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886,727 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stock units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302,012 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309,781 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151,006 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198,622 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390f98568d134a85aaa8e6619b61fc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14. SEGMENT REPORTING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conducts business as one operating and reportable segment that designs, manufactures, and markets in-ground swimming pools, pool covers, and pool liners. The Company’s Chief Executive Officer, who is the chief operating decision maker (“CODM”), reviews financial information presented on a consolidated basis for purposes of assessing financial performance and allocating resources.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reports consolidated net income (loss), as management believes that is the measure most consistent with the measurement principles in the Company’s condensed consolidated financial statements. Consolidated net income (loss) is used by the CODM predominantly in the annual budget and forecasting, including consideration of budget-to-actual variances when making decisions about the allocation of operating and capital resources.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Operations of the Company’s single segment consisted of the following (in thousands):</w:t>
      </w:r>
    </w:p>
    <w:tbl>
      <w:tblPr>
        <w:tblW w:w="9900" w:type="dxa"/>
        <w:jc w:val="center"/>
        <w:tblInd w:w="0" w:type="dxa"/>
        <w:tblLayout w:type="fixed"/>
        <w:tblCellMar>
          <w:top w:w="28" w:type="dxa"/>
          <w:left w:w="28" w:type="dxa"/>
          <w:bottom w:w="28" w:type="dxa"/>
          <w:right w:w="28" w:type="dxa"/>
        </w:tblCellMar>
      </w:tblPr>
      <w:tblGrid>
        <w:gridCol w:w="1555"/>
        <w:gridCol w:w="1359"/>
        <w:gridCol w:w="137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555"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Two Fiscal Quarters Ended</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04"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284,059 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cost of sales</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selling, general and administrative expense</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w:t>
            </w:r>
            <w:r>
              <w:rPr>
                <w:rFonts w:ascii="Times New Roman;serif" w:hAnsi="Times New Roman;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Strategic initiative costs</w:t>
            </w:r>
            <w:r>
              <w:rPr>
                <w:rFonts w:ascii="Times New Roman;serif" w:hAnsi="Times New Roman;serif"/>
                <w:b w:val="false"/>
                <w:color w:val="000000"/>
                <w:sz w:val="13"/>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and integration related costs</w:t>
            </w:r>
            <w:r>
              <w:rPr>
                <w:rFonts w:ascii="Times New Roman;serif" w:hAnsi="Times New Roman;serif"/>
                <w:b w:val="false"/>
                <w:color w:val="000000"/>
                <w:sz w:val="13"/>
              </w:rPr>
              <w:t>(5)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charges</w:t>
            </w:r>
            <w:r>
              <w:rPr>
                <w:rFonts w:ascii="Times New Roman;serif" w:hAnsi="Times New Roman;serif"/>
                <w:b w:val="false"/>
                <w:color w:val="000000"/>
                <w:sz w:val="13"/>
              </w:rPr>
              <w:t>(6)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equity method investment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(1)Other cost of sales includes total cost of sales (as presented in the condensed consolidated statements of operations) excluding depreciation, stock-based compensation, restructuring charges, and strategic initiative costs.</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(2)Other selling, general and administrative expense includes total selling, general and administrative expense (as presented in the condensed consolidated statements of operations) excluding depreciation, amortization, stock-based compensation, strategic initiative costs and acquisition and integration related costs.</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(3)Inclusive of finance lease amortization.</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(4)Represents fees paid to external consultants and other expenses for our strategic initiatives.</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(5)Represents acquisition and integration costs, including the earn-out related to the Coverstar Central acquisition, as well as other costs related to potential transactions.</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(6)Represents costs that include severance and other expenses for our executive management changes.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390f98568d134a85aaa8e6619b61fc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condensed consolidated financial statements and related notes appearing elsewhere in this Quarterly Report on Form 10-Q and our 2025 Annual Report on Form 10-K filed with the Securities and Exchange Commission (“SEC”) on March 4, 2026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Certain statements in this report constitute forward-looking statements within the meaning of the Private Securities Litigation Reform Act of 1995. All statements contained in this report other than statements of historical fact may constitute forward-looking statements, including statements regarding our future operating results and financial position, our business strategy and plans, business and market trends, our objectives for future operations, macroeconomic and geopolitical conditions, acquisitions and related benefits, and the sufficiency of our cash balances, working capital and cash generated from operating, investing, and financing activities for our future liquidity and capital resource needs. These forward-looking statements are generally identified by the use of forward-looking terminology, including the terms “anticipate,” “believe,” “confident,” “continue,” “could,” “estimate,” “expect,” “intend,” “likely,” “may,” “plan,” “possible,” “potential,” “predict,” “project,” “should,” “target,” “will,” “would” and, in each case, their negative or other various or comparable terminology. These statements involve known and unknown risks, uncertainties, assumptions and other important factors, many of which are outside our control, which may cause our actual results, performance or achievements to be materially different from any future results, performance or achievements expressed or implied by the forward-looking statements, including those set forth under “Risk Factors,” “Management's Discussion and Analysis of Financial Condition and Results of Operations” and elsewhere in the Annual Report and as described in other subsequent reports we file with the SEC, including elsewhere in this Quarterly Report on Form 10-Q. For similar reasons, our past results may not be a reliable indicator of future performance or trends. We encourage you to read this report and our other filings with the SEC carefully. You also should be aware that these risk factors and other information do not describe every risk that we face. New emerging risks and uncertainties not presently known to us or that we currently deem immaterial also may impair our business, financial condition, results of operations and cash flows. We operate in a very competitive and rapidly changing environment, and new risks emerge from time to time that may impair our business, financial condition, results of operations and cash flows. Although we believe that the expectations reflected in the forward-looking statements are reasonable and our expectations based on third-party information and projections are from sources that management believes to be reputable, we cannot guarantee future results, levels of activities, performance, or achievements.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reflect our views with respect to future events as of the date of this Quarterly Report on Form 10-Q or the date specified herein, and we have based these forward-looking statements on our current expectations and projections about future events and trends. Given these uncertainties, you should not place undue reliance on these forward-looking statements. Except as required by law, we undertake no obligation to update or review publicly any forward-looking statements, whether as a result of new information, future events or otherwise after the date of this Quarterly Report on Form 10-Q. We anticipate that subsequent events and developments will cause our views to change. Our forward-looking statements further do not reflect the potential impact of any future acquisitions, mergers, dispositions, joint ventures, or investments we may undertake. We qualify all of our forward-looking statements by these cautionary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0"/>
        <w:ind w:left="0" w:right="0" w:firstLine="720"/>
        <w:jc w:val="left"/>
        <w:rPr/>
      </w:pPr>
      <w:r>
        <w:rPr>
          <w:rFonts w:ascii="Times New Roman;serif" w:hAnsi="Times New Roman;serif"/>
          <w:b w:val="false"/>
          <w:color w:val="000000"/>
          <w:sz w:val="20"/>
        </w:rPr>
        <w:t>We are the largest designer, manufacturer, and marketer of in-ground residential swimming pools in North America, Australia, and New Zealand. We hold the leading position in North America in every product category in which we compete. It is our view that we are the most sought-after brand in the pool industry. We are Latham, The Pool Company</w:t>
      </w:r>
      <w:r>
        <w:rPr>
          <w:rFonts w:ascii="Times New Roman;serif" w:hAnsi="Times New Roman;serif"/>
          <w:b w:val="false"/>
          <w:color w:val="000000"/>
          <w:sz w:val="7"/>
        </w:rPr>
        <w:t>TM</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 an operating history that spans over 70 years, we offer the industry’s broadest portfolio of pools and related products, including in-ground swimming pools, pool covers, and pool liners.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 heritage of innovation. In an industry that has traditionally marketed on a business-to-business basis (pool manufacturer to dealer), we pioneered the first “direct-to-homeowner” digital and social marketing strategy that has transformed the homeowner’s purchase journey. Through this marketing strategy, we are able to create demand for our pools and to provide high quality, purchase-ready consumer leads to our dealer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390f98568d134a85aaa8e6619b61fc23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Partnership with our dealers is integral to our collective success, and we have enjoyed long-tenured relationships averaging over 15 years. We support our dealer network with business development tools, co-branded marketing programs, and in-house training.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full resources of our Company are dedicated to designing and manufacturing high-quality pool products, with the homeowner in mind, and positioning ourselves as a value-added partner to our dealers.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operations consist of approximately 1,900 employees on average across approximately 40 locations. The broad geographic reach of our national manufacturing and distribution network allows us to service our customers on short lead times and to deliver our products in a cost-effective manner. Our mission is to design and manufacture high-quality pool products, with the homeowner in mind, and to be a value-added partner to our dealers.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conduct our business as one operating and reportable segment that designs, manufactures, and markets in-ground swimming pools, pool covers, and pool liners.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Highlights for the fiscal quarter ended June 27, 2026</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 in net sales of 14.4%, or $24.8 million, to $197.5 million for the fiscal quarter ended June 27, 2026, compared to $172.6 million for the fiscal quarter ended June 28,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Decrease in net income of $3.2 million to $12.8 million and representing a 6.5% net income margin for the fiscal quarter ended June 27, 2026, compared to $16.0 million and representing a 9.3% net income margin for the fiscal quarter ended June 28,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 in Adjusted EBITDA (as defined below) of $4.7 million to $44.6 million for the fiscal quarter ended June 27, 2026, compared to $39.9 million for the fiscal quarter ended June 28, 2025. Adjusted EBITDA margin decreased from 23.1%</w:t>
      </w:r>
      <w:r>
        <w:rPr>
          <w:color w:val="000000"/>
        </w:rPr>
        <w:t xml:space="preserve"> </w:t>
      </w:r>
      <w:r>
        <w:rPr>
          <w:rFonts w:ascii="Times New Roman;serif" w:hAnsi="Times New Roman;serif"/>
          <w:b w:val="false"/>
          <w:color w:val="000000"/>
          <w:sz w:val="20"/>
        </w:rPr>
        <w:t>to 22.6%.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Highlights for the two fiscal quarters ended June 27, 2026</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Increase in net sales of 10.8%, or $30.7 million, to $314.8 million for the two fiscal quarters ended June 27, 2026, compared to $284.1 million for the two fiscal quarters ended June 28, 2025.</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Decrease in net income of $5.8 million to a net income of $4.2 million and representing a 1.3% net income margin for the two fiscal quarters ended June 27, 2026, compared to net income of $10.0 million and representing a 3.5% net income margin for the two fiscal quarters ended June 28, 2025.</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Increase in Adjusted EBITDA of $5.7 million to $56.8 million for the two fiscal quarters ended June 27, 2026, compared to $51.0 million for the two fiscal quarters ended June 28, 2025. Adjusted EBITDA margin remained flat at 18.0%.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Business Update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Second quarter sales growth was driven by execution of our strategic priorities and supports our expectations of continued share gains across our product lines. Our in-ground pool sales increased 22.5%, or 13.6% organically, led by fiberglass pool sales, which are on track to account for approximately 80% of our full year in-ground pool sales in 2026. Cover sales were up 10% in the second quarter, led by growth in autocovers, indicating a steady increase in attachment rates on new pool installations.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continued to gain traction in the Sand States, a key growth market for Latham, where second quarter sales increased at a double-digit rate. As noted last quarter, we are moving ahead with several new initiatives to accelerate our growth in these geographies, which have the potential to drive a step-change in companywide sales. In the last several months, we have made considerable progress in building our commercial organization, identified multiple target micro-markets as part of a refined market development framework around segmentation by communities, and added sales resources in the field to facilitate the sales process in concert with our dealers.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390f98568d134a85aaa8e6619b61fc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Second quarter gross profit increased, supported by higher volume and continued progress with lean manufacturing and value engineering initiatives. Demand for fiberglass pools accelerated faster than our typical seasonal ramp-up, resulting in approximately $2.8 million of incremental costs in the quarter, which represented a gross margin headwind of approximately 140 basis points. The majority of these costs are expected to be recovered in the second half of the year. Adjusted EBITDA increased 11.9% year over year, with Adjusted EBITDA margin of 22.6%, reflecting the impact of lower gross margin and the timing of sales and marketing investments. We also completed a program to optimize certain operational and administrative functions, which is enabling us to redeploy resources to sales and marketing initiatives designed to accelerate growth.</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Strategic Acquisition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Strategic transactions continue to be part of our growth strategy. On February 26, 2026, we completed the acquisition of Freedom Pools, a fiberglass pool manufacturer and installer operating in Australia and New Zealand. The acquisition has been and is expected to continue to be immediately accretive to our earnings, adding approximately $20.0 million in net sales and approximately $4.0 million in Adjusted EBITDA, on an annualized basis, before acquisition synergies. The GAAP purchase price was $15.4 million, and included a holdback of $1.6 million that has been accrued on our condensed consolidated balance sheet. The transaction was fully funded with cash on hand. </w:t>
      </w:r>
    </w:p>
    <w:p>
      <w:pPr>
        <w:pStyle w:val="TextBody"/>
        <w:bidi w:val="0"/>
        <w:spacing w:before="0" w:after="0"/>
        <w:jc w:val="left"/>
        <w:rPr/>
      </w:pPr>
      <w:r>
        <w:rPr/>
      </w:r>
    </w:p>
    <w:p>
      <w:pPr>
        <w:pStyle w:val="TextBody"/>
        <w:bidi w:val="0"/>
        <w:spacing w:lineRule="auto" w:line="268" w:before="0" w:after="240"/>
        <w:jc w:val="left"/>
        <w:rPr>
          <w:rFonts w:ascii="Times New Roman;serif" w:hAnsi="Times New Roman;serif"/>
          <w:b/>
          <w:i/>
          <w:color w:val="000000"/>
          <w:sz w:val="20"/>
        </w:rPr>
      </w:pPr>
      <w:r>
        <w:rPr>
          <w:rFonts w:ascii="Times New Roman;serif" w:hAnsi="Times New Roman;serif"/>
          <w:b/>
          <w:i/>
          <w:color w:val="000000"/>
          <w:sz w:val="20"/>
        </w:rPr>
        <w:t xml:space="preserve">Purchase of Property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fiscal quarter ended March 28, 2026, we purchased four fiberglass production facilities that had previously been leased. The transaction was completed on February 6, 2026 for a total purchase price of $17.6 million. The purchase price included a $12 million deposit made in the fourth quarter of 2025, and $5.6 million paid at closing. This purchase was the primary reason for the increase of property and equipment, net on the condensed consolidated balance sheet as of June 27,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Key Performance Indicators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derive our revenue from the design, manufacture, and sale of in-ground swimming pools, pool covers, and pool liners. We sell fiberglass pools, which are one-piece manufactured fiberglass pools that are ready to be installed in a consumer’s backyard, and custom vinyl pools, which are manufactured pools that are made out of non-corrosive steel or composite polymer frame, on top of which a vinyl liner is installed. We sell liners for the interior surface of vinyl pools (including pools that were not manufactured by us). We also sell all-season pool covers, which are winterizing mesh or solid pool covers that protect pools against debris and cold or inclement weather, and automatic safety covers for pools that can be operated with a switch.</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sales are made through one-step and two-step business-to-business distribution channels. In our one-step distribution channel, we sell our products directly to dealers who, in turn, sell our products to consumers. In our two-step distribution channel, we sell our products to distributors who warehouse our products and sell them on to dealers, who ultimately sell our products to consumers.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Each product shipped is considered to be one performance obligation. With the exception of our extended service warranties and our custom product contracts, we recognize our revenue when control of our promised goods is transferred to our customers (dealer in one-step distribution channel or distributor in two-step distribution channel), either upon shipment or arrival at our customer’s destination depending upon the terms of the purchase order. Sales are recognized net of any estimated rebates, returns, allowances, or other sales incentives. Revenue that is derived from our extended service warranties, which are separately priced and sold, is recognized over the term of the contracts. Revenue from custom products is recognized over time utilizing an input method that compares the cost of cumulative work-in-process to date to the most current estimates for the entire cost of the performance obligation.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Gross Margin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Gross margin is gross profit as a percentage of our net sales. Gross margin depends upon several factors, such as the prices we charge buyers, changes in prices of raw materials, the volume and relative sales mix among product lines, and plant performance, among other factors. Gross margin is also impacted by the costs of distribution and occupancy costs, which can vary.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390f98568d134a85aaa8e6619b61fc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gross profit is variable in nature and generally follows changes in net sales. The components of our cost of sales may not be comparable to the components of cost of sales or similar measures of other companies. As a result, our gross profit and gross margin may not be comparable to similar data made available by other companies.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Adjusted EBITDA and Adjusted EBITDA Margin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Adjusted EBITDA and Adjusted EBITDA margin are key metrics used by management and our Board of Directors of the Company (the “Board”) to assess our financial performance. Adjusted EBITDA and Adjusted EBITDA margin are also frequently used by analysts, investors, and other interested parties to evaluate companies in our industry, when considered alongside other GAAP measures. We use Adjusted EBITDA and Adjusted EBITDA margin to supplement GAAP measures of performance to evaluate the effectiveness of our business strategies, to make budgeting decisions, to utilize as a significant performance metric in our annual management incentive bonus plan compensation, and to compare our performance against that of other companies using similar measures. We have presented Adjusted EBITDA and Adjusted EBITDA margin solely as supplemental disclosures because we believe they allow for a more complete analysis of results of operations and assist investors and analysts in comparing our operating performance across reporting periods on a consistent basis by excluding items that we do not believe are indicative of our core operating performance, such as (i) depreciation and amortization, (ii) interest expense, net, (iii) income tax expense (benefit), (iv) (gain) loss on sale and disposal of property and equipment, (v) restructuring charges, (vi) stock-based compensation expense, (vii) unrealized losses (gains) on foreign currency transactions, (viii) strategic initiative costs, (ix) acquisition and integration related costs and (x) other.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Adjusted EBITDA and Adjusted EBITDA margin are non-GAAP financial measures and should not be considered as alternatives to net income (loss) as a measure of financial performance or any other performance measure derived in accordance with GAAP, and they should not be construed as an inference that our future results will be unaffected by unusual or non-recurring items. We encourage evaluation of these adjustments and the reasons we consider them appropriate for supplemental analysis. In evaluating Adjusted EBITDA and Adjusted EBITDA margin, be mindful that in the future we may incur expenses that are the same as or similar to some of the adjustments in this presentation. There can be no assurance that we will not modify the presentation of Adjusted EBITDA and Adjusted EBITDA margin in the future, and any such modification may be material. Our presentation of Adjusted EBITDA and Adjusted EBITDA margin should not be construed to imply that our future results will be unaffected by any such adjustments. In addition, other companies, including companies in our industry, may not calculate Adjusted EBITDA and Adjusted EBITDA margin at all or may calculate Adjusted EBITDA and Adjusted EBITDA margin differently and accordingly, are not necessarily comparable to similarly entitled measures of other companies, which reduces the usefulness of Adjusted EBITDA and Adjusted EBITDA margin as tools for comparison.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believe Adjusted EBITDA and Adjusted EBITDA margin are useful measurements for investors as they help identify underlying trends that could otherwise be masked by certain expenses that we do not consider indicative of our ongoing operating performance. We also use Adjusted EBITDA and Adjusted EBITDA margin for planning purposes, assessing our financial performance, and other strategic decisions. For a discussion of Adjusted EBITDA and Adjusted EBITDA margin and the limitations on their use, and the reconciliation of Adjusted EBITDA to net income (loss), the most directly comparable GAAP financial measure, and our calculation of Adjusted EBITDA margin see “— Non-GAAP Financial Measures”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390f98568d134a85aaa8e6619b61fc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Fiscal Quarter Ended June 27, 2026 Compared to Fiscal Quarter Ended June 28,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fiscal quarter ended June 27, 2026 and June 28, 2025 (dollars in thousands):</w:t>
      </w:r>
    </w:p>
    <w:tbl>
      <w:tblPr>
        <w:tblW w:w="10205" w:type="dxa"/>
        <w:jc w:val="left"/>
        <w:tblInd w:w="0" w:type="dxa"/>
        <w:tblLayout w:type="fixed"/>
        <w:tblCellMar>
          <w:top w:w="28" w:type="dxa"/>
          <w:left w:w="28" w:type="dxa"/>
          <w:bottom w:w="28" w:type="dxa"/>
          <w:right w:w="28" w:type="dxa"/>
        </w:tblCellMar>
      </w:tblPr>
      <w:tblGrid>
        <w:gridCol w:w="1031"/>
        <w:gridCol w:w="682"/>
        <w:gridCol w:w="693"/>
        <w:gridCol w:w="211"/>
        <w:gridCol w:w="826"/>
        <w:gridCol w:w="109"/>
        <w:gridCol w:w="109"/>
        <w:gridCol w:w="109"/>
        <w:gridCol w:w="109"/>
        <w:gridCol w:w="308"/>
        <w:gridCol w:w="308"/>
        <w:gridCol w:w="303"/>
        <w:gridCol w:w="109"/>
        <w:gridCol w:w="109"/>
        <w:gridCol w:w="109"/>
        <w:gridCol w:w="211"/>
        <w:gridCol w:w="826"/>
        <w:gridCol w:w="109"/>
        <w:gridCol w:w="109"/>
        <w:gridCol w:w="109"/>
        <w:gridCol w:w="109"/>
        <w:gridCol w:w="308"/>
        <w:gridCol w:w="308"/>
        <w:gridCol w:w="303"/>
        <w:gridCol w:w="109"/>
        <w:gridCol w:w="109"/>
        <w:gridCol w:w="109"/>
        <w:gridCol w:w="211"/>
        <w:gridCol w:w="721"/>
        <w:gridCol w:w="109"/>
        <w:gridCol w:w="109"/>
        <w:gridCol w:w="109"/>
        <w:gridCol w:w="109"/>
        <w:gridCol w:w="223"/>
        <w:gridCol w:w="224"/>
        <w:gridCol w:w="546"/>
      </w:tblGrid>
      <w:tr>
        <w:trPr/>
        <w:tc>
          <w:tcPr>
            <w:tcW w:w="103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2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Quarter Ended</w:t>
            </w:r>
          </w:p>
        </w:tc>
      </w:tr>
      <w:tr>
        <w:trPr/>
        <w:tc>
          <w:tcPr>
            <w:tcW w:w="2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w:t>
            </w:r>
          </w:p>
        </w:tc>
      </w:tr>
      <w:tr>
        <w:trPr/>
        <w:tc>
          <w:tcPr>
            <w:tcW w:w="2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Sales</w:t>
            </w:r>
          </w:p>
        </w:tc>
      </w:tr>
      <w:tr>
        <w:trPr/>
        <w:tc>
          <w:tcPr>
            <w:tcW w:w="2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9"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3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3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5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3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3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5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equity method investment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5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5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EBITDA </w:t>
            </w:r>
            <w:r>
              <w:rPr>
                <w:rFonts w:ascii="Times New Roman;serif" w:hAnsi="Times New Roman;serif"/>
                <w:b w:val="false"/>
                <w:color w:val="000000"/>
                <w:sz w:val="13"/>
              </w:rPr>
              <w:t>(a)</w:t>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44,616 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30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39,887 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30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4,729 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54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p>
      <w:pPr>
        <w:pStyle w:val="TextBody"/>
        <w:bidi w:val="0"/>
        <w:spacing w:lineRule="auto" w:line="288" w:before="0" w:after="240"/>
        <w:jc w:val="left"/>
        <w:rPr/>
      </w:pPr>
      <w:r>
        <w:rPr>
          <w:rFonts w:ascii="Times New Roman;serif" w:hAnsi="Times New Roman;serif"/>
          <w:b w:val="false"/>
          <w:color w:val="000000"/>
          <w:sz w:val="20"/>
        </w:rPr>
        <w:t>(a)</w:t>
      </w:r>
      <w:r>
        <w:rPr>
          <w:rFonts w:ascii="Times New Roman;serif" w:hAnsi="Times New Roman;serif"/>
          <w:b w:val="false"/>
          <w:color w:val="000000"/>
          <w:sz w:val="20"/>
        </w:rPr>
        <w:t>Adjusted EBITDA is a non-GAAP measure. See “Non-GAAP Financial Measures” for a reconciliation to net income, the most directly comparable GAAP measure, and for information regarding our use of Adjusted EBITDA.</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Net sales was $197.5 million for the fiscal quarter ended June 27, 2026, compared to $172.6 million for the fiscal quarter ended June 28, 2025. The $24.8 million, or 14.4%, increase in net sales was due to a $19.0 million increase in sales volume and a $5.8 million increase from higher pricing. The increase in net sales was primarily driven by organic growth in each of our product lines, particularly the growth of our in-ground pool sales, sales growth in the Sand States, the acquisition of Freedom Pools and the full year benefit of the 2025 price increase. The increase in net sales of $24.8 million across our product lines consisted of an increase of $17.7 million for in-ground swimming pools, $3.7 million for covers and $3.4 million for liners.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Cost of Sales and Gross Margin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Cost of sales was $127.4 million for the fiscal quarter ended June 27, 2026, compared to $108.7 million for the fiscal quarter ended June 28, 2025. Gross margin decreased by 1.6%, to 35.5% of net sales for the fiscal quarter ended June 27, 2026, compared to 37.1% of net sales for the fiscal quarter ended June 28, 2025. The $18.7 million, or 17.2%, increase in cost of sales was primarily the result of the increase in sales volume, partially offset by the impact of production efficiencies resulting from lean manufacturing and value engineering programs. The 1.6% decrease in gross margin was primarily driven by quarter specific ramp-up costs of $2.8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390f98568d134a85aaa8e6619b61fc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w:t>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was $37.6 million for the fiscal quarter ended June 27, 2026, compared to $31.9 million for the fiscal quarter ended June 28, 2025. The $5.7 million, or 17.8%, increase in selling, general, and administrative expense was primarily due to investments in our growth strategies, the timing of sales and marketing initiatives to accelerate the fiberglass conversion strategy in the Sand States, acquisition and integration related costs, which included $2.2 million of performance-based compensatory earn-out expenses related to our Coverstar Central acquisition in 2024, as well as our digital transformation efforts.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Amortization</w:t>
      </w:r>
    </w:p>
    <w:p>
      <w:pPr>
        <w:pStyle w:val="TextBody"/>
        <w:bidi w:val="0"/>
        <w:spacing w:lineRule="auto" w:line="288" w:before="0" w:after="240"/>
        <w:jc w:val="left"/>
        <w:rPr/>
      </w:pPr>
      <w:r>
        <w:rPr>
          <w:rFonts w:ascii="Times New Roman;serif" w:hAnsi="Times New Roman;serif"/>
          <w:b w:val="false"/>
          <w:color w:val="000000"/>
          <w:sz w:val="20"/>
        </w:rPr>
        <w:t>Amortization was $7.4 million for the fiscal quarter ended June 27, 2026 and $7.3 million for the fiscal quarter ended June 28, 2025. The $0.1 million, or 0.9%</w:t>
      </w:r>
      <w:r>
        <w:rPr>
          <w:rFonts w:ascii="Arial;sans-serif" w:hAnsi="Arial;sans-serif"/>
          <w:b w:val="false"/>
          <w:color w:val="000000"/>
          <w:sz w:val="24"/>
        </w:rPr>
        <w:t>,</w:t>
      </w:r>
      <w:r>
        <w:rPr>
          <w:color w:val="000000"/>
        </w:rPr>
        <w:t xml:space="preserve"> </w:t>
      </w:r>
      <w:r>
        <w:rPr>
          <w:rFonts w:ascii="Times New Roman;serif" w:hAnsi="Times New Roman;serif"/>
          <w:b w:val="false"/>
          <w:color w:val="000000"/>
          <w:sz w:val="20"/>
        </w:rPr>
        <w:t>increase in amortization was due to the Freedom Pools acquisition.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net was $5.9 million for the fiscal quarter ended June 27, 2026, compared to $7.1 million for the fiscal quarter ended June 28, 2025. The $1.2 million, or 17.1%, decrease in interest expense, net was primarily the result of the change in the fair value of our interest rate swap and a decrease in interest rates, compared to the fiscal quarter ended June 28, 2025.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 Expense (Income), Net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expense, net was $1.4 million for the fiscal quarter ended June 27, 2026, compared to other income, net of $3.0 million for fiscal quarter ended June 28, 2025. The $4.4 million increase in other expense, net was primarily driven by an unfavorable change in net foreign currency transaction gains and losses associated with our international subsidiaries.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Earnings from Equity Method Investment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Earnings from our equity method investment in Premier Pools &amp; Spas was $1.1 million for the fiscal quarter ended June 27, 2026, compared to $0.5 million for the fiscal quarter ended June 28, 2025, due to the financial performance of Premier Pools &amp; Spas.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Income tax expense was $6.1 million for the fiscal quarter ended June 27, 2026, compared to $5.1 million for the fiscal quarter ended June 28, 2025. Our effective tax rate was 32.4% for the fiscal quarter ended June 27, 2026, compared to 24.3% for the fiscal quarter ended June 28, 2025. The differences between the U.S. federal statutory income tax rate and our effective income tax rates for the fiscal quarter ended June 27, 2026 and the fiscal quarter ended June 28, 2025 were primarily attributable to the discrete impact of stock compensation expense for which there is no associated tax benefit, the effects of branch accounting for Latham Canada and the jurisdictional mix of income.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Net Income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Net income was $12.8 million for the fiscal quarter ended June 27, 2026, compared to $16.0 million for the fiscal quarter ended June 28, 2025. The $3.2 million, or 20.2%, decrease in net income was primarily driven by an unfavorable change in net foreign currency transaction gains and losses associated with our international subsidiaries of $5.0 million, as well as the other factors described above.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Net Income Margin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Net income margin was 6.5% for the fiscal quarter ended June 27, 2026, compared to 9.3% for the fiscal quarter ended June 28, 2025. The 2.8% decrease in net income margin was primarily driven by the $3.2 million decrease in net income, as well as the other factors described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390f98568d134a85aaa8e6619b61fc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Adjusted EBITDA</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Adjusted EBITDA was $44.6 million for the fiscal quarter ended June 27, 2026, compared to $39.9 million for the fiscal quarter ended June 28, 2025. The $4.7 million, or 11.9%, increase in Adjusted EBITDA was primarily because of the factors described above.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Adjusted EBITDA Margin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Adjusted EBITDA margin was 22.6% for the fiscal quarter ended June 27, 2026, compared to 23.1% for the fiscal quarter ended June 28, 2025. The 0.5% decrease in Adjusted EBITDA margin was primarily because of the decrease in gross margin and the timing of sales and marketing campaigns to accelerate market penetration in the Sand States as well as the other factors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Two Fiscal Quarters Ended June 27, 2026 Compared to Two Fiscal Quarters Ended June 28, 2025</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two fiscal quarters ended June 27, 2026 and June 28, 2025:</w:t>
      </w:r>
    </w:p>
    <w:tbl>
      <w:tblPr>
        <w:tblW w:w="10205" w:type="dxa"/>
        <w:jc w:val="left"/>
        <w:tblInd w:w="0" w:type="dxa"/>
        <w:tblLayout w:type="fixed"/>
        <w:tblCellMar>
          <w:top w:w="28" w:type="dxa"/>
          <w:left w:w="28" w:type="dxa"/>
          <w:bottom w:w="28" w:type="dxa"/>
          <w:right w:w="28" w:type="dxa"/>
        </w:tblCellMar>
      </w:tblPr>
      <w:tblGrid>
        <w:gridCol w:w="1031"/>
        <w:gridCol w:w="682"/>
        <w:gridCol w:w="693"/>
        <w:gridCol w:w="211"/>
        <w:gridCol w:w="826"/>
        <w:gridCol w:w="109"/>
        <w:gridCol w:w="109"/>
        <w:gridCol w:w="109"/>
        <w:gridCol w:w="109"/>
        <w:gridCol w:w="308"/>
        <w:gridCol w:w="308"/>
        <w:gridCol w:w="303"/>
        <w:gridCol w:w="109"/>
        <w:gridCol w:w="109"/>
        <w:gridCol w:w="109"/>
        <w:gridCol w:w="211"/>
        <w:gridCol w:w="826"/>
        <w:gridCol w:w="109"/>
        <w:gridCol w:w="109"/>
        <w:gridCol w:w="109"/>
        <w:gridCol w:w="109"/>
        <w:gridCol w:w="308"/>
        <w:gridCol w:w="308"/>
        <w:gridCol w:w="303"/>
        <w:gridCol w:w="109"/>
        <w:gridCol w:w="109"/>
        <w:gridCol w:w="109"/>
        <w:gridCol w:w="211"/>
        <w:gridCol w:w="721"/>
        <w:gridCol w:w="109"/>
        <w:gridCol w:w="109"/>
        <w:gridCol w:w="109"/>
        <w:gridCol w:w="109"/>
        <w:gridCol w:w="223"/>
        <w:gridCol w:w="224"/>
        <w:gridCol w:w="546"/>
      </w:tblGrid>
      <w:tr>
        <w:trPr/>
        <w:tc>
          <w:tcPr>
            <w:tcW w:w="103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2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Two Fiscal Quarters Ended</w:t>
            </w:r>
          </w:p>
        </w:tc>
      </w:tr>
      <w:tr>
        <w:trPr/>
        <w:tc>
          <w:tcPr>
            <w:tcW w:w="2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w:t>
            </w:r>
          </w:p>
        </w:tc>
      </w:tr>
      <w:tr>
        <w:trPr/>
        <w:tc>
          <w:tcPr>
            <w:tcW w:w="2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Sales</w:t>
            </w:r>
          </w:p>
        </w:tc>
      </w:tr>
      <w:tr>
        <w:trPr/>
        <w:tc>
          <w:tcPr>
            <w:tcW w:w="2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9"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3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3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107,235 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3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3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5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equity method investment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EBITDA </w:t>
            </w:r>
            <w:r>
              <w:rPr>
                <w:rFonts w:ascii="Times New Roman;serif" w:hAnsi="Times New Roman;serif"/>
                <w:b w:val="false"/>
                <w:color w:val="000000"/>
                <w:sz w:val="13"/>
              </w:rPr>
              <w:t>(a)</w:t>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56,776 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30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51,027 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30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5,749 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54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(a)Adjusted EBITDA is a non-GAAP measure. See “Non-GAAP Financial Measures” for a reconciliation to net income, the most directly comparable GAAP measure, and for information regarding our use of Adjusted EBITDA.</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were $314.8 million for the two fiscal quarters ended June 27, 2026, compared to $284.1 million for the two fiscal quarters ended June 28, 2025. The $30.7 million, or 10.8%, increase in net sales was due to a $22.0 million increase in sales volume and a $8.7 million increase from higher pricing. The sales volume increase was primarily due to organic growth of 7.5% with the acquisition of Freedom Pools contributing the remainder. The increase in net sales across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390f98568d134a85aaa8e6619b61fc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product lines consisted of an increase of $19.7 million for in-ground swimming pools, $5.6 million for covers and $5.4 million for liners.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Cost of Sales and Gross Margin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Cost of sales was $207.6 million for the two fiscal quarters ended June 27, 2026, compared to $187.2 million for the two fiscal quarters ended June 28, 2025. Gross margin was 34.1% of net sales for the two fiscal quarters ended June 27, 2026 and June 28, 2025. The $20.3 million increase in cost of sales was primarily the result of the increase in sales volume, partially offset by the impact of production efficiencies resulting from lean manufacturing and value engineering programs. Gross margin was in line with prior year, and included second-quarter-specific ramp-up costs that offset the benefits of lean manufacturing and value engineering initiatives.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 was $74.2 million for the two fiscal quarters ended June 27, 2026, compared to $62.6 million for the two fiscal quarters ended June 28, 2025. The $11.6 million, or 18.6%, increase in selling, general, and administrative expense was primarily driven by increased sales and marketing investments to accelerate our fiberglass conversion strategy in the Sand States, acquisition and integration related costs, which included $4.5 million of performance-based compensatory earn-out expenses related to our Coverstar Central acquisition in 2024 and costs related to our digital transformation program.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Amortization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was $14.5 million for both the two fiscal quarters ended June 27, 2026 and June 28, 2025.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net was $10.7 million for the two fiscal quarters ended June 27, 2026, compared to $13.5 million for the two fiscal quarters ended June 28, 2025. The $2.8 million, or 21.0%, decrease in interest expense, net was the result of the change in the fair value of our interest rate swap and a decrease in the outstanding balance of long-term debt, compared to the two fiscal quarters ended June 28, 2025.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expense, net was $2.2 million for the two fiscal quarters ended June 27, 2026, compared to other income, net of $3.4 million for the two fiscal quarters ended June 28, 2025. The $5.5 million increase in other expense, net was primarily driven by an unfavorable change in net foreign currency transaction gains and losses associated with our international subsidiaries.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Earnings from Equity Method Investment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Earnings from our equity method investment in Premier Pools &amp; Spas were $1.9 million for the two fiscal quarters ended June 27, 2026, compared to $1.4 million for the two fiscal quarters ended June 28, 2025, due to the financial performance of Premier Pools &amp; Spas.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Income tax expense was $3.3 million for the two fiscal quarters ended June 27, 2026, compared to income tax expense of $1.1 million for the two fiscal quarters ended June 28, 2025. Our effective tax rate was 43.9% for the two fiscal quarters ended June 27, 2026, compared to 9.5% for the two fiscal quarters ended June 28, 2025. The difference between the U.S. federal statutory income tax rate and our effective income tax rate for both the two fiscal quarters ended June 27, 2026 and June 28, 2025 was primarily attributable to the discrete impact of stock compensation expense for which there is no associated tax benefit, the effects of branch accounting for Latham Canada and the jurisdictional mix of income.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Net Income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was $4.2 million for the two fiscal quarters ended June 27, 2026, compared to $10.0 million for the two fiscal quarters ended June 28, 2025. The $5.8 million, or 57.9%, decrease in net income was primarily driven by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390f98568d134a85aaa8e6619b61fc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unfavorable change in net foreign currency transaction gains and losses associated with our international subsidiaries of $6.4 million, as well as the other factors described above.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Net Income Margin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Net income margin was 1.3% for the two fiscal quarters ended June 27, 2026, compared to 3.5% for the two fiscal quarters ended June 28, 2025. The 2.2% decrease in net income margin was driven by a $5.8 million decrease in net income as well as the other factors described above.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Adjusted EBITDA</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Adjusted EBITDA was $56.8 million for the two fiscal quarters ended June 27, 2026, compared to $51.0 million for the two fiscal quarters ended June 28, 2025. The $5.7 million, or 11.3%, increase in Adjusted EBITDA was driven by the factors described above.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Adjusted EBITDA Margin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margin was 18.0% and remained flat for the two fiscal quarters ended June 27, 2026 compared to the two fiscal quarters ended June 28,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Adjusted EBITDA and Adjusted EBITDA Margin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Adjusted EBITDA and Adjusted EBITDA margin are key metrics used by management and our Board to assess our financial performance. Adjusted EBITDA and Adjusted EBITDA margin are also frequently used by analysts, investors, and other interested parties to evaluate companies in our industry, when considered alongside other GAAP measures. We use Adjusted EBITDA and Adjusted EBITDA margin to supplement GAAP measures of performance to evaluate the effectiveness of our business strategies, to make budgeting decisions, to utilize as a significant performance metric in our annual management incentive bonus plan compensation, and to compare our performance against that of other companies using similar measures. We have presented Adjusted EBITDA and Adjusted EBITDA margin solely as supplemental disclosures because we believe they allow for a more complete analysis of results of operations and assist investors and analysts in comparing our operating performance across reporting periods on a consistent basis by excluding items that we do not believe are indicative of our core operating performance, such as (i) depreciation and amortization, (ii) interest expense, net, (iii) income tax expense (benefit), (iv) (gain) loss on sale and disposal of property and equipment, (v) restructuring charges, (vi) stock-based compensation expense, (vii) unrealized losses (gains) on foreign currency transactions, (viii) strategic initiative costs, (ix) acquisition and integration related costs and (x) other.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Adjusted EBITDA and Adjusted EBITDA margin are non-GAAP financial measures and should not be considered as alternatives to net income (loss) as a measure of financial performance or any other performance measure derived in accordance with GAAP, and they should not be construed as an inference that our future results will be unaffected by unusual or non-recurring items. We encourage evaluation of these adjustments and the reasons we consider them appropriate for supplemental analysis. In evaluating Adjusted EBITDA and Adjusted EBITDA margin, be mindful that in the future we may incur expenses that are the same as or similar to some of the adjustments in this presentation. There can be no assurance that we will not modify the presentation of Adjusted EBITDA and Adjusted EBITDA margin in the future, and any such modification may be material. Our presentation of Adjusted EBITDA and Adjusted EBITDA margin should not be construed to imply that our future results will be unaffected by any such adjustments. In addition, other companies, including companies in our industry, may not calculate Adjusted EBITDA and Adjusted EBITDA margin at all or may calculate Adjusted EBITDA and Adjusted EBITDA margin differently and accordingly, are not necessarily comparable to similarly entitled measures of other companies, which reduces the usefulness of Adjusted EBITDA and Adjusted EBITDA margin as tools for comparison.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Adjusted EBITDA and Adjusted EBITDA margin have their limitations as analytical tools, and should not be considered in isolation or as a substitute for analysis of our results as reported under GAAP. Some of these limitations are that Adjusted EBITDA and Adjusted EBITDA margin: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do not reflect every expenditure, future requirements for capital expenditures or contractual commitments;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390f98568d134a85aaa8e6619b61fc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do not reflect changes in our working capital needs;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do not reflect the interest expense, net, or the amounts necessary to service interest or principal payments, on our outstanding debt;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do not reflect income tax expense (benefit), and because the payment of taxes is part of our operations, tax expense is a necessary element of our costs and ability to operate;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do not reflect non-cash stock-based compensation, which will remain a key element of our overall compensation package;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do not reflect the impact of earnings or charges resulting from matters we consider not to be indicative of our ongoing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Although depreciation and amortization are eliminated in the calculation of Adjusted EBITDA and Adjusted EBITDA margin, the assets being depreciated and amortized will often have to be replaced in the future, and Adjusted EBITDA and Adjusted EBITDA margin do not reflect any costs of such replacements.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Management compensates for these limitations by primarily relying on our GAAP results, while using Adjusted EBITDA and Adjusted EBITDA margin as supplements to the corresponding GAAP financial measures.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our net income to Adjusted EBITDA for the periods presented and the calculation of Adjusted EBITDA margin (dollars in thousands):</w:t>
      </w:r>
    </w:p>
    <w:tbl>
      <w:tblPr>
        <w:tblW w:w="10205" w:type="dxa"/>
        <w:jc w:val="center"/>
        <w:tblInd w:w="0" w:type="dxa"/>
        <w:tblLayout w:type="fixed"/>
        <w:tblCellMar>
          <w:top w:w="28" w:type="dxa"/>
          <w:left w:w="28" w:type="dxa"/>
          <w:bottom w:w="28" w:type="dxa"/>
          <w:right w:w="28" w:type="dxa"/>
        </w:tblCellMar>
      </w:tblPr>
      <w:tblGrid>
        <w:gridCol w:w="1440"/>
        <w:gridCol w:w="1243"/>
        <w:gridCol w:w="1262"/>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8"/>
      </w:tblGrid>
      <w:tr>
        <w:trPr/>
        <w:tc>
          <w:tcPr>
            <w:tcW w:w="1440"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Two Fiscal Quarters Ended</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10,018 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and disposal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charges</w:t>
            </w:r>
            <w:r>
              <w:rPr>
                <w:rFonts w:ascii="Times New Roman;serif" w:hAnsi="Times New Roman;serif"/>
                <w:b w:val="false"/>
                <w:color w:val="000000"/>
                <w:sz w:val="13"/>
              </w:rPr>
              <w:t>(a)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Stock-based compensation expense</w:t>
            </w:r>
            <w:r>
              <w:rPr>
                <w:rFonts w:ascii="Times New Roman;serif" w:hAnsi="Times New Roman;serif"/>
                <w:b w:val="false"/>
                <w:color w:val="000000"/>
                <w:sz w:val="13"/>
              </w:rPr>
              <w:t>(b)</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Unrealized losses (gains) on foreign currency transactions</w:t>
            </w:r>
            <w:r>
              <w:rPr>
                <w:rFonts w:ascii="Times New Roman;serif" w:hAnsi="Times New Roman;serif"/>
                <w:b w:val="false"/>
                <w:color w:val="000000"/>
                <w:sz w:val="13"/>
              </w:rPr>
              <w:t>(c)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(4,059)</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Strategic initiative costs</w:t>
            </w:r>
            <w:r>
              <w:rPr>
                <w:rFonts w:ascii="Times New Roman;serif" w:hAnsi="Times New Roman;serif"/>
                <w:b w:val="false"/>
                <w:color w:val="000000"/>
                <w:sz w:val="13"/>
              </w:rPr>
              <w:t>(d)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and integration related costs</w:t>
            </w:r>
            <w:r>
              <w:rPr>
                <w:rFonts w:ascii="Times New Roman;serif" w:hAnsi="Times New Roman;serif"/>
                <w:b w:val="false"/>
                <w:color w:val="000000"/>
                <w:sz w:val="13"/>
              </w:rPr>
              <w: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(f)</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44,616 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39,887 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56,776 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51,027 </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197,474 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172,639 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314,789 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284,059 </w:t>
            </w:r>
          </w:p>
        </w:tc>
        <w:tc>
          <w:tcPr>
            <w:tcW w:w="31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103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31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(a)Represents costs that include severance and other expenses for our executive management changes.</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(b)Represents non-cash stock-based compensation expense. </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(c)Represents unrealized foreign currency transaction losses (gains) associated with our international subsidiaries.</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(d)Represents fees paid to external consultants and other expenses for our strategic initiatives.</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(e)Represents acquisition and integration costs, including the earn-out related to the Coverstar Central acquisition, as well as other costs related to potential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390f98568d134a85aaa8e6619b61fc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(f)Other costs consist of other discrete items as determined by management, primarily including (i) fees paid to external advisors for various matters and (ii) other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sources of liquidity are net cash provided by operating activities and availability under our Revolving Credit Facility (as defined below). Historically, we have funded working capital requirements, capital expenditures, payments related to acquisitions, and debt service requirements with internally generated cash on hand, through borrowings under our credit facilities, and through the issuance of shares of our common stock. Our primary cash needs are to fund working capital, capital expenditures, debt service requirements and any acquisitions or investments we may undertake.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27, 2026, we had $43.5 million of cash, $279.8 million of outstanding borrowings and an additional $75.0 million of borrowing availability under our Revolving Credit Facility.</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primary working capital requirements are for the purchase of inventory, payroll, rent, facility costs and other selling, general, and administrative costs. Our working capital requirements fluctuate during the fiscal year, driven primarily by seasonality and the timing of raw material purchases. Our capital expenditures are primarily related to our growth strategy, including production capacity, diversifying our product offerings, storage, and delivery equipment. We are currently undergoing a digital transformation effort to upgrade all of our technology and enterprise resource planning ("ERP") systems. We expect to fund these capital expenditures from net cash provided by operating activities or the utilization of a portion of our borrowing availability under our Revolving Credit Facility.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disciplined capital activity allocation strategy remains focused on deploying capital opportunistically to position Latham for profitable organic and acquisition-related growth and to de-lever and further reduce our net debt leverage ratio.</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It is our belief that our existing cash, cash generated from operations and availability under our Revolving Credit Facility (which maturity is expected to be extended in the ordinary course before it matures) will be adequate to fund our operating expenses and capital expenditure requirements over the next 12 months, as well as our longer-term liquidity needs. We have based this estimate on assumptions that may prove to be wrong, and we could utilize our available capital resources sooner than we expect. We may issue debt or equity securities, which may provide an additional source of liquidity. However, there can be no assurance equity or debt financing will be available to us when we need it or, if available, the terms will be satisfactory to us and not dilutive to our then-current stockholders.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Indebtedness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February 23, 2022, Latham Pool Products, Inc. (“Latham Pool Products”), our wholly owned subsidiary, entered into the Credit Agreement with Barclays Bank PLC (the "Credit Agreement"), which provides a senior secured multicurrency revolving line of credit (the "Revolving Credit Facility") in an initial principal amount of $75.0 million and a U.S. Dollar senior secured term loan (the “Term Loan”) in an initial principal amount of $325.0 million.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obligations under the Credit Agreement are guaranteed by certain of our wholly owned subsidiaries as defined in the security agreement. The obligations under the Credit Agreement are secured by substantially all of the guarantors’ tangible and intangible assets, including, but not limited to, their accounts receivables, equipment, intellectual property, inventory, cash and cash equivalents, deposit accounts and security accounts.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are required to meet certain financial covenants, including maintaining specific liquidity measurements. There are also negative covenants, including certain restrictions on our ability and the ability of our subsidiaries to incur additional indebtedness, create liens, make investments, consolidate or merge with other entities, enter into transactions with affiliates, make prepayments with respect to certain indebtedness, make dividend payments, loans, or advances to us, declare dividends and make restricted payments and other distributions.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June 27, 2026, we were in compliance with all covenants under the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390f98568d134a85aaa8e6619b61fc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Revolving Credit Facility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Revolving Credit Facility may be utilized to finance ongoing general corporate and working capital needs and permits Latham Pool Products to borrow loans in U.S. Dollars, Canadian Dollars, Euros and Australian Dollars. The Revolving Credit Facility matures on February 23, 2027. We are currently in discussions to extend the Revolving Credit Facility before it matures. Loans outstanding under the Revolving Credit Facility denominated in U.S. Dollars and Canadian Dollars bear interest, at the borrower’s option, at a rate per annum based on Term SOFR or CDO (each, as defined in the Credit Agreement), as applicable, plus a margin of 3.50%, or at a rate per annum based on the Base Rate or the Canadian Prime Rate (each, as defined in the Credit Agreement), plus a margin of 2.50%. Loans outstanding under the Revolving Credit Facility denominated in Euros or Australian Dollars bear interest based on EURIBOR or the AUD Rate (each, as defined in the Credit Agreement), respectively, plus a margin of 3.50%. A commitment fee accrues on any unused portion of the commitments under the Revolving Credit Facility. The commitment fee is due and payable quarterly in arrears, and initially was 0.375% per annum and, thereafter accrues at a rate per annum ranging from 0.25% to 0.50%, depending on the First Lien Net Leverage Ratio. Borrowings under the Revolving Credit Facility are not subject to amortization and are due at maturity.</w:t>
      </w:r>
    </w:p>
    <w:p>
      <w:pPr>
        <w:pStyle w:val="TextBody"/>
        <w:bidi w:val="0"/>
        <w:spacing w:lineRule="auto" w:line="288" w:before="0" w:after="240"/>
        <w:jc w:val="left"/>
        <w:rPr/>
      </w:pPr>
      <w:r>
        <w:rPr>
          <w:rFonts w:ascii="Times New Roman;serif" w:hAnsi="Times New Roman;serif"/>
          <w:b w:val="false"/>
          <w:color w:val="000000"/>
          <w:sz w:val="20"/>
        </w:rPr>
        <w:t>During the two fiscal quarters ended June 27, 2026, we repaid $35.0 million</w:t>
      </w:r>
      <w:r>
        <w:rPr>
          <w:color w:val="000000"/>
        </w:rPr>
        <w:t xml:space="preserve"> </w:t>
      </w:r>
      <w:r>
        <w:rPr>
          <w:rFonts w:ascii="Times New Roman;serif" w:hAnsi="Times New Roman;serif"/>
          <w:b w:val="false"/>
          <w:color w:val="000000"/>
          <w:sz w:val="20"/>
        </w:rPr>
        <w:t>of outstanding borrowings on the Revolving Credit Facility. As of June 27, 2026, we had no outstanding borrowings under the Revolving Credit Facility and $75.0 million was available for future borrowing.</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Term Loan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Term Loan matures on February 23, 2029. Loans outstanding under the Term Loan bear interest, at the borrower’s option, at a rate per annum based on Term SOFR (as defined in the Credit Agreement), plus a margin ranging from 3.75% to 4.00%, depending on the First Lien Net Leverage Ratio, or based on the Base Rate (each as defined in the Credit Agreement), plus a margin ranging from 2.75% to 3.00%, depending on the First Lien Net Leverage Ratio. Loans under the Term Loan are subject to scheduled quarterly amortization payments equal to 0.25% of the initial principal amount of the Term Loan.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June 27, 2026, we had $279.8 million of outstanding borrowings under the Term Loan.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sources and uses of cash for each of the periods presented (dollars in thousands):</w:t>
      </w:r>
    </w:p>
    <w:tbl>
      <w:tblPr>
        <w:tblW w:w="6818" w:type="dxa"/>
        <w:jc w:val="center"/>
        <w:tblInd w:w="0" w:type="dxa"/>
        <w:tblLayout w:type="fixed"/>
        <w:tblCellMar>
          <w:top w:w="28" w:type="dxa"/>
          <w:left w:w="28" w:type="dxa"/>
          <w:bottom w:w="28" w:type="dxa"/>
          <w:right w:w="28" w:type="dxa"/>
        </w:tblCellMar>
      </w:tblPr>
      <w:tblGrid>
        <w:gridCol w:w="1524"/>
        <w:gridCol w:w="1340"/>
        <w:gridCol w:w="1350"/>
        <w:gridCol w:w="211"/>
        <w:gridCol w:w="796"/>
        <w:gridCol w:w="109"/>
        <w:gridCol w:w="109"/>
        <w:gridCol w:w="109"/>
        <w:gridCol w:w="109"/>
        <w:gridCol w:w="211"/>
        <w:gridCol w:w="796"/>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Two Fiscal Quarters Ended</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(29,455)</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0"/>
        <w:jc w:val="left"/>
        <w:rPr/>
      </w:pPr>
      <w:r>
        <w:rPr>
          <w:rFonts w:ascii="Times New Roman;serif" w:hAnsi="Times New Roman;serif"/>
          <w:b w:val="false"/>
          <w:color w:val="000000"/>
          <w:sz w:val="20"/>
        </w:rPr>
        <w:t>During the two fiscal quarters ended June 27, 2026, operating activities provided $5.8 million of cash. Net income, after adjustments for non-cash items, provided cash of $38.2 million. Cash provided by operating activities was primarily driven by changes in our operating assets and liabilities, which used $32.4 million. Net cash used due to changes in our operating assets and liabilities for the two fiscal quarters ended June 27, 2026 consisted primarily of a $56.1 million increase in trade receivables, a $3.0 million increase in prepaid expenses and other current assets, a $1.2 million increase in inventories, a $0.5 million increase in other assets and a $0.1 million</w:t>
      </w:r>
      <w:r>
        <w:rPr>
          <w:color w:val="000000"/>
        </w:rPr>
        <w:t xml:space="preserve"> </w:t>
      </w:r>
      <w:r>
        <w:rPr>
          <w:rFonts w:ascii="Times New Roman;serif" w:hAnsi="Times New Roman;serif"/>
          <w:b w:val="false"/>
          <w:color w:val="000000"/>
          <w:sz w:val="20"/>
        </w:rPr>
        <w:t xml:space="preserve">decrease in other long-term liabilities, partially offset by a $17.8 million increase in accounts payable, a $7.7 million increase in accrued expenses and other current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390f98568d134a85aaa8e6619b61fc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and a $2.9 million decrease in income tax receivable. The change in trade receivables was primarily driven by the increase and timing of net sales, the change in accounts payable was primarily driven by volume of purchases and timing of payments.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During the two fiscal quarters ended June 28, 2025, operating activities used $10.9 million of cash. Net income, after adjustments for non-cash items, provided cash of $40.0 million. Cash used in operating activities was driven by changes in our operating assets and liabilities, which used $50.9 million. Net cash used by changes in our operating assets and liabilities for the two fiscal quarters ended June 28, 2025 consisted primarily of a $57.4 million increase in trade receivables, a $4.9 million increase in income tax receivable, a $2.7 million increase in prepaid expenses and other current assets, a $0.9 million increase in inventories, a $0.2 million decrease in other long-term liabilities and a $0.2 million increase in other assets, partially offset by a $13.1 million increase in accounts payable and a $2.4 million increase in accrued expenses and other current liabilities. The change in trade receivables was primarily driven by the increase and timing of net sales and the change in accounts payable was primarily driven by volume of purchases and timing of payments.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two fiscal quarters ended June 27, 2026, investing activities used $30.3 million of cash, consisting of purchases of property and equipment for $16.1 million and a cash payment for the acquisition of business, net of cash acquired of $14.3 million. Acquisition of business, net of cash acquired included $13.9 million cash paid for the acquisition of Freedom Pools and $0.4 million for a holdback paid related to the acquisition of two of our smaller autocover dealers in New York and Tennessee. Purchases of property and equipment included the second payment of $5.6 million that was paid as a follow up to the deposit made in the prior year of $12.0 million for the purchase of four fiberglass plants that had previously been leased. The remainder was primarily to expand capacity for production and diversify offerings, especially for fiberglass pools, and on-going strategic initiatives such as digital transformation.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During the two fiscal quarters ended June 28, 2025, investing activities used $15.3 million of cash, consisting of purchases of property and equipment for $10.3 million and the acquisition of two of our autocover dealers of $4.9 million. The purchase of property and equipment was primarily to expand capacity for production and diversify offerings, especially for fiberglass pools, as well as on-going strategic initiatives such as digital transformation.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240"/>
        <w:jc w:val="left"/>
        <w:rPr/>
      </w:pPr>
      <w:r>
        <w:rPr>
          <w:rFonts w:ascii="Times New Roman;serif" w:hAnsi="Times New Roman;serif"/>
          <w:b w:val="false"/>
          <w:color w:val="000000"/>
          <w:sz w:val="20"/>
        </w:rPr>
        <w:t>During the two fiscal quarters ended June 27, 2026, financing activities used $3.7 million of cash, primarily consisting of common stock withheld for taxes on restricted stock units of $2.5 million</w:t>
      </w:r>
      <w:r>
        <w:rPr>
          <w:rFonts w:ascii="Arial;sans-serif" w:hAnsi="Arial;sans-serif"/>
          <w:b w:val="false"/>
          <w:color w:val="000000"/>
          <w:sz w:val="24"/>
        </w:rPr>
        <w:t xml:space="preserve">, </w:t>
      </w:r>
      <w:r>
        <w:rPr>
          <w:rFonts w:ascii="Times New Roman;serif" w:hAnsi="Times New Roman;serif"/>
          <w:b w:val="false"/>
          <w:color w:val="000000"/>
          <w:sz w:val="20"/>
        </w:rPr>
        <w:t>payments on long-term debt borrowings of</w:t>
      </w:r>
      <w:r>
        <w:rPr>
          <w:color w:val="000000"/>
        </w:rPr>
        <w:t xml:space="preserve"> </w:t>
      </w:r>
      <w:r>
        <w:rPr>
          <w:rFonts w:ascii="Times New Roman;serif" w:hAnsi="Times New Roman;serif"/>
          <w:b w:val="false"/>
          <w:color w:val="000000"/>
          <w:sz w:val="20"/>
        </w:rPr>
        <w:t>$0.8 million</w:t>
      </w:r>
      <w:r>
        <w:rPr>
          <w:color w:val="000000"/>
        </w:rPr>
        <w:t xml:space="preserve"> </w:t>
      </w:r>
      <w:r>
        <w:rPr>
          <w:rFonts w:ascii="Times New Roman;serif" w:hAnsi="Times New Roman;serif"/>
          <w:b w:val="false"/>
          <w:color w:val="000000"/>
          <w:sz w:val="20"/>
        </w:rPr>
        <w:t>and repayments of finance lease obligations of $0.4 million.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During the two fiscal quarters ended June 28, 2025, financing activities used $3.6 million of cash, primarily consisting of common stock withheld for taxes on restricted stock units of $2.4 million, Term Loan payments of $0.8 million and repayments of finance lease obligations of $0.4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outside of the ordinary course of business, to our contractual obligations during the two fiscal quarters ended June 27, 2026 from those described under the heading “Management’s Discussion and Analysis of Financial Condition and Results of Operations—Contractual Obligations”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Critical Accounting Policies and Estimates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Our condensed consolidated financial statements are prepared in accordance with generally accepted accounting principles in the United States. Throughout the preparation of these financial statements, we have made estimates and assumptions that impact the reported amounts of assets, liabilities, and the disclosure of contingent liabilities at the date of the financial statements and revenues and expenses during the reporting period. Our critical accounting policies and estimates are described under the heading “Management’s Discussion and Analysis of Financial Condition and Results of Operations—Critical Accounting Policies and Estimates” in our Annual Report and Note 2 to our condensed consolidated financial statements in this Quarterly Report on Form 10-Q. These estimates are based on historical results, trends, and other assumptions we believe to be reasonable. We evaluate these estimates on an ongoing basis. Actual results may differ from estimates.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390f98568d134a85aaa8e6619b61fc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Recently Issued and Adopted Accounting Pronouncements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 description of recently issued accounting pronouncements that may potentially impact our financial position, results of operations or cash flows, and notes to such financial statements, is disclosed in Note 2 to our condensed consolidated financial statements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Quantitative and Qualitative Disclosures about Market Risk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Market risk is the potential loss that may result from market changes associated with our business or with an existing or forecasted financial transaction. The value of a financial instrument may change as a result of changes in interest rates, exchange rates, commodity prices, equity prices and other market changes. We are exposed to changes in interest rates and foreign currency exchange rates because we finance certain operations through variable rate debt instruments and denominate some of our transactions in foreign currencies. Changes in these rates may have an impact on future cash flow and earnings. We manage these risks through normal operating and financing activities.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During the two fiscal quarters ended June 27, 2026, there have been no material changes to the information included under the heading “Management’s Discussion and Analysis of Financial Condition and Results of Operations— Quantitative and Qualitative Disclosures about Market Risk” in our Annual Report.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entered into an interest rate swap that was executed on March 10, 2023 (the “2023 Interest Rate Swap”). The 2023 Interest Rate Swap had an effective date of May 18, 2023 and a termination date of May 18, 2026. Under the terms of the 2023 Interest Rate Swap, we fixed our SOFR borrowing rate on a notional amount of $161.0 million. The 2023 Interest Rate Swap was not designated as a hedging instrument for accounting purposes.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we entered into a new interest rate swap that was executed on June 4, 2025 (the “2025 Interest Rate Swap”). As part of the 2025 Interest Rate Swap, we terminated the 2023 Interest Rate Swap prior to its May 18, 2026 termination date. The 2025 Interest Rate Swap became effective on May 19, 2025 and has a termination date of May 18, 2027. Under the terms of the 2025 Interest Rate Swap, we fixed our SOFR borrowing rate on a notional amount of $140.0 million. The 2025 Interest Rate Swap is not designated as a hedging instrument for accounting purposes.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An increase or decrease of 1% in the effective interest rate, giving effect related to interest rate swaps, as of June 27, 2026, would cause an increase or decrease to annual interest expense, net of approximately $1.2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Disclosure controls and procedures (as defined in Rules 13a-15(e) and 15d-15(e) under the Exchange Act) are controls and other procedures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required by Rules 13a-15 and 15d-15 under the Exchange Act, our Chief Executive Officer and Chief Financial Officer carried out an evaluation of the effectiveness of the design and operation of our disclosure controls and procedures as of June 27, 2026. Based upon their evaluation, our Chief Executive Officer and Chief Financial Officer concluded that our disclosure controls and procedures were effective at a reasonable assurance level as of June 27, 2026.</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Starting in the second quarter of 2024, as part of a multi-year implementation of a new ERP system, the Company began utilizing certain aspects of the new ERP system. Eventually, this ERP system will replace the existing core financial systems. The ERP system is designed to accurately maintain the Company’s financial records, enhance the flow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390f98568d134a85aaa8e6619b61fc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financial information, improve data management and provide timely information to its management team. The Company does not believe the changes implemented to date represent a material change in internal control over financial reporting.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other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Limitations on Effectiveness of Controls and Procedures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a control system must reflect the fact that there are resource constraints and that management is required to apply judgment in evaluating the benefits of possible controls and procedures relative to their costs. Further, because of the inherent limitations in all control systems, no evaluation of controls can provide absolute assurance that misstatements related to error or fraud will not occur or that all control issues and instances of fraud, if 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390f98568d134a85aaa8e6619b61fc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be involved in legal proceedings in the ordinary course of business, including, among others, contract and employment claims, personal injury claims, intellectual property claims, product liability claims and warranty claims, some of which may be covered by insurance. Currently, there are no legal proceedings against us that we believe will have a material adverse effect on our business, financial condition, results of operations or cash flows. Further, no material legal proceedings were terminated, settled, or otherwise resolved during the fiscal quarter ended June 27, 2026. However, the results of any current or future legal proceedings cannot be predicted with certainty and, regardless of the outcome, we may incur significant costs and experience a diversion of management resources as a result of legal proceedings.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have disclosed under the heading “Risk Factors” in our Annual Report, the risk factors that materially affect our business, financial condition, and results of operations. There have been no material changes from the risk factors previously disclosed in our Annual Report and our Quarterly Report on Form 10-Q for the fiscal quarter ended March 28,2026. You should carefully consider the risks, uncertainties, assumptions and other important factors set forth in the Annual Report and other subsequent reports we file with the SEC, including this Quarterly Report on Form 10-Q, any of which may cause our actual results, performance or achievements to be materially different from any future results, performance or achievements expressed or implied. For similar reasons, our past results may not be a reliable indicator of future performance and trends. You also should be aware that these risk factors and other information do not describe every risk that we face. Additional risks and uncertainties not currently known to us or that we currently deem to be immaterial also may affect us. We operate in a very competitive and rapidly changing environment and new risks emerge from time to time, and we anticipate that subsequent events and developments will cause our views to change. In addition, these risks do not reflect the potential impact of any future acquisitions, mergers, dispositions, joint ventures or investments we may undertake. Any of these known or emerging factors may materially adversely affect our business, financial condition, and operating results, as well as the trading price of our common stock.</w:t>
      </w:r>
    </w:p>
    <w:p>
      <w:pPr>
        <w:pStyle w:val="TextBody"/>
        <w:bidi w:val="0"/>
        <w:spacing w:lineRule="auto" w:line="288" w:before="0" w:after="0"/>
        <w:jc w:val="left"/>
        <w:rPr/>
      </w:pPr>
      <w:r>
        <w:rPr>
          <w:rFonts w:ascii="Times New Roman;serif" w:hAnsi="Times New Roman;serif"/>
          <w:b/>
          <w:i/>
          <w:color w:val="000000"/>
          <w:sz w:val="20"/>
        </w:rPr>
        <w:t>Global political uncertainty and financial market volatility caused by political instability, changes in international trade relationships and conflicts could make it more difficult for us to access financing and could adversely affect our business and operations</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Political uncertainty, an increase in trade protectionism or geopolitical conflict could have a material adverse effect on global macroeconomic activities and trade and adversely affect our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conflict in the Middle East between the United States, Israel and Iran and related geopolitical instability may adversely affect our business. In February 2026, the United States and Israel launched coordinated military strikes against Iran, which retaliated with missile attacks across the region and has since taken actions to disrupt ocean-bound vessels carrying petroleum and other supplies from passing through the Strait of Hormuz. The ongoing conflict and any further escalation, including additional military actions, retaliatory measures, sanctions, disruptions to trade or transportation routes, cyberattacks, or other governmental or market responses, has led and could continue to lead to significant disruption of global energy supplies and increases in global energy prices, heighten inflationary pressures on our input costs and supply chain, adversely affect global supply chains, energy markets, commodity prices, currency exchange rates, interest rates, financial markets and overall macroeconomic conditions, increase the cost or reduce the availability of debt financing, and adversely impact customer spending patterns in markets in which we operate. To the extent that we are unable to offset potential increases in energy and commodity costs with price increases and other mitigation actions, our profitability and overall financial results could be adversely impacted by the ongoing conflict.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rise of economic nationalist sentiments, trade protectionism and geopolitical security has led to increasing political uncertainty and unpredictability throughout the world. Additionally, there can be no assurance that additional or new trade tensions, imposition of import and export restrictions and tariffs will not arise between various trade partners. These potential developments, market perceptions concerning these and related issues and the attendant regulatory uncertainty regarding, for example, the posture of governments with respect to international trade or national security issues, could have a material adverse effect on global trade and economic growth which, in turn, can adversely affect our business, results of operation and financial condition.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390f98568d134a85aaa8e6619b61fc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Increased trade protectionism or the perception that it may occur could materially adversely affect our business. Increasing trade protectionism may cause an increase in the cost of products exported from regions globally, the length of time required to transport products, and the risks associated with exporting products. Such increases may have an adverse impact on our business, operating schedule and financial condition. If the current global economy or outlook is undermined by downside risks and there is a prolonged economic downturn, governments may resort to new or enhanced trade barriers to protect their domestic industries against imports, thereby depressing demand.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Protectionist developments or adverse international political tensions or developments, or the perception they may occur, may have a material adverse effect on global economic conditions, and may significantly reduce global trade. Increasing trade protectionism in the markets could increase the risks associated with exporting goods to such markets. These developments could have a material adverse effect on our business, results of operations and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390f98568d134a85aaa8e6619b61fc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Rule 10b5-1 Trading Plans – Directors and Section 16 Officers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During the fiscal quarter ended June 27, 2026, none of the Company’s directors or Section 16 officers adopted or terminated (i) any contract, instruction or written plan for the purchase or sale of Company securities that was intended to satisfy the affirmative defense conditions of Rule 10b5-1(c) of the Exchange Act or (ii)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390f98568d134a85aaa8e6619b61fc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02"/>
        <w:gridCol w:w="266"/>
        <w:gridCol w:w="268"/>
        <w:gridCol w:w="109"/>
        <w:gridCol w:w="109"/>
        <w:gridCol w:w="109"/>
        <w:gridCol w:w="2712"/>
        <w:gridCol w:w="2617"/>
        <w:gridCol w:w="3713"/>
      </w:tblGrid>
      <w:tr>
        <w:trPr/>
        <w:tc>
          <w:tcPr>
            <w:tcW w:w="30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2"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3713" w:type="dxa"/>
            <w:tcBorders/>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Amended and Restated Certificate of Incorporation of Latham Group, Inc. (incorporated by reference to Exhibit 3.1 to Latham Group, Inc.’s Quarterly Report on Form 10-Q filed with the SEC on June 3, 2021 (File No. 001-40358))</w:t>
              </w:r>
            </w:hyperlink>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Bylaws of Latham Group, Inc. (incorporated by reference to Exhibit 3.2 to Latham Group, Inc.’s Quarterly Report on Form 10-Q filed with the SEC on June 3, 2021 (File No. 001-40358))</w:t>
              </w:r>
            </w:hyperlink>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Second Amendment to the Latham Group, Inc. 2021 Omnibus Equity Incentive Plan (incorporated by reference to Exhibit 10 to Latham Group, Inc.'s Current Report on Form 8-K filed with the SEC on May 5, 2026) (File No. 001-40358))</w:t>
              </w:r>
            </w:hyperlink>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wim-20260328xexx311.htm">
              <w:r>
                <w:rPr>
                  <w:rStyle w:val="InternetLink"/>
                  <w:rFonts w:ascii="Times New Roman;serif" w:hAnsi="Times New Roman;serif"/>
                  <w:b w:val="false"/>
                  <w:color w:val="0000FF"/>
                  <w:sz w:val="20"/>
                  <w:u w:val="single"/>
                </w:rPr>
                <w:t>Certification of CEO, pursuant to SEC Rule 13a-14(a) and 15d-14(a)</w:t>
              </w:r>
            </w:hyperlink>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wim-20260328xexx312.htm">
              <w:r>
                <w:rPr>
                  <w:rStyle w:val="InternetLink"/>
                  <w:rFonts w:ascii="Times New Roman;serif" w:hAnsi="Times New Roman;serif"/>
                  <w:b w:val="false"/>
                  <w:color w:val="0000FF"/>
                  <w:sz w:val="20"/>
                  <w:u w:val="single"/>
                </w:rPr>
                <w:t>Certification of CFO, pursuant to SEC Rule 13a-14(a) and 15d-14(a)</w:t>
              </w:r>
            </w:hyperlink>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wim-20260328xexx321.htm">
              <w:r>
                <w:rPr>
                  <w:rStyle w:val="InternetLink"/>
                  <w:rFonts w:ascii="Times New Roman;serif" w:hAnsi="Times New Roman;serif"/>
                  <w:b w:val="false"/>
                  <w:color w:val="0000FF"/>
                  <w:sz w:val="20"/>
                  <w:u w:val="single"/>
                </w:rPr>
                <w:t>Certification by the CEO, pursuant to 18 U.S.C. Section 1350, as adopted pursuant to Section 906 of the Sarbanes-Oxley Act of 2002</w:t>
              </w:r>
            </w:hyperlink>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wim-20260328xexx322.htm">
              <w:r>
                <w:rPr>
                  <w:rStyle w:val="InternetLink"/>
                  <w:rFonts w:ascii="Times New Roman;serif" w:hAnsi="Times New Roman;serif"/>
                  <w:b w:val="false"/>
                  <w:color w:val="0000FF"/>
                  <w:sz w:val="20"/>
                  <w:u w:val="single"/>
                </w:rPr>
                <w:t>Certification by the CFO, pursuant to 18 U.S.C. Section 1350, as adopted pursuant to Section 906 of the Sarbanes-Oxley Act of 2002</w:t>
              </w:r>
            </w:hyperlink>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tcBorders/>
            <w:tcMar>
              <w:top w:w="0" w:type="dxa"/>
              <w:left w:w="0" w:type="dxa"/>
              <w:bottom w:w="0" w:type="dxa"/>
              <w:right w:w="0" w:type="dxa"/>
            </w:tcMar>
            <w:vAlign w:val="center"/>
          </w:tcPr>
          <w:p>
            <w:pPr>
              <w:pStyle w:val="TableContents"/>
              <w:bidi w:val="0"/>
              <w:spacing w:lineRule="auto" w:line="304"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0" w:after="240"/>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240"/>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p>
      <w:pPr>
        <w:pStyle w:val="TextBody"/>
        <w:bidi w:val="0"/>
        <w:spacing w:lineRule="auto" w:line="288" w:before="0" w:after="240"/>
        <w:ind w:left="0" w:right="0" w:hanging="1170"/>
        <w:jc w:val="left"/>
        <w:rPr/>
      </w:pPr>
      <w:r>
        <w:rPr>
          <w:color w:val="000000"/>
        </w:rPr>
        <w:t>†</w:t>
      </w:r>
      <w:r>
        <w:rPr>
          <w:rFonts w:ascii="Times New Roman;serif" w:hAnsi="Times New Roman;serif"/>
          <w:b w:val="false"/>
          <w:color w:val="000000"/>
          <w:sz w:val="20"/>
        </w:rPr>
        <w:t>Indicates management contract or compensatory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390f98568d134a85aaa8e6619b61fc2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bl>
      <w:tblPr>
        <w:tblW w:w="2756" w:type="dxa"/>
        <w:jc w:val="left"/>
        <w:tblInd w:w="0" w:type="dxa"/>
        <w:tblLayout w:type="fixed"/>
        <w:tblCellMar>
          <w:top w:w="28" w:type="dxa"/>
          <w:left w:w="28" w:type="dxa"/>
          <w:bottom w:w="28" w:type="dxa"/>
          <w:right w:w="28" w:type="dxa"/>
        </w:tblCellMar>
      </w:tblPr>
      <w:tblGrid>
        <w:gridCol w:w="124"/>
        <w:gridCol w:w="109"/>
        <w:gridCol w:w="109"/>
        <w:gridCol w:w="705"/>
        <w:gridCol w:w="705"/>
        <w:gridCol w:w="10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LATHAM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Oliver C. Gloe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Oliver C. Gloe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3"/>
        </w:rPr>
      </w:pPr>
      <w:r>
        <w:rPr>
          <w:rFonts w:ascii="Times New Roman;serif" w:hAnsi="Times New Roman;serif"/>
          <w:b/>
          <w:color w:val="000000"/>
          <w:sz w:val="23"/>
        </w:rPr>
        <w:t>Exhibit 31.1</w:t>
      </w:r>
    </w:p>
    <w:p>
      <w:pPr>
        <w:pStyle w:val="TextBody"/>
        <w:bidi w:val="0"/>
        <w:spacing w:lineRule="auto" w:line="288" w:before="0" w:after="240"/>
        <w:jc w:val="center"/>
        <w:rPr>
          <w:rFonts w:ascii="Times New Roman;serif" w:hAnsi="Times New Roman;serif"/>
          <w:b/>
          <w:color w:val="000000"/>
          <w:sz w:val="23"/>
        </w:rPr>
      </w:pPr>
      <w:r>
        <w:rPr>
          <w:rFonts w:ascii="Times New Roman;serif" w:hAnsi="Times New Roman;serif"/>
          <w:b/>
          <w:color w:val="000000"/>
          <w:sz w:val="23"/>
        </w:rPr>
        <w:t>LATHAM GROUP, INC.</w:t>
      </w:r>
    </w:p>
    <w:p>
      <w:pPr>
        <w:pStyle w:val="TextBody"/>
        <w:bidi w:val="0"/>
        <w:spacing w:lineRule="auto" w:line="288" w:before="0" w:after="120"/>
        <w:jc w:val="left"/>
        <w:rPr>
          <w:rFonts w:ascii="Times New Roman;serif" w:hAnsi="Times New Roman;serif"/>
          <w:b w:val="false"/>
          <w:color w:val="000000"/>
          <w:sz w:val="23"/>
        </w:rPr>
      </w:pPr>
      <w:r>
        <w:rPr>
          <w:rFonts w:ascii="Times New Roman;serif" w:hAnsi="Times New Roman;serif"/>
          <w:b w:val="false"/>
          <w:color w:val="000000"/>
          <w:sz w:val="23"/>
        </w:rPr>
        <w:t>I, Sean Gadd, certify that:</w:t>
      </w:r>
    </w:p>
    <w:p>
      <w:pPr>
        <w:pStyle w:val="TextBody"/>
        <w:bidi w:val="0"/>
        <w:spacing w:lineRule="auto" w:line="288" w:before="0" w:after="240"/>
        <w:ind w:left="0" w:right="0" w:hanging="360"/>
        <w:jc w:val="both"/>
        <w:rPr>
          <w:rFonts w:ascii="Times New Roman;serif" w:hAnsi="Times New Roman;serif"/>
          <w:b w:val="false"/>
          <w:color w:val="000000"/>
          <w:sz w:val="23"/>
        </w:rPr>
      </w:pPr>
      <w:r>
        <w:rPr>
          <w:rFonts w:ascii="Times New Roman;serif" w:hAnsi="Times New Roman;serif"/>
          <w:b w:val="false"/>
          <w:color w:val="000000"/>
          <w:sz w:val="23"/>
        </w:rPr>
        <w:t>1.I have reviewed this quarterly report on Form 10-Q of Latham Group, Inc.;</w:t>
      </w:r>
    </w:p>
    <w:p>
      <w:pPr>
        <w:pStyle w:val="TextBody"/>
        <w:bidi w:val="0"/>
        <w:spacing w:lineRule="auto" w:line="288" w:before="0" w:after="240"/>
        <w:ind w:left="0" w:right="0" w:hanging="360"/>
        <w:jc w:val="both"/>
        <w:rPr>
          <w:rFonts w:ascii="Times New Roman;serif" w:hAnsi="Times New Roman;serif"/>
          <w:b w:val="false"/>
          <w:color w:val="000000"/>
          <w:sz w:val="23"/>
        </w:rPr>
      </w:pPr>
      <w:r>
        <w:rPr>
          <w:rFonts w:ascii="Times New Roman;serif" w:hAnsi="Times New Roman;serif"/>
          <w:b w:val="false"/>
          <w:color w:val="000000"/>
          <w:sz w:val="23"/>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both"/>
        <w:rPr>
          <w:rFonts w:ascii="Times New Roman;serif" w:hAnsi="Times New Roman;serif"/>
          <w:b w:val="false"/>
          <w:color w:val="000000"/>
          <w:sz w:val="23"/>
        </w:rPr>
      </w:pPr>
      <w:r>
        <w:rPr>
          <w:rFonts w:ascii="Times New Roman;serif" w:hAnsi="Times New Roman;serif"/>
          <w:b w:val="false"/>
          <w:color w:val="000000"/>
          <w:sz w:val="23"/>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both"/>
        <w:rPr>
          <w:rFonts w:ascii="Times New Roman;serif" w:hAnsi="Times New Roman;serif"/>
          <w:b w:val="false"/>
          <w:color w:val="000000"/>
          <w:sz w:val="23"/>
        </w:rPr>
      </w:pPr>
      <w:r>
        <w:rPr>
          <w:rFonts w:ascii="Times New Roman;serif" w:hAnsi="Times New Roman;serif"/>
          <w:b w:val="false"/>
          <w:color w:val="000000"/>
          <w:sz w:val="23"/>
        </w:rPr>
        <w:t>4.The registrant’s other certifying officer(s) and I are responsible for establishing and maintaining disclosure controls and procedures (as defined in Securities Exchange Act Rules 13a-15(e) and 15d-15(e)) and internal control over financial reporting (as defined in Securities Exchange Act Rule 13-a15(f) and 15d-15(f)) for the registrant and have:</w:t>
      </w:r>
    </w:p>
    <w:p>
      <w:pPr>
        <w:pStyle w:val="TextBody"/>
        <w:bidi w:val="0"/>
        <w:spacing w:lineRule="auto" w:line="288" w:before="0" w:after="240"/>
        <w:ind w:left="0" w:right="0" w:hanging="360"/>
        <w:jc w:val="both"/>
        <w:rPr>
          <w:rFonts w:ascii="Times New Roman;serif" w:hAnsi="Times New Roman;serif"/>
          <w:b w:val="false"/>
          <w:color w:val="000000"/>
          <w:sz w:val="23"/>
        </w:rPr>
      </w:pPr>
      <w:r>
        <w:rPr>
          <w:rFonts w:ascii="Times New Roman;serif" w:hAnsi="Times New Roman;serif"/>
          <w:b w:val="false"/>
          <w:color w:val="000000"/>
          <w:sz w:val="23"/>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both"/>
        <w:rPr>
          <w:rFonts w:ascii="Times New Roman;serif" w:hAnsi="Times New Roman;serif"/>
          <w:b w:val="false"/>
          <w:color w:val="000000"/>
          <w:sz w:val="23"/>
        </w:rPr>
      </w:pPr>
      <w:r>
        <w:rPr>
          <w:rFonts w:ascii="Times New Roman;serif" w:hAnsi="Times New Roman;serif"/>
          <w:b w:val="false"/>
          <w:color w:val="000000"/>
          <w:sz w:val="23"/>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both"/>
        <w:rPr>
          <w:rFonts w:ascii="Times New Roman;serif" w:hAnsi="Times New Roman;serif"/>
          <w:b w:val="false"/>
          <w:color w:val="000000"/>
          <w:sz w:val="23"/>
        </w:rPr>
      </w:pPr>
      <w:r>
        <w:rPr>
          <w:rFonts w:ascii="Times New Roman;serif" w:hAnsi="Times New Roman;serif"/>
          <w:b w:val="false"/>
          <w:color w:val="000000"/>
          <w:sz w:val="23"/>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both"/>
        <w:rPr>
          <w:rFonts w:ascii="Times New Roman;serif" w:hAnsi="Times New Roman;serif"/>
          <w:b w:val="false"/>
          <w:color w:val="000000"/>
          <w:sz w:val="23"/>
        </w:rPr>
      </w:pPr>
      <w:r>
        <w:rPr>
          <w:rFonts w:ascii="Times New Roman;serif" w:hAnsi="Times New Roman;serif"/>
          <w:b w:val="false"/>
          <w:color w:val="000000"/>
          <w:sz w:val="23"/>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both"/>
        <w:rPr>
          <w:rFonts w:ascii="Times New Roman;serif" w:hAnsi="Times New Roman;serif"/>
          <w:b w:val="false"/>
          <w:color w:val="000000"/>
          <w:sz w:val="23"/>
        </w:rPr>
      </w:pPr>
      <w:r>
        <w:rPr>
          <w:rFonts w:ascii="Times New Roman;serif" w:hAnsi="Times New Roman;serif"/>
          <w:b w:val="false"/>
          <w:color w:val="000000"/>
          <w:sz w:val="23"/>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both"/>
        <w:rPr>
          <w:rFonts w:ascii="Times New Roman;serif" w:hAnsi="Times New Roman;serif"/>
          <w:b w:val="false"/>
          <w:color w:val="000000"/>
          <w:sz w:val="23"/>
        </w:rPr>
      </w:pPr>
      <w:r>
        <w:rPr>
          <w:rFonts w:ascii="Times New Roman;serif" w:hAnsi="Times New Roman;serif"/>
          <w:b w:val="false"/>
          <w:color w:val="000000"/>
          <w:sz w:val="23"/>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360"/>
        <w:jc w:val="both"/>
        <w:rPr>
          <w:rFonts w:ascii="Times New Roman;serif" w:hAnsi="Times New Roman;serif"/>
          <w:b w:val="false"/>
          <w:color w:val="000000"/>
          <w:sz w:val="23"/>
        </w:rPr>
      </w:pPr>
      <w:r>
        <w:rPr>
          <w:rFonts w:ascii="Times New Roman;serif" w:hAnsi="Times New Roman;serif"/>
          <w:b w:val="false"/>
          <w:color w:val="000000"/>
          <w:sz w:val="23"/>
        </w:rPr>
        <w:t>b.Any fraud, whether or not material, that involves management or other employees who have a significant role in the registrant’s internal control over financial reporting.</w:t>
      </w:r>
    </w:p>
    <w:tbl>
      <w:tblPr>
        <w:tblW w:w="5265" w:type="dxa"/>
        <w:jc w:val="left"/>
        <w:tblInd w:w="0" w:type="dxa"/>
        <w:tblLayout w:type="fixed"/>
        <w:tblCellMar>
          <w:top w:w="28" w:type="dxa"/>
          <w:left w:w="28" w:type="dxa"/>
          <w:bottom w:w="28" w:type="dxa"/>
          <w:right w:w="28" w:type="dxa"/>
        </w:tblCellMar>
      </w:tblPr>
      <w:tblGrid>
        <w:gridCol w:w="570"/>
        <w:gridCol w:w="502"/>
        <w:gridCol w:w="503"/>
        <w:gridCol w:w="1080"/>
        <w:gridCol w:w="1080"/>
        <w:gridCol w:w="1530"/>
      </w:tblGrid>
      <w:tr>
        <w:trPr/>
        <w:tc>
          <w:tcPr>
            <w:tcW w:w="57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3"/>
              </w:rPr>
            </w:pPr>
            <w:r>
              <w:rPr>
                <w:rFonts w:ascii="Times New Roman;serif" w:hAnsi="Times New Roman;serif"/>
                <w:b w:val="false"/>
                <w:color w:val="000000"/>
                <w:sz w:val="23"/>
              </w:rPr>
              <w:t>August 5, 2026</w:t>
            </w:r>
          </w:p>
        </w:tc>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3"/>
              </w:rPr>
            </w:pPr>
            <w:r>
              <w:rPr>
                <w:rFonts w:ascii="Times New Roman;serif" w:hAnsi="Times New Roman;serif"/>
                <w:b w:val="false"/>
                <w:i/>
                <w:color w:val="000000"/>
                <w:sz w:val="23"/>
              </w:rPr>
              <w:t>/s/ Sean Gadd</w:t>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3"/>
              </w:rPr>
            </w:pPr>
            <w:r>
              <w:rPr>
                <w:rFonts w:ascii="Times New Roman;serif" w:hAnsi="Times New Roman;serif"/>
                <w:b w:val="false"/>
                <w:color w:val="000000"/>
                <w:sz w:val="23"/>
              </w:rPr>
              <w:t>Sean Gadd</w:t>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3"/>
              </w:rPr>
            </w:pPr>
            <w:r>
              <w:rPr>
                <w:rFonts w:ascii="Times New Roman;serif" w:hAnsi="Times New Roman;serif"/>
                <w:b w:val="false"/>
                <w:color w:val="000000"/>
                <w:sz w:val="23"/>
              </w:rPr>
              <w:t>Chief Executive Officer and President</w:t>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3"/>
              </w:rPr>
            </w:pPr>
            <w:r>
              <w:rPr>
                <w:rFonts w:ascii="Times New Roman;serif" w:hAnsi="Times New Roman;serif"/>
                <w:b w:val="false"/>
                <w:color w:val="000000"/>
                <w:sz w:val="23"/>
              </w:rPr>
              <w:t>Latham Group, Inc.</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3"/>
        </w:rPr>
      </w:pPr>
      <w:r>
        <w:rPr>
          <w:rFonts w:ascii="Times New Roman;serif" w:hAnsi="Times New Roman;serif"/>
          <w:b/>
          <w:color w:val="000000"/>
          <w:sz w:val="23"/>
        </w:rPr>
        <w:t>Exhibit 31.2</w:t>
      </w:r>
    </w:p>
    <w:p>
      <w:pPr>
        <w:pStyle w:val="TextBody"/>
        <w:bidi w:val="0"/>
        <w:spacing w:lineRule="auto" w:line="288" w:before="0" w:after="240"/>
        <w:jc w:val="center"/>
        <w:rPr>
          <w:rFonts w:ascii="Times New Roman;serif" w:hAnsi="Times New Roman;serif"/>
          <w:b/>
          <w:color w:val="000000"/>
          <w:sz w:val="23"/>
        </w:rPr>
      </w:pPr>
      <w:r>
        <w:rPr>
          <w:rFonts w:ascii="Times New Roman;serif" w:hAnsi="Times New Roman;serif"/>
          <w:b/>
          <w:color w:val="000000"/>
          <w:sz w:val="23"/>
        </w:rPr>
        <w:t>LATHAM GROUP, INC.</w:t>
      </w:r>
    </w:p>
    <w:p>
      <w:pPr>
        <w:pStyle w:val="TextBody"/>
        <w:bidi w:val="0"/>
        <w:spacing w:lineRule="auto" w:line="288" w:before="0" w:after="120"/>
        <w:jc w:val="left"/>
        <w:rPr>
          <w:rFonts w:ascii="Times New Roman;serif" w:hAnsi="Times New Roman;serif"/>
          <w:b w:val="false"/>
          <w:color w:val="000000"/>
          <w:sz w:val="23"/>
        </w:rPr>
      </w:pPr>
      <w:r>
        <w:rPr>
          <w:rFonts w:ascii="Times New Roman;serif" w:hAnsi="Times New Roman;serif"/>
          <w:b w:val="false"/>
          <w:color w:val="000000"/>
          <w:sz w:val="23"/>
        </w:rPr>
        <w:t>I, Oliver C. Gloe, certify that:</w:t>
      </w:r>
    </w:p>
    <w:p>
      <w:pPr>
        <w:pStyle w:val="TextBody"/>
        <w:bidi w:val="0"/>
        <w:spacing w:lineRule="auto" w:line="288" w:before="0" w:after="240"/>
        <w:ind w:left="0" w:right="0" w:hanging="360"/>
        <w:jc w:val="both"/>
        <w:rPr>
          <w:rFonts w:ascii="Times New Roman;serif" w:hAnsi="Times New Roman;serif"/>
          <w:b w:val="false"/>
          <w:color w:val="000000"/>
          <w:sz w:val="23"/>
        </w:rPr>
      </w:pPr>
      <w:r>
        <w:rPr>
          <w:rFonts w:ascii="Times New Roman;serif" w:hAnsi="Times New Roman;serif"/>
          <w:b w:val="false"/>
          <w:color w:val="000000"/>
          <w:sz w:val="23"/>
        </w:rPr>
        <w:t>1.I have reviewed this quarterly report on Form 10-Q of Latham Group, Inc.;</w:t>
      </w:r>
    </w:p>
    <w:p>
      <w:pPr>
        <w:pStyle w:val="TextBody"/>
        <w:bidi w:val="0"/>
        <w:spacing w:lineRule="auto" w:line="288" w:before="0" w:after="240"/>
        <w:ind w:left="0" w:right="0" w:hanging="360"/>
        <w:jc w:val="both"/>
        <w:rPr>
          <w:rFonts w:ascii="Times New Roman;serif" w:hAnsi="Times New Roman;serif"/>
          <w:b w:val="false"/>
          <w:color w:val="000000"/>
          <w:sz w:val="23"/>
        </w:rPr>
      </w:pPr>
      <w:r>
        <w:rPr>
          <w:rFonts w:ascii="Times New Roman;serif" w:hAnsi="Times New Roman;serif"/>
          <w:b w:val="false"/>
          <w:color w:val="000000"/>
          <w:sz w:val="23"/>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both"/>
        <w:rPr>
          <w:rFonts w:ascii="Times New Roman;serif" w:hAnsi="Times New Roman;serif"/>
          <w:b w:val="false"/>
          <w:color w:val="000000"/>
          <w:sz w:val="23"/>
        </w:rPr>
      </w:pPr>
      <w:r>
        <w:rPr>
          <w:rFonts w:ascii="Times New Roman;serif" w:hAnsi="Times New Roman;serif"/>
          <w:b w:val="false"/>
          <w:color w:val="000000"/>
          <w:sz w:val="23"/>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both"/>
        <w:rPr>
          <w:rFonts w:ascii="Times New Roman;serif" w:hAnsi="Times New Roman;serif"/>
          <w:b w:val="false"/>
          <w:color w:val="000000"/>
          <w:sz w:val="23"/>
        </w:rPr>
      </w:pPr>
      <w:r>
        <w:rPr>
          <w:rFonts w:ascii="Times New Roman;serif" w:hAnsi="Times New Roman;serif"/>
          <w:b w:val="false"/>
          <w:color w:val="000000"/>
          <w:sz w:val="23"/>
        </w:rPr>
        <w:t>4.The registrant’s other certifying officer(s) and I are responsible for establishing and maintaining disclosure controls and procedures (as defined in Securities Exchange Act Rules 13a-15(e) and 15d-15(e)) and internal control over financial reporting (as defined in Securities Exchange Act Rule 13-a15(f) and 15d-15(f)) for the registrant and have:</w:t>
      </w:r>
    </w:p>
    <w:p>
      <w:pPr>
        <w:pStyle w:val="TextBody"/>
        <w:bidi w:val="0"/>
        <w:spacing w:lineRule="auto" w:line="288" w:before="0" w:after="240"/>
        <w:ind w:left="0" w:right="0" w:hanging="360"/>
        <w:jc w:val="both"/>
        <w:rPr>
          <w:rFonts w:ascii="Times New Roman;serif" w:hAnsi="Times New Roman;serif"/>
          <w:b w:val="false"/>
          <w:color w:val="000000"/>
          <w:sz w:val="23"/>
        </w:rPr>
      </w:pPr>
      <w:r>
        <w:rPr>
          <w:rFonts w:ascii="Times New Roman;serif" w:hAnsi="Times New Roman;serif"/>
          <w:b w:val="false"/>
          <w:color w:val="000000"/>
          <w:sz w:val="23"/>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both"/>
        <w:rPr>
          <w:rFonts w:ascii="Times New Roman;serif" w:hAnsi="Times New Roman;serif"/>
          <w:b w:val="false"/>
          <w:color w:val="000000"/>
          <w:sz w:val="23"/>
        </w:rPr>
      </w:pPr>
      <w:r>
        <w:rPr>
          <w:rFonts w:ascii="Times New Roman;serif" w:hAnsi="Times New Roman;serif"/>
          <w:b w:val="false"/>
          <w:color w:val="000000"/>
          <w:sz w:val="23"/>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both"/>
        <w:rPr>
          <w:rFonts w:ascii="Times New Roman;serif" w:hAnsi="Times New Roman;serif"/>
          <w:b w:val="false"/>
          <w:color w:val="000000"/>
          <w:sz w:val="23"/>
        </w:rPr>
      </w:pPr>
      <w:r>
        <w:rPr>
          <w:rFonts w:ascii="Times New Roman;serif" w:hAnsi="Times New Roman;serif"/>
          <w:b w:val="false"/>
          <w:color w:val="000000"/>
          <w:sz w:val="23"/>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both"/>
        <w:rPr>
          <w:rFonts w:ascii="Times New Roman;serif" w:hAnsi="Times New Roman;serif"/>
          <w:b w:val="false"/>
          <w:color w:val="000000"/>
          <w:sz w:val="23"/>
        </w:rPr>
      </w:pPr>
      <w:r>
        <w:rPr>
          <w:rFonts w:ascii="Times New Roman;serif" w:hAnsi="Times New Roman;serif"/>
          <w:b w:val="false"/>
          <w:color w:val="000000"/>
          <w:sz w:val="23"/>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both"/>
        <w:rPr>
          <w:rFonts w:ascii="Times New Roman;serif" w:hAnsi="Times New Roman;serif"/>
          <w:b w:val="false"/>
          <w:color w:val="000000"/>
          <w:sz w:val="23"/>
        </w:rPr>
      </w:pPr>
      <w:r>
        <w:rPr>
          <w:rFonts w:ascii="Times New Roman;serif" w:hAnsi="Times New Roman;serif"/>
          <w:b w:val="false"/>
          <w:color w:val="000000"/>
          <w:sz w:val="23"/>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both"/>
        <w:rPr>
          <w:rFonts w:ascii="Times New Roman;serif" w:hAnsi="Times New Roman;serif"/>
          <w:b w:val="false"/>
          <w:color w:val="000000"/>
          <w:sz w:val="23"/>
        </w:rPr>
      </w:pPr>
      <w:r>
        <w:rPr>
          <w:rFonts w:ascii="Times New Roman;serif" w:hAnsi="Times New Roman;serif"/>
          <w:b w:val="false"/>
          <w:color w:val="000000"/>
          <w:sz w:val="23"/>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360"/>
        <w:jc w:val="both"/>
        <w:rPr>
          <w:rFonts w:ascii="Times New Roman;serif" w:hAnsi="Times New Roman;serif"/>
          <w:b w:val="false"/>
          <w:color w:val="000000"/>
          <w:sz w:val="23"/>
        </w:rPr>
      </w:pPr>
      <w:r>
        <w:rPr>
          <w:rFonts w:ascii="Times New Roman;serif" w:hAnsi="Times New Roman;serif"/>
          <w:b w:val="false"/>
          <w:color w:val="000000"/>
          <w:sz w:val="23"/>
        </w:rPr>
        <w:t>b.Any fraud, whether or not material, that involves management or other employees who have a significant role in the registrant’s internal control over financial reporting.</w:t>
      </w:r>
    </w:p>
    <w:tbl>
      <w:tblPr>
        <w:tblW w:w="3869" w:type="dxa"/>
        <w:jc w:val="left"/>
        <w:tblInd w:w="0" w:type="dxa"/>
        <w:tblLayout w:type="fixed"/>
        <w:tblCellMar>
          <w:top w:w="28" w:type="dxa"/>
          <w:left w:w="28" w:type="dxa"/>
          <w:bottom w:w="28" w:type="dxa"/>
          <w:right w:w="28" w:type="dxa"/>
        </w:tblCellMar>
      </w:tblPr>
      <w:tblGrid>
        <w:gridCol w:w="570"/>
        <w:gridCol w:w="502"/>
        <w:gridCol w:w="503"/>
        <w:gridCol w:w="672"/>
        <w:gridCol w:w="672"/>
        <w:gridCol w:w="950"/>
      </w:tblGrid>
      <w:tr>
        <w:trPr/>
        <w:tc>
          <w:tcPr>
            <w:tcW w:w="57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3"/>
              </w:rPr>
            </w:pPr>
            <w:r>
              <w:rPr>
                <w:rFonts w:ascii="Times New Roman;serif" w:hAnsi="Times New Roman;serif"/>
                <w:b w:val="false"/>
                <w:color w:val="000000"/>
                <w:sz w:val="23"/>
              </w:rPr>
              <w:t>August 5, 2026</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3"/>
              </w:rPr>
            </w:pPr>
            <w:r>
              <w:rPr>
                <w:rFonts w:ascii="Times New Roman;serif" w:hAnsi="Times New Roman;serif"/>
                <w:b w:val="false"/>
                <w:i/>
                <w:color w:val="000000"/>
                <w:sz w:val="23"/>
              </w:rPr>
              <w:t>/s/ Oliver C. Gloe</w:t>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3"/>
              </w:rPr>
            </w:pPr>
            <w:r>
              <w:rPr>
                <w:rFonts w:ascii="Times New Roman;serif" w:hAnsi="Times New Roman;serif"/>
                <w:b w:val="false"/>
                <w:color w:val="000000"/>
                <w:sz w:val="23"/>
              </w:rPr>
              <w:t>Oliver C. Gloe</w:t>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3"/>
              </w:rPr>
            </w:pPr>
            <w:r>
              <w:rPr>
                <w:rFonts w:ascii="Times New Roman;serif" w:hAnsi="Times New Roman;serif"/>
                <w:b w:val="false"/>
                <w:color w:val="000000"/>
                <w:sz w:val="23"/>
              </w:rPr>
              <w:t>Chief Financial Officer</w:t>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3"/>
              </w:rPr>
            </w:pPr>
            <w:r>
              <w:rPr>
                <w:rFonts w:ascii="Times New Roman;serif" w:hAnsi="Times New Roman;serif"/>
                <w:b w:val="false"/>
                <w:color w:val="000000"/>
                <w:sz w:val="23"/>
              </w:rPr>
              <w:t>Latham Group, Inc.</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32.1</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LATHAM GROUP, INC.</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CERTIFICATION PURSUANT TO</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 U.S.C. SECTION 1350,</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AS ADOPTED PURSUANT TO</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SECTION 906 OF THE SARBANES-OXLEY ACT OF 2002</w:t>
      </w:r>
    </w:p>
    <w:p>
      <w:pPr>
        <w:pStyle w:val="TextBody"/>
        <w:bidi w:val="0"/>
        <w:spacing w:lineRule="auto" w:line="288" w:before="0" w:after="240"/>
        <w:jc w:val="both"/>
        <w:rPr/>
      </w:pPr>
      <w:r>
        <w:rPr>
          <w:rFonts w:ascii="Times New Roman;serif" w:hAnsi="Times New Roman;serif"/>
          <w:b w:val="false"/>
          <w:color w:val="000000"/>
          <w:sz w:val="24"/>
        </w:rPr>
        <w:t>In connection with the Quarterly Report of Latham Group, Inc.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on Form 10-Q for the period ending June 27, 2026 as filed with the Securities and Exchange Commission on the date hereof (the “</w:t>
      </w:r>
      <w:r>
        <w:rPr>
          <w:rFonts w:ascii="Times New Roman;serif" w:hAnsi="Times New Roman;serif"/>
          <w:b w:val="false"/>
          <w:color w:val="000000"/>
          <w:sz w:val="24"/>
          <w:u w:val="single"/>
        </w:rPr>
        <w:t>Report</w:t>
      </w:r>
      <w:r>
        <w:rPr>
          <w:color w:val="000000"/>
        </w:rPr>
        <w:t>”</w:t>
      </w:r>
      <w:r>
        <w:rPr>
          <w:rFonts w:ascii="Times New Roman;serif" w:hAnsi="Times New Roman;serif"/>
          <w:b w:val="false"/>
          <w:color w:val="000000"/>
          <w:sz w:val="24"/>
        </w:rPr>
        <w:t>), I, Sean Gadd, Chief Executive Officer of the Company, certify, pursuant to 18 U.S.C. Section 1350, as adopted pursuant to Section 906 of the Sarbanes-Oxley Act of 2002, that: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4"/>
        </w:rPr>
        <w:t>The Report fully complies with the requirements of Section 13(a) or 15(d) of the Securities Exchange Act of 1934;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4"/>
        </w:rPr>
        <w:t>The information contained in the Report fairly presents, in all material respects, the financial condition and results of operations of the Company.</w:t>
      </w:r>
    </w:p>
    <w:tbl>
      <w:tblPr>
        <w:tblW w:w="5339" w:type="dxa"/>
        <w:jc w:val="left"/>
        <w:tblInd w:w="0" w:type="dxa"/>
        <w:tblLayout w:type="fixed"/>
        <w:tblCellMar>
          <w:top w:w="28" w:type="dxa"/>
          <w:left w:w="28" w:type="dxa"/>
          <w:bottom w:w="28" w:type="dxa"/>
          <w:right w:w="28" w:type="dxa"/>
        </w:tblCellMar>
      </w:tblPr>
      <w:tblGrid>
        <w:gridCol w:w="576"/>
        <w:gridCol w:w="505"/>
        <w:gridCol w:w="508"/>
        <w:gridCol w:w="1096"/>
        <w:gridCol w:w="1096"/>
        <w:gridCol w:w="1558"/>
      </w:tblGrid>
      <w:tr>
        <w:trPr/>
        <w:tc>
          <w:tcPr>
            <w:tcW w:w="57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August 5, 2026</w:t>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4"/>
              </w:rPr>
            </w:pPr>
            <w:r>
              <w:rPr>
                <w:rFonts w:ascii="Times New Roman;serif" w:hAnsi="Times New Roman;serif"/>
                <w:b w:val="false"/>
                <w:i/>
                <w:color w:val="000000"/>
                <w:sz w:val="24"/>
              </w:rPr>
              <w:t>/s/ Sean Gadd</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Sean Gadd</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Chief Executive Officer and President</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Latham Group, Inc.</w:t>
            </w:r>
          </w:p>
        </w:tc>
      </w:tr>
    </w:tbl>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32.2</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LATHAM GROUP, INC.</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CERTIFICATION PURSUANT TO</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18 U.S.C. SECTION 1350,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AS ADOPTED PURSUANT TO</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SECTION 906 OF THE SARBANES-OXLEY ACT OF 2002</w:t>
      </w:r>
    </w:p>
    <w:p>
      <w:pPr>
        <w:pStyle w:val="TextBody"/>
        <w:bidi w:val="0"/>
        <w:spacing w:lineRule="auto" w:line="288" w:before="0" w:after="240"/>
        <w:jc w:val="both"/>
        <w:rPr/>
      </w:pPr>
      <w:r>
        <w:rPr>
          <w:rFonts w:ascii="Times New Roman;serif" w:hAnsi="Times New Roman;serif"/>
          <w:b w:val="false"/>
          <w:color w:val="000000"/>
          <w:sz w:val="24"/>
        </w:rPr>
        <w:t>In connection with the Quarterly Report of Latham Group, Inc.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on Form 10-Q for the period ending June 27, 2026 as filed with the Securities and Exchange Commission on the date hereof (the “</w:t>
      </w:r>
      <w:r>
        <w:rPr>
          <w:rFonts w:ascii="Times New Roman;serif" w:hAnsi="Times New Roman;serif"/>
          <w:b w:val="false"/>
          <w:color w:val="000000"/>
          <w:sz w:val="24"/>
          <w:u w:val="single"/>
        </w:rPr>
        <w:t>Report</w:t>
      </w:r>
      <w:r>
        <w:rPr>
          <w:color w:val="000000"/>
        </w:rPr>
        <w:t>”</w:t>
      </w:r>
      <w:r>
        <w:rPr>
          <w:rFonts w:ascii="Times New Roman;serif" w:hAnsi="Times New Roman;serif"/>
          <w:b w:val="false"/>
          <w:color w:val="000000"/>
          <w:sz w:val="24"/>
        </w:rPr>
        <w:t>), I, Oliver C. Gloe, Chief Financial Officer of the Company, certify, pursuant to 18 U.S.C. Section 1350, as adopted pursuant to Section 906 of the Sarbanes-Oxley Act of 2002, that: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4"/>
        </w:rPr>
        <w:t>The Report fully complies with the requirements of Section 13(a) or 15(d) of the Securities Exchange Act of 1934;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4"/>
        </w:rPr>
        <w:t>The information contained in the Report fairly presents, in all material respects, the financial condition and results of operations of the Company.</w:t>
      </w:r>
    </w:p>
    <w:tbl>
      <w:tblPr>
        <w:tblW w:w="3929" w:type="dxa"/>
        <w:jc w:val="left"/>
        <w:tblInd w:w="0" w:type="dxa"/>
        <w:tblLayout w:type="fixed"/>
        <w:tblCellMar>
          <w:top w:w="28" w:type="dxa"/>
          <w:left w:w="28" w:type="dxa"/>
          <w:bottom w:w="28" w:type="dxa"/>
          <w:right w:w="28" w:type="dxa"/>
        </w:tblCellMar>
      </w:tblPr>
      <w:tblGrid>
        <w:gridCol w:w="576"/>
        <w:gridCol w:w="505"/>
        <w:gridCol w:w="508"/>
        <w:gridCol w:w="684"/>
        <w:gridCol w:w="684"/>
        <w:gridCol w:w="972"/>
      </w:tblGrid>
      <w:tr>
        <w:trPr/>
        <w:tc>
          <w:tcPr>
            <w:tcW w:w="57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August 5, 2026</w:t>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4"/>
              </w:rPr>
            </w:pPr>
            <w:r>
              <w:rPr>
                <w:rFonts w:ascii="Times New Roman;serif" w:hAnsi="Times New Roman;serif"/>
                <w:b w:val="false"/>
                <w:i/>
                <w:color w:val="000000"/>
                <w:sz w:val="24"/>
              </w:rPr>
              <w:t>/s/ Oliver C. Gloe</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Oliver C. Gloe</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Chief Financial Officer</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Latham Group, Inc.</w:t>
            </w:r>
          </w:p>
        </w:tc>
      </w:tr>
    </w:tbl>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3197/000110465921076404/tm2117455d1_ex3-1.htm" TargetMode="External"/><Relationship Id="rId3" Type="http://schemas.openxmlformats.org/officeDocument/2006/relationships/hyperlink" Target="https://www.sec.gov/Archives/edgar/data/1833197/000110465921076404/tm2117455d1_ex3-2.htm" TargetMode="External"/><Relationship Id="rId4" Type="http://schemas.openxmlformats.org/officeDocument/2006/relationships/hyperlink" Target="https://www.sec.gov/Archives/edgar/data/1833197/000183319726000022/exhibit10.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19274</Words>
  <Characters>106330</Characters>
  <CharactersWithSpaces>124214</CharactersWithSpaces>
  <Paragraphs>2383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